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jc w:val="center"/>
      </w:pPr>
      <w:r>
        <w:rPr>
          <w:sz w:val="54"/>
          <w:szCs w:val="54"/>
        </w:rPr>
        <w:t>重庆市丰都县人力资源和社会保障局</w:t>
      </w:r>
    </w:p>
    <w:p>
      <w:pPr>
        <w:pStyle w:val="6"/>
        <w:shd w:val="clear" w:color="auto" w:fill="FFFFFF"/>
        <w:jc w:val="center"/>
      </w:pPr>
      <w:r>
        <w:rPr>
          <w:sz w:val="54"/>
          <w:szCs w:val="54"/>
        </w:rPr>
        <w:t>2021年度部门决算情况说明</w:t>
      </w:r>
    </w:p>
    <w:p>
      <w:pPr>
        <w:pStyle w:val="6"/>
        <w:shd w:val="clear" w:color="auto" w:fill="FFFFFF"/>
      </w:pPr>
      <w:r>
        <w:rPr>
          <w:rStyle w:val="9"/>
          <w:sz w:val="33"/>
          <w:szCs w:val="33"/>
        </w:rPr>
        <w:t>  一、部门基本情况</w:t>
      </w:r>
    </w:p>
    <w:p>
      <w:pPr>
        <w:pStyle w:val="6"/>
        <w:shd w:val="clear" w:color="auto" w:fill="FFFFFF"/>
      </w:pPr>
      <w:r>
        <w:rPr>
          <w:rStyle w:val="9"/>
          <w:sz w:val="27"/>
          <w:szCs w:val="27"/>
        </w:rPr>
        <w:t>  （一）职能职责。</w:t>
      </w:r>
    </w:p>
    <w:p>
      <w:pPr>
        <w:pStyle w:val="6"/>
        <w:snapToGrid w:val="0"/>
        <w:spacing w:before="0" w:beforeAutospacing="0" w:after="0" w:afterAutospacing="0" w:line="600" w:lineRule="exact"/>
        <w:ind w:firstLine="540" w:firstLineChars="200"/>
        <w:rPr>
          <w:rFonts w:ascii="Times New Roman" w:hAnsi="Times New Roman" w:cs="Times New Roman"/>
        </w:rPr>
      </w:pPr>
      <w:r>
        <w:rPr>
          <w:color w:val="FF0000"/>
          <w:sz w:val="27"/>
          <w:szCs w:val="27"/>
        </w:rPr>
        <w:t> </w:t>
      </w:r>
      <w:r>
        <w:rPr>
          <w:rFonts w:hint="eastAsia"/>
          <w:color w:val="FF0000"/>
          <w:sz w:val="27"/>
          <w:szCs w:val="27"/>
        </w:rPr>
        <w:t> </w:t>
      </w:r>
      <w:r>
        <w:rPr>
          <w:rFonts w:ascii="Times New Roman" w:hAnsi="Times New Roman" w:cs="Times New Roman"/>
          <w:sz w:val="27"/>
          <w:szCs w:val="27"/>
        </w:rPr>
        <w:t>1</w:t>
      </w:r>
      <w:r>
        <w:rPr>
          <w:rFonts w:hint="eastAsia" w:ascii="Times New Roman" w:cs="Times New Roman"/>
          <w:sz w:val="27"/>
          <w:szCs w:val="27"/>
        </w:rPr>
        <w:t>、贯彻执行人力资源和社会保障法律、法规、规章和方针政策；拟订人力资源和社会保障事业发展规划、政策措施，并组织实施和监督检查；拟订机构改革人员定岗和分流政策。</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2</w:t>
      </w:r>
      <w:r>
        <w:rPr>
          <w:rFonts w:hint="eastAsia" w:ascii="Times New Roman" w:cs="Times New Roman"/>
          <w:sz w:val="27"/>
          <w:szCs w:val="27"/>
        </w:rPr>
        <w:t>、拟订人力资源市场发展规划和人力资源流动政策，建立统一规范的人力资源市场，促进人力资源合理流动、有效配置；综合管理人力资源市场和流动调配工作；负责人才开发和管理工作。</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3</w:t>
      </w:r>
      <w:r>
        <w:rPr>
          <w:rFonts w:hint="eastAsia" w:ascii="Times New Roman" w:cs="Times New Roman"/>
          <w:sz w:val="27"/>
          <w:szCs w:val="27"/>
        </w:rPr>
        <w:t>、负责促进就业工作，拟订统筹城乡的就业发展规划和政策措施，完善公共就业服务体系；牵头组织实施就业援助制度；牵头拟订高校毕业生就业政策措施；拟订国（境）外人员在本县的就业管理政策措施。</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4</w:t>
      </w:r>
      <w:r>
        <w:rPr>
          <w:rFonts w:hint="eastAsia" w:ascii="Times New Roman" w:cs="Times New Roman"/>
          <w:sz w:val="27"/>
          <w:szCs w:val="27"/>
        </w:rPr>
        <w:t>、负责国（境）外人才、智力引进以及人力资源和社会保障领域的地区、国际交流与合作工作，组织协调相关涉外业务技术合作和人才交流；负责出国（境）</w:t>
      </w:r>
      <w:r>
        <w:rPr>
          <w:rFonts w:ascii="Times New Roman" w:hAnsi="Times New Roman" w:cs="Times New Roman"/>
          <w:sz w:val="27"/>
          <w:szCs w:val="27"/>
        </w:rPr>
        <w:t xml:space="preserve"> </w:t>
      </w:r>
      <w:r>
        <w:rPr>
          <w:rFonts w:hint="eastAsia" w:ascii="Times New Roman" w:cs="Times New Roman"/>
          <w:sz w:val="27"/>
          <w:szCs w:val="27"/>
        </w:rPr>
        <w:t>培训工作。</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5</w:t>
      </w:r>
      <w:r>
        <w:rPr>
          <w:rFonts w:hint="eastAsia" w:ascii="Times New Roman" w:cs="Times New Roman"/>
          <w:sz w:val="27"/>
          <w:szCs w:val="27"/>
        </w:rPr>
        <w:t>、负责职业能力建设，拟订城乡劳动者职业培训和高技能人才、农村实用人才培养和激励办法；拟订技工学校、职业培训机构、职业技能鉴定机构发展规划并负责管理和监督；贯彻实施职（执）业资格制度，统筹建立面向城乡劳动者的职业培训制度。</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6</w:t>
      </w:r>
      <w:r>
        <w:rPr>
          <w:rFonts w:hint="eastAsia" w:ascii="Times New Roman" w:cs="Times New Roman"/>
          <w:sz w:val="27"/>
          <w:szCs w:val="27"/>
        </w:rPr>
        <w:t>、统筹建立覆盖城乡的社会保障体系，负责城乡社会保险及其补充保险政策的组织实施工作；承担社会保险及其补充保险基金行政监督责任。</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7</w:t>
      </w:r>
      <w:r>
        <w:rPr>
          <w:rFonts w:hint="eastAsia" w:ascii="Times New Roman" w:cs="Times New Roman"/>
          <w:sz w:val="27"/>
          <w:szCs w:val="27"/>
        </w:rPr>
        <w:t>、负责就业、失业、社会保险基金预测预警和信息引导，拟订应对预案并组织实施。</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8</w:t>
      </w:r>
      <w:r>
        <w:rPr>
          <w:rFonts w:hint="eastAsia" w:ascii="Times New Roman" w:cs="Times New Roman"/>
          <w:sz w:val="27"/>
          <w:szCs w:val="27"/>
        </w:rPr>
        <w:t>、组织实施机关事业单位人员工资收入分配、津贴补贴、福利和退休管理工作，宏观调控管理企业职工工资收入分配，建立机关企事业单位人员工资正常增长和支付保障机制；负责参加社会养老保险人员享受养老保险待遇的审批；负责机关企事业单位人员工（公）伤认定；负责伤（病）残等级鉴定工作。</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9</w:t>
      </w:r>
      <w:r>
        <w:rPr>
          <w:rFonts w:hint="eastAsia" w:ascii="Times New Roman" w:cs="Times New Roman"/>
          <w:sz w:val="27"/>
          <w:szCs w:val="27"/>
        </w:rPr>
        <w:t>、组织实施事业单位人事制度改革；综合管理事业单位人员和机关工勤人员；综合管理专业技术人员并组织实施继续教育政策；负责职称、专家综合管理和高层次专业技术人才选拔、引进、培养工作；牵头推进深化职称制度改革工作。</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10</w:t>
      </w:r>
      <w:r>
        <w:rPr>
          <w:rFonts w:hint="eastAsia" w:ascii="Times New Roman" w:cs="Times New Roman"/>
          <w:sz w:val="27"/>
          <w:szCs w:val="27"/>
        </w:rPr>
        <w:t>、牵头拟订军队转业干部安置政策和安置计划，负责军队转业干部安置工作；组织实施部分企业军队转业干部解困和稳定政策；协助军队转业干部管理服务和教育培训工作；协调落实军队转业干部随调随迁家属的政策性安置工作。</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11</w:t>
      </w:r>
      <w:r>
        <w:rPr>
          <w:rFonts w:hint="eastAsia" w:ascii="Times New Roman" w:cs="Times New Roman"/>
          <w:sz w:val="27"/>
          <w:szCs w:val="27"/>
        </w:rPr>
        <w:t>、负责行政机关公务员综合管理；组织实施公务员分类、录用、考核、职务任免与升降、奖惩、培训、交流与回避、辞职辞退、申诉控告、职位聘任等方面的法律、法规、规章和方针政策；负责组织参照公务员法单位的申报和管理工作；承办法定、委托或授权管理领导人员的人事任免事项；综合管理奖励表彰工作。</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12</w:t>
      </w:r>
      <w:r>
        <w:rPr>
          <w:rFonts w:hint="eastAsia" w:ascii="Times New Roman" w:cs="Times New Roman"/>
          <w:sz w:val="27"/>
          <w:szCs w:val="27"/>
        </w:rPr>
        <w:t>、组织拟订农村劳务开发管理规划；贯彻执行农民工工作综合性政策；协调解决重点难点问题，维护农民工合法权益。</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13</w:t>
      </w:r>
      <w:r>
        <w:rPr>
          <w:rFonts w:hint="eastAsia" w:ascii="Times New Roman" w:cs="Times New Roman"/>
          <w:sz w:val="27"/>
          <w:szCs w:val="27"/>
        </w:rPr>
        <w:t>、统筹实施劳动、人事争议调解仲裁制度；落实劳动关系政策，完善劳动关系协调机制；监督落实消除非法使用童工政策和女工、未成年工的特殊劳动保护政策；组织实施劳动保障监察，协调劳动者维权工作，依法查处重大案件。</w:t>
      </w:r>
    </w:p>
    <w:p>
      <w:pPr>
        <w:snapToGrid w:val="0"/>
        <w:spacing w:line="600" w:lineRule="exact"/>
        <w:ind w:firstLine="540" w:firstLineChars="200"/>
        <w:rPr>
          <w:rFonts w:ascii="Times New Roman" w:hAnsi="Times New Roman" w:cs="Times New Roman"/>
          <w:sz w:val="27"/>
          <w:szCs w:val="27"/>
        </w:rPr>
      </w:pPr>
      <w:r>
        <w:rPr>
          <w:rFonts w:ascii="Times New Roman" w:hAnsi="Times New Roman" w:cs="Times New Roman"/>
          <w:sz w:val="27"/>
          <w:szCs w:val="27"/>
        </w:rPr>
        <w:t>14</w:t>
      </w:r>
      <w:r>
        <w:rPr>
          <w:rFonts w:hint="eastAsia" w:ascii="Times New Roman" w:cs="Times New Roman"/>
          <w:sz w:val="27"/>
          <w:szCs w:val="27"/>
        </w:rPr>
        <w:t>、承办县政府交办的其他事项。</w:t>
      </w:r>
    </w:p>
    <w:p>
      <w:pPr>
        <w:pStyle w:val="6"/>
        <w:shd w:val="clear" w:color="auto" w:fill="FFFFFF"/>
      </w:pPr>
      <w:r>
        <w:rPr>
          <w:rStyle w:val="9"/>
          <w:sz w:val="27"/>
          <w:szCs w:val="27"/>
        </w:rPr>
        <w:t>  （二）机构设置。</w:t>
      </w:r>
    </w:p>
    <w:p>
      <w:pPr>
        <w:pStyle w:val="6"/>
        <w:shd w:val="clear" w:color="auto" w:fill="FFFFFF"/>
      </w:pPr>
      <w:r>
        <w:rPr>
          <w:color w:val="FF0000"/>
          <w:sz w:val="27"/>
          <w:szCs w:val="27"/>
        </w:rPr>
        <w:t> </w:t>
      </w:r>
      <w:r>
        <w:rPr>
          <w:rFonts w:hint="eastAsia"/>
          <w:sz w:val="27"/>
          <w:szCs w:val="27"/>
        </w:rPr>
        <w:t>丰都县人力资源和社会保障局内设8个职能科室，下设两个正科级参公事业单位，分别是丰都县社会保险事务中心和丰都县就业和人才中心；一个副科级参公事业单位丰都县人力资源和社会保障局行政执法支队；一个全额事业单位丰都县人力资源考试测评服务中心。</w:t>
      </w:r>
    </w:p>
    <w:p>
      <w:pPr>
        <w:pStyle w:val="6"/>
        <w:shd w:val="clear" w:color="auto" w:fill="FFFFFF"/>
      </w:pPr>
      <w:r>
        <w:rPr>
          <w:rStyle w:val="9"/>
          <w:sz w:val="27"/>
          <w:szCs w:val="27"/>
        </w:rPr>
        <w:t>  （三）单位构成。</w:t>
      </w:r>
    </w:p>
    <w:p>
      <w:pPr>
        <w:pStyle w:val="6"/>
        <w:shd w:val="clear" w:color="auto" w:fill="FFFFFF"/>
      </w:pPr>
      <w:r>
        <w:rPr>
          <w:sz w:val="27"/>
          <w:szCs w:val="27"/>
        </w:rPr>
        <w:t> </w:t>
      </w:r>
      <w:r>
        <w:rPr>
          <w:rFonts w:hint="eastAsia"/>
          <w:sz w:val="27"/>
          <w:szCs w:val="27"/>
        </w:rPr>
        <w:t>从预算单位构成看，纳入本部门2020年度决算编制的二级预算单位主要包括丰都县人力资源和社会保障局（本级）、丰都县社会保险事务中心、丰都县就业和人才中心、丰都县人力资源和社会保障局行政执法支队、丰都县人力资源考试测评服务中心。</w:t>
      </w:r>
    </w:p>
    <w:p>
      <w:pPr>
        <w:pStyle w:val="6"/>
        <w:shd w:val="clear" w:color="auto" w:fill="FFFFFF"/>
      </w:pPr>
      <w:r>
        <w:rPr>
          <w:rStyle w:val="9"/>
          <w:sz w:val="33"/>
          <w:szCs w:val="33"/>
        </w:rPr>
        <w:t>  二、部门决算情况说明</w:t>
      </w:r>
    </w:p>
    <w:p>
      <w:pPr>
        <w:pStyle w:val="6"/>
        <w:shd w:val="clear" w:color="auto" w:fill="FFFFFF"/>
      </w:pPr>
      <w:r>
        <w:rPr>
          <w:rStyle w:val="9"/>
          <w:sz w:val="27"/>
          <w:szCs w:val="27"/>
        </w:rPr>
        <w:t>  （一）收入支出决算总体情况说明。</w:t>
      </w:r>
    </w:p>
    <w:p>
      <w:pPr>
        <w:pStyle w:val="6"/>
        <w:shd w:val="clear" w:color="auto" w:fill="FFFFFF"/>
      </w:pPr>
      <w:r>
        <w:rPr>
          <w:rStyle w:val="9"/>
          <w:sz w:val="27"/>
          <w:szCs w:val="27"/>
        </w:rPr>
        <w:t>  1.总体情况。</w:t>
      </w:r>
      <w:r>
        <w:rPr>
          <w:sz w:val="27"/>
          <w:szCs w:val="27"/>
        </w:rPr>
        <w:t>2021年度收入总计7,973.38万元，支出总计7,973.38万元。收支较上年决算数增加1,854.15万元、增长30.3%，主要原因是</w:t>
      </w:r>
      <w:r>
        <w:rPr>
          <w:rFonts w:hint="eastAsia"/>
          <w:sz w:val="27"/>
          <w:szCs w:val="27"/>
        </w:rPr>
        <w:t>就业补助资金项目增加1574万元。</w:t>
      </w:r>
    </w:p>
    <w:p>
      <w:pPr>
        <w:pStyle w:val="6"/>
        <w:shd w:val="clear" w:color="auto" w:fill="FFFFFF"/>
      </w:pPr>
      <w:r>
        <w:rPr>
          <w:rStyle w:val="9"/>
          <w:sz w:val="27"/>
          <w:szCs w:val="27"/>
        </w:rPr>
        <w:t>  2.收入情况。</w:t>
      </w:r>
      <w:r>
        <w:rPr>
          <w:sz w:val="27"/>
          <w:szCs w:val="27"/>
        </w:rPr>
        <w:t>2021年度收入合计7,639.30万元，较上年决算数增加1,814.01万元，增长31.1%，主要原因是</w:t>
      </w:r>
      <w:r>
        <w:rPr>
          <w:rFonts w:hint="eastAsia"/>
          <w:sz w:val="27"/>
          <w:szCs w:val="27"/>
        </w:rPr>
        <w:t>就业补助资金项目增加1574万元。</w:t>
      </w:r>
      <w:r>
        <w:rPr>
          <w:sz w:val="27"/>
          <w:szCs w:val="27"/>
        </w:rPr>
        <w:t>其中：财政拨款收入7,309.34万元，占95.7%；其他收入329.96万元，占4.3%。此外，使用非财政拨款结余0.00万元，年初结转和结余334.08万元。</w:t>
      </w:r>
    </w:p>
    <w:p>
      <w:pPr>
        <w:pStyle w:val="6"/>
        <w:shd w:val="clear" w:color="auto" w:fill="FFFFFF"/>
      </w:pPr>
      <w:r>
        <w:rPr>
          <w:rStyle w:val="9"/>
          <w:sz w:val="27"/>
          <w:szCs w:val="27"/>
        </w:rPr>
        <w:t>  3.支出情况。</w:t>
      </w:r>
      <w:r>
        <w:rPr>
          <w:sz w:val="27"/>
          <w:szCs w:val="27"/>
        </w:rPr>
        <w:t>2021年度支出合计7,694.94万元，较上年决算数增加1,904.62万元，增长32.9%，主要原因是</w:t>
      </w:r>
      <w:r>
        <w:rPr>
          <w:rFonts w:hint="eastAsia"/>
          <w:sz w:val="27"/>
          <w:szCs w:val="27"/>
        </w:rPr>
        <w:t>就业补助资金项目增加1574万元。</w:t>
      </w:r>
      <w:r>
        <w:rPr>
          <w:sz w:val="27"/>
          <w:szCs w:val="27"/>
        </w:rPr>
        <w:t>其中：基本支出1,861.00万元，占24.2%；项目支出5,833.94万元，占75.8%。此外，结余分配0.00万元。</w:t>
      </w:r>
    </w:p>
    <w:p>
      <w:pPr>
        <w:pStyle w:val="6"/>
        <w:shd w:val="clear" w:color="auto" w:fill="FFFFFF"/>
        <w:rPr>
          <w:sz w:val="27"/>
          <w:szCs w:val="27"/>
        </w:rPr>
      </w:pPr>
      <w:r>
        <w:rPr>
          <w:rStyle w:val="9"/>
          <w:sz w:val="27"/>
          <w:szCs w:val="27"/>
        </w:rPr>
        <w:t>  4.结转结余情况。</w:t>
      </w:r>
      <w:r>
        <w:rPr>
          <w:sz w:val="27"/>
          <w:szCs w:val="27"/>
        </w:rPr>
        <w:t>2021年度年末结转和结余278.45万元，较上年决算数减少50.46万元，下降15.3%，主要原因是</w:t>
      </w:r>
      <w:r>
        <w:rPr>
          <w:rFonts w:hint="eastAsia"/>
          <w:sz w:val="27"/>
          <w:szCs w:val="27"/>
        </w:rPr>
        <w:t>结余的信产招工经费等支出导致结余减少。</w:t>
      </w:r>
    </w:p>
    <w:p>
      <w:pPr>
        <w:pStyle w:val="6"/>
        <w:shd w:val="clear" w:color="auto" w:fill="FFFFFF"/>
      </w:pPr>
      <w:r>
        <w:rPr>
          <w:rStyle w:val="9"/>
          <w:sz w:val="27"/>
          <w:szCs w:val="27"/>
        </w:rPr>
        <w:t>  （二）财政拨款收入支出决算总体情况说明。</w:t>
      </w:r>
    </w:p>
    <w:p>
      <w:pPr>
        <w:pStyle w:val="6"/>
        <w:shd w:val="clear" w:color="auto" w:fill="FFFFFF"/>
        <w:rPr>
          <w:sz w:val="27"/>
          <w:szCs w:val="27"/>
        </w:rPr>
      </w:pPr>
      <w:r>
        <w:rPr>
          <w:sz w:val="27"/>
          <w:szCs w:val="27"/>
        </w:rPr>
        <w:t>2021年度财政拨款收、支总计7,327.07万元。与2020年相比，财政拨款收、支总计各增加1,824.04万元，增长33.1%。主要原因是</w:t>
      </w:r>
      <w:r>
        <w:rPr>
          <w:rFonts w:hint="eastAsia"/>
          <w:sz w:val="27"/>
          <w:szCs w:val="27"/>
        </w:rPr>
        <w:t>就业补助资金项目增加1574万元。</w:t>
      </w:r>
    </w:p>
    <w:p>
      <w:pPr>
        <w:pStyle w:val="6"/>
        <w:shd w:val="clear" w:color="auto" w:fill="FFFFFF"/>
      </w:pPr>
      <w:r>
        <w:rPr>
          <w:rStyle w:val="9"/>
          <w:sz w:val="27"/>
          <w:szCs w:val="27"/>
        </w:rPr>
        <w:t>  （三）一般公共预算财政拨款收入支出决算情况说明。</w:t>
      </w:r>
    </w:p>
    <w:p>
      <w:pPr>
        <w:pStyle w:val="6"/>
        <w:shd w:val="clear" w:color="auto" w:fill="FFFFFF"/>
      </w:pPr>
      <w:r>
        <w:rPr>
          <w:rStyle w:val="9"/>
          <w:sz w:val="27"/>
          <w:szCs w:val="27"/>
        </w:rPr>
        <w:t>  1.收入情况。</w:t>
      </w:r>
      <w:r>
        <w:rPr>
          <w:sz w:val="27"/>
          <w:szCs w:val="27"/>
        </w:rPr>
        <w:t>2021年度一般公共预算财政拨款收入7,309.34万元，较上年决算数增加1,887.52万元，增长34.8%。主要原因是</w:t>
      </w:r>
      <w:r>
        <w:rPr>
          <w:rFonts w:hint="eastAsia"/>
          <w:sz w:val="27"/>
          <w:szCs w:val="27"/>
        </w:rPr>
        <w:t>就业补助资金项目增加1574万元。</w:t>
      </w:r>
      <w:r>
        <w:rPr>
          <w:sz w:val="27"/>
          <w:szCs w:val="27"/>
        </w:rPr>
        <w:t>较年初预算数增加1,233.38万元，增长20.3%。主要原因是</w:t>
      </w:r>
      <w:r>
        <w:rPr>
          <w:rFonts w:hint="eastAsia"/>
          <w:sz w:val="27"/>
          <w:szCs w:val="27"/>
        </w:rPr>
        <w:t>就业补助资金项目增加1574万元。</w:t>
      </w:r>
      <w:r>
        <w:rPr>
          <w:sz w:val="27"/>
          <w:szCs w:val="27"/>
        </w:rPr>
        <w:t>此外，年初财政拨款结转和结余17.73万元。</w:t>
      </w:r>
    </w:p>
    <w:p>
      <w:pPr>
        <w:pStyle w:val="6"/>
        <w:shd w:val="clear" w:color="auto" w:fill="FFFFFF"/>
      </w:pPr>
      <w:r>
        <w:rPr>
          <w:rStyle w:val="9"/>
          <w:sz w:val="27"/>
          <w:szCs w:val="27"/>
        </w:rPr>
        <w:t>  2.支出情况。</w:t>
      </w:r>
      <w:r>
        <w:rPr>
          <w:sz w:val="27"/>
          <w:szCs w:val="27"/>
        </w:rPr>
        <w:t>2021年度一般公共预算财政拨款支出7,214.46万元，较上年决算数增加1,773.99万元，增长32.6%。主要原因是</w:t>
      </w:r>
      <w:r>
        <w:rPr>
          <w:rFonts w:hint="eastAsia"/>
          <w:sz w:val="27"/>
          <w:szCs w:val="27"/>
        </w:rPr>
        <w:t>就业补助资金项目增加1574万元。</w:t>
      </w:r>
      <w:r>
        <w:rPr>
          <w:sz w:val="27"/>
          <w:szCs w:val="27"/>
        </w:rPr>
        <w:t>较年初预算数增加1,138.50万元，增长18.7%。主要原因是</w:t>
      </w:r>
      <w:r>
        <w:rPr>
          <w:rFonts w:hint="eastAsia"/>
          <w:sz w:val="27"/>
          <w:szCs w:val="27"/>
        </w:rPr>
        <w:t>就业补助资金项目增加1574万元。</w:t>
      </w:r>
    </w:p>
    <w:p>
      <w:pPr>
        <w:pStyle w:val="6"/>
        <w:shd w:val="clear" w:color="auto" w:fill="FFFFFF"/>
      </w:pPr>
      <w:r>
        <w:rPr>
          <w:rStyle w:val="9"/>
          <w:sz w:val="27"/>
          <w:szCs w:val="27"/>
        </w:rPr>
        <w:t>  3.结转结余情况。</w:t>
      </w:r>
      <w:r>
        <w:rPr>
          <w:sz w:val="27"/>
          <w:szCs w:val="27"/>
        </w:rPr>
        <w:t>2021年度年末一般公共预算财政拨款结转和结余112.62万元，较上年决算数增加100.07万元，增长797.4%，主要原因是</w:t>
      </w:r>
      <w:r>
        <w:rPr>
          <w:rFonts w:hint="eastAsia"/>
          <w:sz w:val="27"/>
          <w:szCs w:val="27"/>
        </w:rPr>
        <w:t>2021年将</w:t>
      </w:r>
      <w:r>
        <w:rPr>
          <w:rFonts w:ascii="Times New Roman" w:cs="Times New Roman"/>
          <w:sz w:val="27"/>
          <w:szCs w:val="27"/>
        </w:rPr>
        <w:t>100</w:t>
      </w:r>
      <w:r>
        <w:rPr>
          <w:rFonts w:hint="eastAsia" w:ascii="Times New Roman" w:cs="Times New Roman"/>
          <w:sz w:val="27"/>
          <w:szCs w:val="27"/>
        </w:rPr>
        <w:t>万元农民工工资应急保障金有之前的借款转为收入，存于农民工工资应急保障金银行专户。</w:t>
      </w:r>
    </w:p>
    <w:p>
      <w:pPr>
        <w:pStyle w:val="6"/>
        <w:shd w:val="clear" w:color="auto" w:fill="FFFFFF"/>
      </w:pPr>
      <w:r>
        <w:rPr>
          <w:rStyle w:val="9"/>
          <w:sz w:val="27"/>
          <w:szCs w:val="27"/>
        </w:rPr>
        <w:t>  4.比较情况。</w:t>
      </w:r>
      <w:r>
        <w:rPr>
          <w:sz w:val="27"/>
          <w:szCs w:val="27"/>
        </w:rPr>
        <w:t>本部门2021年度一般公共预算财政拨款支出主要用于以下几个方面：</w:t>
      </w:r>
      <w:r>
        <w:t xml:space="preserve"> </w:t>
      </w:r>
    </w:p>
    <w:p>
      <w:pPr>
        <w:pStyle w:val="6"/>
        <w:shd w:val="clear" w:color="auto" w:fill="FFFFFF"/>
      </w:pPr>
      <w:r>
        <w:rPr>
          <w:sz w:val="27"/>
          <w:szCs w:val="27"/>
        </w:rPr>
        <w:t>  （1）一般公共服务支出22.80万元，占0.3%，较年初预算数增加1.80万元，增长8.6%，主要原因是</w:t>
      </w:r>
      <w:r>
        <w:rPr>
          <w:rFonts w:hint="eastAsia"/>
          <w:sz w:val="27"/>
          <w:szCs w:val="27"/>
        </w:rPr>
        <w:t>年中增加的信访疑难资金1.80万元，年初未预算。</w:t>
      </w:r>
    </w:p>
    <w:p>
      <w:pPr>
        <w:pStyle w:val="6"/>
        <w:shd w:val="clear" w:color="auto" w:fill="FFFFFF"/>
        <w:rPr>
          <w:sz w:val="27"/>
          <w:szCs w:val="27"/>
        </w:rPr>
      </w:pPr>
      <w:r>
        <w:rPr>
          <w:sz w:val="27"/>
          <w:szCs w:val="27"/>
        </w:rPr>
        <w:t>   （</w:t>
      </w:r>
      <w:r>
        <w:rPr>
          <w:rFonts w:hint="eastAsia"/>
          <w:sz w:val="27"/>
          <w:szCs w:val="27"/>
        </w:rPr>
        <w:t>2</w:t>
      </w:r>
      <w:r>
        <w:rPr>
          <w:sz w:val="27"/>
          <w:szCs w:val="27"/>
        </w:rPr>
        <w:t>）教育支出63.20万元，占0.9%，较年初预算数增加63.20万元，增长</w:t>
      </w:r>
      <w:r>
        <w:rPr>
          <w:rFonts w:hint="eastAsia"/>
          <w:sz w:val="27"/>
          <w:szCs w:val="27"/>
        </w:rPr>
        <w:t>100</w:t>
      </w:r>
      <w:r>
        <w:rPr>
          <w:sz w:val="27"/>
          <w:szCs w:val="27"/>
        </w:rPr>
        <w:t>%，主要原因是</w:t>
      </w:r>
      <w:r>
        <w:rPr>
          <w:rFonts w:hint="eastAsia"/>
          <w:sz w:val="27"/>
          <w:szCs w:val="27"/>
        </w:rPr>
        <w:t>增加三峡技校资助资金及改善办学条件经费63.2万元。</w:t>
      </w:r>
    </w:p>
    <w:p>
      <w:pPr>
        <w:pStyle w:val="6"/>
        <w:shd w:val="clear" w:color="auto" w:fill="FFFFFF"/>
      </w:pPr>
      <w:r>
        <w:rPr>
          <w:sz w:val="27"/>
          <w:szCs w:val="27"/>
        </w:rPr>
        <w:t>   （</w:t>
      </w:r>
      <w:r>
        <w:rPr>
          <w:rFonts w:hint="eastAsia"/>
          <w:sz w:val="27"/>
          <w:szCs w:val="27"/>
        </w:rPr>
        <w:t>3</w:t>
      </w:r>
      <w:r>
        <w:rPr>
          <w:sz w:val="27"/>
          <w:szCs w:val="27"/>
        </w:rPr>
        <w:t>）社会保障与就业支出5,819.36万元，占80.7%，较年初预算数增加440.27万元，增长8.2%，主要原因是</w:t>
      </w:r>
      <w:r>
        <w:rPr>
          <w:rFonts w:hint="eastAsia"/>
          <w:sz w:val="27"/>
          <w:szCs w:val="27"/>
        </w:rPr>
        <w:t>政策性增资调整预算和年中增加项目：</w:t>
      </w:r>
      <w:r>
        <w:rPr>
          <w:rFonts w:hint="eastAsia"/>
          <w:sz w:val="27"/>
          <w:szCs w:val="27"/>
          <w:lang w:eastAsia="zh-CN"/>
        </w:rPr>
        <w:t>“</w:t>
      </w:r>
      <w:r>
        <w:rPr>
          <w:rFonts w:hint="eastAsia"/>
          <w:sz w:val="27"/>
          <w:szCs w:val="27"/>
        </w:rPr>
        <w:t>三支一扶</w:t>
      </w:r>
      <w:r>
        <w:rPr>
          <w:rFonts w:hint="eastAsia"/>
          <w:sz w:val="27"/>
          <w:szCs w:val="27"/>
          <w:lang w:eastAsia="zh-CN"/>
        </w:rPr>
        <w:t>”</w:t>
      </w:r>
      <w:r>
        <w:rPr>
          <w:rFonts w:hint="eastAsia"/>
          <w:sz w:val="27"/>
          <w:szCs w:val="27"/>
        </w:rPr>
        <w:t>人员安家费</w:t>
      </w:r>
      <w:r>
        <w:rPr>
          <w:sz w:val="27"/>
          <w:szCs w:val="27"/>
        </w:rPr>
        <w:t>4.2</w:t>
      </w:r>
      <w:r>
        <w:rPr>
          <w:rFonts w:hint="eastAsia"/>
          <w:sz w:val="27"/>
          <w:szCs w:val="27"/>
        </w:rPr>
        <w:t>万元、社会保障专项转移支付资金130万元。</w:t>
      </w:r>
    </w:p>
    <w:p>
      <w:pPr>
        <w:pStyle w:val="6"/>
        <w:shd w:val="clear" w:color="auto" w:fill="FFFFFF"/>
      </w:pPr>
      <w:r>
        <w:rPr>
          <w:sz w:val="27"/>
          <w:szCs w:val="27"/>
        </w:rPr>
        <w:t>  （</w:t>
      </w:r>
      <w:r>
        <w:rPr>
          <w:rFonts w:hint="eastAsia"/>
          <w:sz w:val="27"/>
          <w:szCs w:val="27"/>
        </w:rPr>
        <w:t>4</w:t>
      </w:r>
      <w:r>
        <w:rPr>
          <w:sz w:val="27"/>
          <w:szCs w:val="27"/>
        </w:rPr>
        <w:t>）卫生健康支出104.43万元，占1.4%，较年初预算数增加5.59万元，增长5.7%，主要原因是</w:t>
      </w:r>
      <w:r>
        <w:rPr>
          <w:rFonts w:hint="eastAsia"/>
          <w:sz w:val="27"/>
          <w:szCs w:val="27"/>
        </w:rPr>
        <w:t>人员增</w:t>
      </w:r>
      <w:bookmarkStart w:id="0" w:name="_GoBack"/>
      <w:bookmarkEnd w:id="0"/>
      <w:r>
        <w:rPr>
          <w:rFonts w:hint="eastAsia"/>
          <w:sz w:val="27"/>
          <w:szCs w:val="27"/>
        </w:rPr>
        <w:t>加和</w:t>
      </w:r>
      <w:r>
        <w:rPr>
          <w:rFonts w:hint="eastAsia" w:ascii="Times New Roman" w:cs="Times New Roman"/>
          <w:sz w:val="27"/>
          <w:szCs w:val="27"/>
        </w:rPr>
        <w:t>政策性增资</w:t>
      </w:r>
      <w:r>
        <w:rPr>
          <w:rFonts w:hint="eastAsia"/>
          <w:sz w:val="27"/>
          <w:szCs w:val="27"/>
        </w:rPr>
        <w:t>。</w:t>
      </w:r>
    </w:p>
    <w:p>
      <w:pPr>
        <w:pStyle w:val="6"/>
        <w:shd w:val="clear" w:color="auto" w:fill="FFFFFF"/>
        <w:rPr>
          <w:sz w:val="27"/>
          <w:szCs w:val="27"/>
        </w:rPr>
      </w:pPr>
      <w:r>
        <w:rPr>
          <w:sz w:val="27"/>
          <w:szCs w:val="27"/>
        </w:rPr>
        <w:t>  （</w:t>
      </w:r>
      <w:r>
        <w:rPr>
          <w:rFonts w:hint="eastAsia"/>
          <w:sz w:val="27"/>
          <w:szCs w:val="27"/>
        </w:rPr>
        <w:t>5</w:t>
      </w:r>
      <w:r>
        <w:rPr>
          <w:sz w:val="27"/>
          <w:szCs w:val="27"/>
        </w:rPr>
        <w:t>）节能环保支出22.98万元，占0.3%，较年初预算数增加22.98万元，增长</w:t>
      </w:r>
      <w:r>
        <w:rPr>
          <w:rFonts w:hint="eastAsia"/>
          <w:sz w:val="27"/>
          <w:szCs w:val="27"/>
        </w:rPr>
        <w:t>100</w:t>
      </w:r>
      <w:r>
        <w:rPr>
          <w:sz w:val="27"/>
          <w:szCs w:val="27"/>
        </w:rPr>
        <w:t>%，主要原因是</w:t>
      </w:r>
      <w:r>
        <w:rPr>
          <w:rFonts w:hint="eastAsia"/>
          <w:sz w:val="27"/>
          <w:szCs w:val="27"/>
        </w:rPr>
        <w:t>增加了就业补助资金第二批项目22.98万元。</w:t>
      </w:r>
    </w:p>
    <w:p>
      <w:pPr>
        <w:pStyle w:val="6"/>
        <w:shd w:val="clear" w:color="auto" w:fill="FFFFFF"/>
        <w:rPr>
          <w:sz w:val="27"/>
          <w:szCs w:val="27"/>
        </w:rPr>
      </w:pPr>
      <w:r>
        <w:rPr>
          <w:sz w:val="27"/>
          <w:szCs w:val="27"/>
        </w:rPr>
        <w:t>  （</w:t>
      </w:r>
      <w:r>
        <w:rPr>
          <w:rFonts w:hint="eastAsia"/>
          <w:sz w:val="27"/>
          <w:szCs w:val="27"/>
        </w:rPr>
        <w:t>6</w:t>
      </w:r>
      <w:r>
        <w:rPr>
          <w:sz w:val="27"/>
          <w:szCs w:val="27"/>
        </w:rPr>
        <w:t>）农林水支出1,059.16万元，占14.7%，较年初预算数增加558.50万元，增长111.54%，主要原因是</w:t>
      </w:r>
      <w:r>
        <w:rPr>
          <w:rFonts w:hint="eastAsia"/>
          <w:sz w:val="27"/>
          <w:szCs w:val="27"/>
        </w:rPr>
        <w:t>普惠金融专项资金增加558.5万元。</w:t>
      </w:r>
    </w:p>
    <w:p>
      <w:pPr>
        <w:pStyle w:val="6"/>
        <w:shd w:val="clear" w:color="auto" w:fill="FFFFFF"/>
      </w:pPr>
      <w:r>
        <w:rPr>
          <w:sz w:val="27"/>
          <w:szCs w:val="27"/>
        </w:rPr>
        <w:t>   （</w:t>
      </w:r>
      <w:r>
        <w:rPr>
          <w:rFonts w:hint="eastAsia"/>
          <w:sz w:val="27"/>
          <w:szCs w:val="27"/>
        </w:rPr>
        <w:t>7</w:t>
      </w:r>
      <w:r>
        <w:rPr>
          <w:sz w:val="27"/>
          <w:szCs w:val="27"/>
        </w:rPr>
        <w:t>）自然资源海洋气象等支出38.80万元，占0.5%，较年初预算数增加38.80万元，增长</w:t>
      </w:r>
      <w:r>
        <w:rPr>
          <w:rFonts w:hint="eastAsia"/>
          <w:sz w:val="27"/>
          <w:szCs w:val="27"/>
        </w:rPr>
        <w:t>100</w:t>
      </w:r>
      <w:r>
        <w:rPr>
          <w:sz w:val="27"/>
          <w:szCs w:val="27"/>
        </w:rPr>
        <w:t>%，主要原因是</w:t>
      </w:r>
      <w:r>
        <w:rPr>
          <w:rFonts w:hint="eastAsia"/>
          <w:sz w:val="27"/>
          <w:szCs w:val="27"/>
        </w:rPr>
        <w:t>年中追加此预算项目。</w:t>
      </w:r>
    </w:p>
    <w:p>
      <w:pPr>
        <w:pStyle w:val="6"/>
        <w:shd w:val="clear" w:color="auto" w:fill="FFFFFF"/>
      </w:pPr>
      <w:r>
        <w:rPr>
          <w:sz w:val="27"/>
          <w:szCs w:val="27"/>
        </w:rPr>
        <w:t>  （</w:t>
      </w:r>
      <w:r>
        <w:rPr>
          <w:rFonts w:hint="eastAsia"/>
          <w:sz w:val="27"/>
          <w:szCs w:val="27"/>
        </w:rPr>
        <w:t>8</w:t>
      </w:r>
      <w:r>
        <w:rPr>
          <w:sz w:val="27"/>
          <w:szCs w:val="27"/>
        </w:rPr>
        <w:t>）住房保障支出83.73万元，占1.2%，较年初预算数增加7.36万元，增长9.6%，主要原因是</w:t>
      </w:r>
      <w:r>
        <w:rPr>
          <w:rFonts w:hint="eastAsia"/>
          <w:sz w:val="27"/>
          <w:szCs w:val="27"/>
        </w:rPr>
        <w:t>人员增加和</w:t>
      </w:r>
      <w:r>
        <w:rPr>
          <w:rFonts w:hint="eastAsia" w:ascii="Times New Roman" w:cs="Times New Roman"/>
          <w:sz w:val="27"/>
          <w:szCs w:val="27"/>
        </w:rPr>
        <w:t>政策性增资</w:t>
      </w:r>
      <w:r>
        <w:rPr>
          <w:rFonts w:hint="eastAsia"/>
          <w:sz w:val="27"/>
          <w:szCs w:val="27"/>
        </w:rPr>
        <w:t>。</w:t>
      </w:r>
    </w:p>
    <w:p>
      <w:pPr>
        <w:pStyle w:val="6"/>
        <w:shd w:val="clear" w:color="auto" w:fill="FFFFFF"/>
      </w:pPr>
      <w:r>
        <w:rPr>
          <w:sz w:val="27"/>
          <w:szCs w:val="27"/>
        </w:rPr>
        <w:t> </w:t>
      </w:r>
      <w:r>
        <w:rPr>
          <w:rStyle w:val="9"/>
          <w:sz w:val="27"/>
          <w:szCs w:val="27"/>
        </w:rPr>
        <w:t>  （四）一般公共预算财政拨款基本支出决算情况说明。</w:t>
      </w:r>
    </w:p>
    <w:p>
      <w:pPr>
        <w:pStyle w:val="6"/>
        <w:shd w:val="clear" w:color="auto" w:fill="FFFFFF"/>
      </w:pPr>
      <w:r>
        <w:rPr>
          <w:sz w:val="27"/>
          <w:szCs w:val="27"/>
        </w:rPr>
        <w:t>  2021年度一般公共财政拨款基本支出1,861.00万元。其中：人员经费1,634.26万元，较上年决算数增加4.85万元，增长0.3%，主要原因是</w:t>
      </w:r>
      <w:r>
        <w:rPr>
          <w:rFonts w:hint="eastAsia"/>
          <w:sz w:val="27"/>
          <w:szCs w:val="27"/>
        </w:rPr>
        <w:t>人员增加和</w:t>
      </w:r>
      <w:r>
        <w:rPr>
          <w:rFonts w:hint="eastAsia" w:ascii="Times New Roman" w:cs="Times New Roman"/>
          <w:sz w:val="27"/>
          <w:szCs w:val="27"/>
        </w:rPr>
        <w:t>政策性增资</w:t>
      </w:r>
      <w:r>
        <w:rPr>
          <w:rFonts w:hint="eastAsia"/>
          <w:sz w:val="27"/>
          <w:szCs w:val="27"/>
        </w:rPr>
        <w:t>。人员经费用途主要包括</w:t>
      </w:r>
      <w:r>
        <w:rPr>
          <w:rFonts w:hint="eastAsia" w:ascii="Times New Roman" w:cs="Times New Roman"/>
          <w:sz w:val="27"/>
          <w:szCs w:val="27"/>
        </w:rPr>
        <w:t>基本工资、津贴补贴、奖金、社会保障缴费、公积金缴费、平时考核、目标绩效考核、事业单位超额绩效等。</w:t>
      </w:r>
      <w:r>
        <w:rPr>
          <w:sz w:val="27"/>
          <w:szCs w:val="27"/>
        </w:rPr>
        <w:t>公用经费226.73万元，较上年决算数减少68.43万元，下降23.2%，主要原因是</w:t>
      </w:r>
      <w:r>
        <w:rPr>
          <w:rFonts w:hint="eastAsia"/>
          <w:sz w:val="27"/>
          <w:szCs w:val="27"/>
        </w:rPr>
        <w:t>厉行节约、控制公用支出。</w:t>
      </w:r>
      <w:r>
        <w:rPr>
          <w:sz w:val="27"/>
          <w:szCs w:val="27"/>
        </w:rPr>
        <w:t>公用经费用途主要包括</w:t>
      </w:r>
      <w:r>
        <w:rPr>
          <w:rFonts w:hint="eastAsia" w:ascii="Times New Roman" w:cs="Times New Roman"/>
          <w:sz w:val="27"/>
          <w:szCs w:val="27"/>
        </w:rPr>
        <w:t>办公费、印刷费、咨询费、手续费、邮电费、差旅费、食堂用餐伙食费、委托业务费等。</w:t>
      </w:r>
    </w:p>
    <w:p>
      <w:pPr>
        <w:pStyle w:val="6"/>
        <w:shd w:val="clear" w:color="auto" w:fill="FFFFFF"/>
      </w:pPr>
      <w:r>
        <w:rPr>
          <w:rStyle w:val="9"/>
          <w:sz w:val="27"/>
          <w:szCs w:val="27"/>
        </w:rPr>
        <w:t>  （五）政府性基金预算收支决算情况说明。</w:t>
      </w:r>
    </w:p>
    <w:p>
      <w:pPr>
        <w:pStyle w:val="6"/>
        <w:shd w:val="clear" w:color="auto" w:fill="FFFFFF"/>
        <w:rPr>
          <w:sz w:val="27"/>
          <w:szCs w:val="27"/>
        </w:rPr>
      </w:pPr>
      <w:r>
        <w:rPr>
          <w:sz w:val="27"/>
          <w:szCs w:val="27"/>
        </w:rPr>
        <w:t>  2021年度政府性基金预算财政拨款年初结转结余0.00万元，年末结转结余0.00万元。本年收入0.00万元，较上年决算数减少50.00万元，下降100%，主要原因是</w:t>
      </w:r>
      <w:r>
        <w:rPr>
          <w:rFonts w:hint="eastAsia"/>
          <w:sz w:val="27"/>
          <w:szCs w:val="27"/>
        </w:rPr>
        <w:t>三峡移民培训经费项目减少50万元。</w:t>
      </w:r>
      <w:r>
        <w:rPr>
          <w:sz w:val="27"/>
          <w:szCs w:val="27"/>
        </w:rPr>
        <w:t>本年支出0.00万元，较上年决算数减少50.00万元，下降100%，主要原因是</w:t>
      </w:r>
      <w:r>
        <w:rPr>
          <w:rFonts w:hint="eastAsia"/>
          <w:sz w:val="27"/>
          <w:szCs w:val="27"/>
        </w:rPr>
        <w:t>三峡移民培训经费项目减少50万元。</w:t>
      </w:r>
    </w:p>
    <w:p>
      <w:pPr>
        <w:pStyle w:val="6"/>
        <w:shd w:val="clear" w:color="auto" w:fill="FFFFFF"/>
      </w:pPr>
      <w:r>
        <w:rPr>
          <w:rStyle w:val="9"/>
          <w:sz w:val="27"/>
          <w:szCs w:val="27"/>
        </w:rPr>
        <w:t>  （六）国有资本经营预算财政拨款支出决算情况说明。</w:t>
      </w:r>
    </w:p>
    <w:p>
      <w:pPr>
        <w:pStyle w:val="6"/>
        <w:shd w:val="clear" w:color="auto" w:fill="FFFFFF"/>
        <w:ind w:firstLine="270" w:firstLineChars="100"/>
      </w:pPr>
      <w:r>
        <w:rPr>
          <w:sz w:val="27"/>
          <w:szCs w:val="27"/>
        </w:rPr>
        <w:t> </w:t>
      </w:r>
      <w:r>
        <w:rPr>
          <w:rFonts w:hint="eastAsia"/>
          <w:sz w:val="27"/>
          <w:szCs w:val="27"/>
        </w:rPr>
        <w:t>本部门2021年度无国有资本经营预算财政拨款支出。</w:t>
      </w:r>
    </w:p>
    <w:p>
      <w:pPr>
        <w:pStyle w:val="6"/>
        <w:shd w:val="clear" w:color="auto" w:fill="FFFFFF"/>
      </w:pPr>
      <w:r>
        <w:rPr>
          <w:rStyle w:val="9"/>
          <w:sz w:val="27"/>
          <w:szCs w:val="27"/>
        </w:rPr>
        <w:t>  三、“三公”经费情况说明</w:t>
      </w:r>
    </w:p>
    <w:p>
      <w:pPr>
        <w:pStyle w:val="6"/>
        <w:shd w:val="clear" w:color="auto" w:fill="FFFFFF"/>
      </w:pPr>
      <w:r>
        <w:rPr>
          <w:rStyle w:val="9"/>
          <w:sz w:val="27"/>
          <w:szCs w:val="27"/>
        </w:rPr>
        <w:t>  （一）“三公”经费支出总体情况说明。</w:t>
      </w:r>
    </w:p>
    <w:p>
      <w:pPr>
        <w:pStyle w:val="6"/>
        <w:shd w:val="clear" w:color="auto" w:fill="FFFFFF"/>
      </w:pPr>
      <w:r>
        <w:rPr>
          <w:sz w:val="27"/>
          <w:szCs w:val="27"/>
        </w:rPr>
        <w:t>  2021年度“三公”经费支出共计9.90万元，较年初预算数减少17.85万元，下降64.3%，主要原因是</w:t>
      </w:r>
      <w:r>
        <w:rPr>
          <w:rFonts w:hint="eastAsia"/>
          <w:sz w:val="27"/>
          <w:szCs w:val="27"/>
        </w:rPr>
        <w:t>严格控制三公经费支出，节约成本，一是认真贯彻落实中央八项规定精神和厉行节约要求，严格落实公车使用规定，严禁公车私用，公车运行维护成本大幅下降。二是强化公务接待支出管理，严格遵守公务接待开支范围和开支标准，严格控制配餐人数。</w:t>
      </w:r>
      <w:r>
        <w:rPr>
          <w:sz w:val="27"/>
          <w:szCs w:val="27"/>
        </w:rPr>
        <w:t>较上年支出数减少0.24万元，下降2.4%，主要原因是</w:t>
      </w:r>
      <w:r>
        <w:rPr>
          <w:rFonts w:hint="eastAsia"/>
          <w:sz w:val="27"/>
          <w:szCs w:val="27"/>
        </w:rPr>
        <w:t>严格落实公车使用规定，严禁公车私用，公车出差频次减少，公车运行维护成本大幅下降。</w:t>
      </w:r>
    </w:p>
    <w:p>
      <w:pPr>
        <w:pStyle w:val="6"/>
        <w:shd w:val="clear" w:color="auto" w:fill="FFFFFF"/>
      </w:pPr>
      <w:r>
        <w:rPr>
          <w:rStyle w:val="9"/>
          <w:sz w:val="27"/>
          <w:szCs w:val="27"/>
        </w:rPr>
        <w:t>  （二）“三公”经费分项支出情况。</w:t>
      </w:r>
    </w:p>
    <w:p>
      <w:pPr>
        <w:pStyle w:val="6"/>
        <w:shd w:val="clear" w:color="auto" w:fill="FFFFFF"/>
      </w:pPr>
      <w:r>
        <w:rPr>
          <w:sz w:val="27"/>
          <w:szCs w:val="27"/>
        </w:rPr>
        <w:t> </w:t>
      </w:r>
      <w:r>
        <w:rPr>
          <w:rFonts w:hint="eastAsia"/>
          <w:sz w:val="27"/>
          <w:szCs w:val="27"/>
        </w:rPr>
        <w:t xml:space="preserve"> 本部门2021年度未发生因公出国（境）费用。</w:t>
      </w:r>
    </w:p>
    <w:p>
      <w:pPr>
        <w:pStyle w:val="6"/>
        <w:shd w:val="clear" w:color="auto" w:fill="FFFFFF"/>
      </w:pPr>
      <w:r>
        <w:rPr>
          <w:rFonts w:hint="eastAsia"/>
          <w:sz w:val="27"/>
          <w:szCs w:val="27"/>
        </w:rPr>
        <w:t>   本部门2021年度未发生公务车购置费。</w:t>
      </w:r>
    </w:p>
    <w:p>
      <w:pPr>
        <w:pStyle w:val="6"/>
        <w:shd w:val="clear" w:color="auto" w:fill="FFFFFF"/>
      </w:pPr>
      <w:r>
        <w:rPr>
          <w:sz w:val="27"/>
          <w:szCs w:val="27"/>
        </w:rPr>
        <w:t>   公务车运行维护费6.97万元，主要用于</w:t>
      </w:r>
      <w:r>
        <w:rPr>
          <w:rFonts w:hint="eastAsia"/>
          <w:sz w:val="27"/>
          <w:szCs w:val="27"/>
        </w:rPr>
        <w:t>机要文件交换、市内因公出行、监察执法活动、社会保障业务检查等工作所需车辆的燃料费、维修费、过桥过路费、保险费等。</w:t>
      </w:r>
      <w:r>
        <w:rPr>
          <w:sz w:val="27"/>
          <w:szCs w:val="27"/>
        </w:rPr>
        <w:t>费用支出较年初预算数减少1.03万元，下降12.9%，主要原因是</w:t>
      </w:r>
      <w:r>
        <w:rPr>
          <w:rFonts w:hint="eastAsia"/>
          <w:sz w:val="27"/>
          <w:szCs w:val="27"/>
        </w:rPr>
        <w:t>严格落实公车使用规定，严禁公车私用，公车出差频次减少。</w:t>
      </w:r>
      <w:r>
        <w:rPr>
          <w:sz w:val="27"/>
          <w:szCs w:val="27"/>
        </w:rPr>
        <w:t>较上年支出数减少0.95万元，下降12%，主要原因是</w:t>
      </w:r>
      <w:r>
        <w:rPr>
          <w:rFonts w:hint="eastAsia"/>
          <w:sz w:val="27"/>
          <w:szCs w:val="27"/>
        </w:rPr>
        <w:t>严格落实公车使用规定，严禁公车私用，公车出差频次减少。</w:t>
      </w:r>
    </w:p>
    <w:p>
      <w:pPr>
        <w:pStyle w:val="6"/>
        <w:shd w:val="clear" w:color="auto" w:fill="FFFFFF"/>
        <w:rPr>
          <w:sz w:val="27"/>
          <w:szCs w:val="27"/>
        </w:rPr>
      </w:pPr>
      <w:r>
        <w:rPr>
          <w:sz w:val="27"/>
          <w:szCs w:val="27"/>
        </w:rPr>
        <w:t>  公务接待费2.93万元，主要用于接待</w:t>
      </w:r>
      <w:r>
        <w:rPr>
          <w:rFonts w:hint="eastAsia"/>
          <w:sz w:val="27"/>
          <w:szCs w:val="27"/>
        </w:rPr>
        <w:t>市级部门和有关区县检查指导工作。</w:t>
      </w:r>
      <w:r>
        <w:rPr>
          <w:sz w:val="27"/>
          <w:szCs w:val="27"/>
        </w:rPr>
        <w:t>费用支出较年初预算数减少16.82万元，下降85.2%，主要原因是</w:t>
      </w:r>
      <w:r>
        <w:rPr>
          <w:rFonts w:hint="eastAsia"/>
          <w:sz w:val="27"/>
          <w:szCs w:val="27"/>
        </w:rPr>
        <w:t>强化公务接待支出管理，严格遵守公务接待开支范围和开支标准，严格控制陪餐人数，对应由接待对象承担的费用一律由接待对象自行支付。</w:t>
      </w:r>
      <w:r>
        <w:rPr>
          <w:sz w:val="27"/>
          <w:szCs w:val="27"/>
        </w:rPr>
        <w:t>较上年支出数增加0.71万元，增长32%，主要原因是</w:t>
      </w:r>
      <w:r>
        <w:rPr>
          <w:rFonts w:hint="eastAsia"/>
          <w:sz w:val="27"/>
          <w:szCs w:val="27"/>
        </w:rPr>
        <w:t>行政执法支队2021年有几次市级专项检查。</w:t>
      </w:r>
    </w:p>
    <w:p>
      <w:pPr>
        <w:pStyle w:val="6"/>
        <w:shd w:val="clear" w:color="auto" w:fill="FFFFFF"/>
      </w:pPr>
      <w:r>
        <w:rPr>
          <w:rStyle w:val="9"/>
          <w:sz w:val="27"/>
          <w:szCs w:val="27"/>
        </w:rPr>
        <w:t>  （三）“三公”经费实物量情况。</w:t>
      </w:r>
    </w:p>
    <w:p>
      <w:pPr>
        <w:pStyle w:val="6"/>
        <w:shd w:val="clear" w:color="auto" w:fill="FFFFFF"/>
      </w:pPr>
      <w:r>
        <w:rPr>
          <w:sz w:val="27"/>
          <w:szCs w:val="27"/>
        </w:rPr>
        <w:t>  2021年度本部门因公出国（境）共计0个团组，0人；公务用车购置0辆，公务车保有量为2辆；国内公务接待45批次301人，其中：国内外事接待0批次，0人；国（境）外公务接待0批次，0人。2021年本部门人均接待费97.37元，车均购置费0.00万元，车均维护费3.49万元。</w:t>
      </w:r>
    </w:p>
    <w:p>
      <w:pPr>
        <w:pStyle w:val="6"/>
        <w:shd w:val="clear" w:color="auto" w:fill="FFFFFF"/>
      </w:pPr>
      <w:r>
        <w:rPr>
          <w:rStyle w:val="9"/>
          <w:sz w:val="27"/>
          <w:szCs w:val="27"/>
        </w:rPr>
        <w:t>  四、其他需要说明的事项</w:t>
      </w:r>
    </w:p>
    <w:p>
      <w:pPr>
        <w:pStyle w:val="6"/>
        <w:shd w:val="clear" w:color="auto" w:fill="FFFFFF"/>
      </w:pPr>
      <w:r>
        <w:rPr>
          <w:rStyle w:val="9"/>
          <w:sz w:val="27"/>
          <w:szCs w:val="27"/>
        </w:rPr>
        <w:t>  （一）一般公共预算财政拨款会议费和培训费情况说明。</w:t>
      </w:r>
    </w:p>
    <w:p>
      <w:pPr>
        <w:pStyle w:val="6"/>
        <w:shd w:val="clear" w:color="auto" w:fill="FFFFFF"/>
      </w:pPr>
      <w:r>
        <w:rPr>
          <w:sz w:val="27"/>
          <w:szCs w:val="27"/>
        </w:rPr>
        <w:t>  本年度会议费支出0.53万元，较上年决算数增加0.18万元，增长51.4%，主要原因是</w:t>
      </w:r>
      <w:r>
        <w:rPr>
          <w:rFonts w:hint="eastAsia"/>
          <w:sz w:val="27"/>
          <w:szCs w:val="27"/>
        </w:rPr>
        <w:t>工作需要，导致会议餐费增加</w:t>
      </w:r>
      <w:r>
        <w:rPr>
          <w:sz w:val="27"/>
          <w:szCs w:val="27"/>
        </w:rPr>
        <w:t>。本年度培训费支出6.06万元，较上年决算数减少0.97万元，下降13.8%，主要原因是</w:t>
      </w:r>
      <w:r>
        <w:rPr>
          <w:rFonts w:hint="eastAsia"/>
          <w:sz w:val="27"/>
          <w:szCs w:val="27"/>
        </w:rPr>
        <w:t>厉行节约</w:t>
      </w:r>
      <w:r>
        <w:rPr>
          <w:sz w:val="27"/>
          <w:szCs w:val="27"/>
        </w:rPr>
        <w:t>。</w:t>
      </w:r>
    </w:p>
    <w:p>
      <w:pPr>
        <w:pStyle w:val="6"/>
        <w:shd w:val="clear" w:color="auto" w:fill="FFFFFF"/>
      </w:pPr>
      <w:r>
        <w:rPr>
          <w:rStyle w:val="9"/>
          <w:sz w:val="27"/>
          <w:szCs w:val="27"/>
        </w:rPr>
        <w:t>  （二）机关运行经费情况说明。</w:t>
      </w:r>
    </w:p>
    <w:p>
      <w:pPr>
        <w:pStyle w:val="6"/>
        <w:shd w:val="clear" w:color="auto" w:fill="FFFFFF"/>
      </w:pPr>
      <w:r>
        <w:rPr>
          <w:sz w:val="27"/>
          <w:szCs w:val="27"/>
        </w:rPr>
        <w:t>  2021年度本部门机关运行经费支出195.83万元，机关运行经费主要用于开支</w:t>
      </w:r>
      <w:r>
        <w:rPr>
          <w:rFonts w:hint="eastAsia"/>
          <w:sz w:val="27"/>
          <w:szCs w:val="27"/>
        </w:rPr>
        <w:t>办公费、信息网络维护费、水电费、差旅费、邮电费等机关运行经费。</w:t>
      </w:r>
      <w:r>
        <w:rPr>
          <w:sz w:val="27"/>
          <w:szCs w:val="27"/>
        </w:rPr>
        <w:t>机关运行经费较上年决算数减少73.92万元，下降27.4%，主要原因是</w:t>
      </w:r>
      <w:r>
        <w:rPr>
          <w:rFonts w:hint="eastAsia"/>
          <w:sz w:val="27"/>
          <w:szCs w:val="27"/>
        </w:rPr>
        <w:t>办公经费压缩。</w:t>
      </w:r>
    </w:p>
    <w:p>
      <w:pPr>
        <w:pStyle w:val="6"/>
        <w:shd w:val="clear" w:color="auto" w:fill="FFFFFF"/>
      </w:pPr>
      <w:r>
        <w:rPr>
          <w:rStyle w:val="9"/>
          <w:sz w:val="27"/>
          <w:szCs w:val="27"/>
        </w:rPr>
        <w:t>  （三）国有资产占用情况说明。</w:t>
      </w:r>
    </w:p>
    <w:p>
      <w:pPr>
        <w:pStyle w:val="6"/>
        <w:shd w:val="clear" w:color="auto" w:fill="FFFFFF"/>
      </w:pPr>
      <w:r>
        <w:rPr>
          <w:sz w:val="27"/>
          <w:szCs w:val="27"/>
        </w:rPr>
        <w:t>  截至2021年12月31日，本部门共有车辆2辆，其中，副部（省）级及以上领导用车0辆、主要领导干部用车0辆、机要通信用车0辆、应急保障用车2辆、执法执勤用车0辆，特种专业技术用车0辆，离退休干部用车0辆，其他用车0辆</w:t>
      </w:r>
      <w:r>
        <w:rPr>
          <w:rFonts w:hint="eastAsia"/>
          <w:sz w:val="27"/>
          <w:szCs w:val="27"/>
        </w:rPr>
        <w:t>。</w:t>
      </w:r>
      <w:r>
        <w:rPr>
          <w:sz w:val="27"/>
          <w:szCs w:val="27"/>
        </w:rPr>
        <w:t>单价50万元（含）以上通用设备0台（套），单价100万元（含）以上专用设备0台（套）。</w:t>
      </w:r>
    </w:p>
    <w:p>
      <w:pPr>
        <w:pStyle w:val="6"/>
        <w:shd w:val="clear" w:color="auto" w:fill="FFFFFF"/>
      </w:pPr>
      <w:r>
        <w:rPr>
          <w:rStyle w:val="9"/>
          <w:sz w:val="27"/>
          <w:szCs w:val="27"/>
        </w:rPr>
        <w:t>  （四）政府采购支出情况说明。</w:t>
      </w:r>
    </w:p>
    <w:p>
      <w:pPr>
        <w:pStyle w:val="6"/>
        <w:shd w:val="clear" w:color="auto" w:fill="FFFFFF"/>
      </w:pPr>
      <w:r>
        <w:rPr>
          <w:sz w:val="27"/>
          <w:szCs w:val="27"/>
        </w:rPr>
        <w:t>  2021年度本部门政府采购支出总额301.28万元，其中：政府采购货物支出13.28万元、政府采购工程支出0.00万元、政府采购服务支出288.00万元。授予中小企业合同金额13.28万元，占政府采购支出总额的4.4%，其中：授予小微企业合同金额13.28万元，占政府采购支出总额的4.4%。主要用于采购</w:t>
      </w:r>
      <w:r>
        <w:rPr>
          <w:rFonts w:hint="eastAsia"/>
          <w:sz w:val="27"/>
          <w:szCs w:val="27"/>
        </w:rPr>
        <w:t>办公用电脑。</w:t>
      </w:r>
    </w:p>
    <w:p>
      <w:pPr>
        <w:pStyle w:val="6"/>
        <w:shd w:val="clear" w:color="auto" w:fill="FFFFFF"/>
      </w:pPr>
      <w:r>
        <w:rPr>
          <w:rStyle w:val="9"/>
          <w:sz w:val="27"/>
          <w:szCs w:val="27"/>
        </w:rPr>
        <w:t>  五、预算绩效管理情况说明</w:t>
      </w:r>
    </w:p>
    <w:p>
      <w:pPr>
        <w:pStyle w:val="6"/>
        <w:shd w:val="clear" w:color="auto" w:fill="FFFFFF"/>
      </w:pPr>
      <w:r>
        <w:rPr>
          <w:rStyle w:val="9"/>
          <w:sz w:val="27"/>
          <w:szCs w:val="27"/>
        </w:rPr>
        <w:t>  （一）预算绩效管理工作开展情况。</w:t>
      </w:r>
    </w:p>
    <w:p>
      <w:pPr>
        <w:pStyle w:val="6"/>
        <w:shd w:val="clear" w:color="auto" w:fill="FFFFFF"/>
      </w:pPr>
      <w:r>
        <w:rPr>
          <w:rFonts w:hint="eastAsia"/>
          <w:sz w:val="27"/>
          <w:szCs w:val="27"/>
        </w:rPr>
        <w:t>根据预算绩效管理要求，本部门对36个项目开展了绩效自评，其中，以填报目标自评表形式开展自评36项，涉及资金7781.73万元；从评价情况来看，项目立项较为规范，绩效目标明确，预算编制合理，管理科学规范，资金到位及时，整体完成情况较好，有力保障了我县社会保障和及就业工作，事业单位公招工作顺利开展，各项劳动保障及监察工作的正常运行，各项目基本达到预期绩效目标。</w:t>
      </w:r>
    </w:p>
    <w:p>
      <w:pPr>
        <w:pStyle w:val="6"/>
        <w:shd w:val="clear" w:color="auto" w:fill="FFFFFF"/>
      </w:pPr>
      <w:r>
        <w:rPr>
          <w:rStyle w:val="9"/>
          <w:sz w:val="27"/>
          <w:szCs w:val="27"/>
        </w:rPr>
        <w:t>  （二）绩效自评结果。</w:t>
      </w:r>
    </w:p>
    <w:p>
      <w:pPr>
        <w:pStyle w:val="6"/>
        <w:shd w:val="clear" w:color="auto" w:fill="FFFFFF"/>
      </w:pPr>
      <w:r>
        <w:rPr>
          <w:rStyle w:val="9"/>
          <w:sz w:val="27"/>
          <w:szCs w:val="27"/>
        </w:rPr>
        <w:t>  1.绩效目标自评表。</w:t>
      </w:r>
    </w:p>
    <w:p>
      <w:pPr>
        <w:jc w:val="center"/>
        <w:rPr>
          <w:color w:val="000000"/>
          <w:sz w:val="32"/>
          <w:szCs w:val="32"/>
        </w:rPr>
      </w:pPr>
      <w:r>
        <w:rPr>
          <w:rFonts w:hint="eastAsia"/>
          <w:b/>
          <w:bCs/>
          <w:color w:val="000000"/>
          <w:sz w:val="32"/>
          <w:szCs w:val="32"/>
        </w:rPr>
        <w:t>2021年度部门整体绩效自评表</w:t>
      </w:r>
    </w:p>
    <w:p>
      <w:pPr>
        <w:jc w:val="center"/>
        <w:rPr>
          <w:bCs/>
          <w:color w:val="000000"/>
        </w:rPr>
      </w:pPr>
      <w:r>
        <w:rPr>
          <w:rFonts w:hint="eastAsia"/>
          <w:bCs/>
          <w:color w:val="000000"/>
        </w:rPr>
        <w:t>（2021年度）</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9"/>
        <w:gridCol w:w="704"/>
        <w:gridCol w:w="910"/>
        <w:gridCol w:w="1098"/>
        <w:gridCol w:w="1386"/>
        <w:gridCol w:w="1163"/>
        <w:gridCol w:w="1197"/>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（项目）名称</w:t>
            </w:r>
          </w:p>
        </w:tc>
        <w:tc>
          <w:tcPr>
            <w:tcW w:w="0" w:type="auto"/>
            <w:gridSpan w:val="5"/>
            <w:tcBorders>
              <w:top w:val="single" w:color="auto" w:sz="4" w:space="0"/>
              <w:left w:val="single" w:color="auto" w:sz="4" w:space="0"/>
              <w:bottom w:val="single" w:color="auto" w:sz="4" w:space="0"/>
              <w:right w:val="single" w:color="auto" w:sz="4" w:space="0"/>
            </w:tcBorders>
            <w:vAlign w:val="center"/>
          </w:tcPr>
          <w:p>
            <w:pPr>
              <w:jc w:val="center"/>
              <w:rPr>
                <w:rFonts w:hint="default" w:eastAsia="等线"/>
                <w:bCs/>
                <w:color w:val="000000"/>
                <w:lang w:val="en-US" w:eastAsia="zh-CN"/>
              </w:rPr>
            </w:pPr>
            <w:r>
              <w:rPr>
                <w:rFonts w:hint="eastAsia" w:eastAsia="等线"/>
                <w:bCs/>
                <w:color w:val="000000"/>
                <w:lang w:val="en-US" w:eastAsia="zh-CN"/>
              </w:rPr>
              <w:t>人力社保专项重点工作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主管部门</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bCs/>
                <w:color w:val="000000"/>
              </w:rPr>
              <w:t>丰都县人力资源和社会保障局</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资金使用单位</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bCs/>
                <w:color w:val="000000"/>
              </w:rPr>
              <w:t>丰都县人力资源和社会保障局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资金情况（万元）</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全年预算数（A）</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全年执行数（B）</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预算执行率（B/A)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年度资金总额：</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bCs/>
                <w:color w:val="000000"/>
                <w:lang w:val="en-US" w:eastAsia="zh-CN"/>
              </w:rPr>
              <w:t>4920.34</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bCs/>
                <w:color w:val="000000"/>
                <w:lang w:val="en-US" w:eastAsia="zh-CN"/>
              </w:rPr>
              <w:t>4920.34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bCs/>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其中：中央财政资金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市级资金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县级资金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等线" w:cs="宋体"/>
                <w:bCs/>
                <w:color w:val="000000"/>
                <w:sz w:val="24"/>
                <w:szCs w:val="24"/>
                <w:lang w:val="en-US" w:eastAsia="zh-CN" w:bidi="ar-SA"/>
              </w:rPr>
            </w:pPr>
            <w:r>
              <w:rPr>
                <w:rFonts w:hint="eastAsia" w:eastAsia="等线"/>
                <w:bCs/>
                <w:color w:val="000000"/>
                <w:lang w:val="en-US" w:eastAsia="zh-CN"/>
              </w:rPr>
              <w:t>4920.34</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等线" w:cs="宋体"/>
                <w:bCs/>
                <w:color w:val="000000"/>
                <w:sz w:val="24"/>
                <w:szCs w:val="24"/>
                <w:lang w:val="en-US" w:eastAsia="zh-CN" w:bidi="ar-SA"/>
              </w:rPr>
            </w:pPr>
            <w:r>
              <w:rPr>
                <w:rFonts w:hint="eastAsia" w:eastAsia="等线"/>
                <w:bCs/>
                <w:color w:val="000000"/>
                <w:lang w:val="en-US" w:eastAsia="zh-CN"/>
              </w:rPr>
              <w:t>4920.34</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等线" w:cs="宋体"/>
                <w:bCs/>
                <w:color w:val="000000"/>
                <w:sz w:val="24"/>
                <w:szCs w:val="24"/>
                <w:lang w:val="en-US" w:eastAsia="zh-CN" w:bidi="ar-SA"/>
              </w:rPr>
            </w:pPr>
            <w:r>
              <w:rPr>
                <w:rFonts w:hint="eastAsia" w:eastAsia="等线"/>
                <w:bCs/>
                <w:color w:val="00000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其他资金</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总体目标完成情况</w:t>
            </w:r>
          </w:p>
        </w:tc>
        <w:tc>
          <w:tcPr>
            <w:tcW w:w="0" w:type="auto"/>
            <w:gridSpan w:val="4"/>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总体目标</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全年实际完成情况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eastAsia="方正仿宋_GBK"/>
                <w:bCs/>
                <w:color w:val="000000"/>
                <w:sz w:val="15"/>
                <w:szCs w:val="15"/>
                <w:lang w:eastAsia="zh-CN"/>
              </w:rPr>
            </w:pPr>
            <w:r>
              <w:rPr>
                <w:rFonts w:eastAsia="方正仿宋_GBK"/>
                <w:sz w:val="15"/>
                <w:szCs w:val="15"/>
              </w:rPr>
              <w:t>以改革创新为根本动力，做好“六稳”工作，落实“六保”任务，全力稳定和扩大就业，统筹推进社会保障、人事人才、劳动关系、人社信息化、行风建设等工作，惠民生、促发展、保稳定，为全面建设社会主义现代化国家开好局、起好步作出积极贡献，以优异成绩庆祝中国共产党成立100周年。</w:t>
            </w:r>
            <w:r>
              <w:rPr>
                <w:rFonts w:hint="eastAsia" w:ascii="Times New Roman" w:hAnsi="Times New Roman" w:eastAsia="方正仿宋_GBK" w:cs="Times New Roman"/>
                <w:sz w:val="15"/>
                <w:szCs w:val="15"/>
                <w:lang w:val="en-US" w:eastAsia="zh-CN"/>
              </w:rPr>
              <w:t>一是</w:t>
            </w:r>
            <w:r>
              <w:rPr>
                <w:rFonts w:ascii="Times New Roman" w:hAnsi="Times New Roman" w:eastAsia="方正仿宋_GBK" w:cs="Times New Roman"/>
                <w:sz w:val="15"/>
                <w:szCs w:val="15"/>
              </w:rPr>
              <w:t>稳定和扩大就业</w:t>
            </w:r>
            <w:r>
              <w:rPr>
                <w:rFonts w:hint="eastAsia" w:ascii="Times New Roman" w:hAnsi="Times New Roman" w:eastAsia="方正仿宋_GBK" w:cs="Times New Roman"/>
                <w:sz w:val="15"/>
                <w:szCs w:val="15"/>
                <w:lang w:eastAsia="zh-CN"/>
              </w:rPr>
              <w:t>，</w:t>
            </w:r>
            <w:r>
              <w:rPr>
                <w:rFonts w:hint="eastAsia" w:ascii="Times New Roman" w:hAnsi="Times New Roman" w:eastAsia="方正仿宋_GBK" w:cs="Times New Roman"/>
                <w:sz w:val="15"/>
                <w:szCs w:val="15"/>
                <w:lang w:val="en-US" w:eastAsia="zh-CN"/>
              </w:rPr>
              <w:t>二是</w:t>
            </w:r>
            <w:r>
              <w:rPr>
                <w:rFonts w:ascii="Times New Roman" w:hAnsi="Times New Roman" w:eastAsia="方正仿宋_GBK" w:cs="Times New Roman"/>
                <w:sz w:val="15"/>
                <w:szCs w:val="15"/>
              </w:rPr>
              <w:t>健全多层次社会保障体系</w:t>
            </w:r>
            <w:r>
              <w:rPr>
                <w:rFonts w:hint="eastAsia" w:ascii="Times New Roman" w:hAnsi="Times New Roman" w:eastAsia="方正仿宋_GBK" w:cs="Times New Roman"/>
                <w:sz w:val="15"/>
                <w:szCs w:val="15"/>
                <w:lang w:eastAsia="zh-CN"/>
              </w:rPr>
              <w:t>，</w:t>
            </w:r>
            <w:r>
              <w:rPr>
                <w:rFonts w:hint="eastAsia" w:ascii="Times New Roman" w:hAnsi="Times New Roman" w:eastAsia="方正仿宋_GBK" w:cs="Times New Roman"/>
                <w:sz w:val="15"/>
                <w:szCs w:val="15"/>
                <w:lang w:val="en-US" w:eastAsia="zh-CN"/>
              </w:rPr>
              <w:t>三是</w:t>
            </w:r>
            <w:r>
              <w:rPr>
                <w:rFonts w:ascii="Times New Roman" w:hAnsi="Times New Roman" w:eastAsia="方正仿宋_GBK" w:cs="Times New Roman"/>
                <w:sz w:val="15"/>
                <w:szCs w:val="15"/>
              </w:rPr>
              <w:t>激发人才创新创业活力</w:t>
            </w:r>
            <w:r>
              <w:rPr>
                <w:rFonts w:hint="eastAsia" w:ascii="Times New Roman" w:hAnsi="Times New Roman" w:eastAsia="方正仿宋_GBK" w:cs="Times New Roman"/>
                <w:sz w:val="15"/>
                <w:szCs w:val="15"/>
                <w:lang w:eastAsia="zh-CN"/>
              </w:rPr>
              <w:t>，</w:t>
            </w:r>
            <w:r>
              <w:rPr>
                <w:rFonts w:hint="eastAsia" w:ascii="Times New Roman" w:hAnsi="Times New Roman" w:eastAsia="方正仿宋_GBK" w:cs="Times New Roman"/>
                <w:sz w:val="15"/>
                <w:szCs w:val="15"/>
                <w:lang w:val="en-US" w:eastAsia="zh-CN"/>
              </w:rPr>
              <w:t>四是</w:t>
            </w:r>
            <w:r>
              <w:rPr>
                <w:rFonts w:ascii="Times New Roman" w:hAnsi="Times New Roman" w:eastAsia="方正仿宋_GBK" w:cs="Times New Roman"/>
                <w:sz w:val="15"/>
                <w:szCs w:val="15"/>
              </w:rPr>
              <w:t>构建和谐劳动关系</w:t>
            </w:r>
            <w:r>
              <w:rPr>
                <w:rFonts w:hint="eastAsia" w:ascii="Times New Roman" w:hAnsi="Times New Roman" w:eastAsia="方正仿宋_GBK" w:cs="Times New Roman"/>
                <w:sz w:val="15"/>
                <w:szCs w:val="15"/>
                <w:lang w:eastAsia="zh-CN"/>
              </w:rPr>
              <w:t>，</w:t>
            </w:r>
            <w:r>
              <w:rPr>
                <w:rFonts w:ascii="Times New Roman" w:hAnsi="Times New Roman" w:eastAsia="方正仿宋_GBK" w:cs="Times New Roman"/>
                <w:sz w:val="15"/>
                <w:szCs w:val="15"/>
              </w:rPr>
              <w:t>五</w:t>
            </w:r>
            <w:r>
              <w:rPr>
                <w:rFonts w:hint="eastAsia" w:ascii="Times New Roman" w:hAnsi="Times New Roman" w:eastAsia="方正仿宋_GBK" w:cs="Times New Roman"/>
                <w:sz w:val="15"/>
                <w:szCs w:val="15"/>
                <w:lang w:val="en-US" w:eastAsia="zh-CN"/>
              </w:rPr>
              <w:t>是</w:t>
            </w:r>
            <w:r>
              <w:rPr>
                <w:rFonts w:ascii="Times New Roman" w:hAnsi="Times New Roman" w:eastAsia="方正仿宋_GBK" w:cs="Times New Roman"/>
                <w:sz w:val="15"/>
                <w:szCs w:val="15"/>
              </w:rPr>
              <w:t>优化人社公共服务</w:t>
            </w:r>
            <w:r>
              <w:rPr>
                <w:rFonts w:hint="eastAsia" w:ascii="Times New Roman" w:hAnsi="Times New Roman" w:eastAsia="方正仿宋_GBK" w:cs="Times New Roman"/>
                <w:sz w:val="15"/>
                <w:szCs w:val="15"/>
                <w:lang w:eastAsia="zh-CN"/>
              </w:rPr>
              <w:t>，</w:t>
            </w:r>
            <w:r>
              <w:rPr>
                <w:rFonts w:hint="eastAsia" w:ascii="Times New Roman" w:hAnsi="Times New Roman" w:cs="Times New Roman"/>
                <w:sz w:val="15"/>
                <w:szCs w:val="15"/>
                <w:lang w:val="en-US" w:eastAsia="zh-CN"/>
              </w:rPr>
              <w:t>六</w:t>
            </w:r>
            <w:r>
              <w:rPr>
                <w:rFonts w:hint="eastAsia" w:ascii="Times New Roman" w:hAnsi="Times New Roman" w:eastAsia="方正仿宋_GBK" w:cs="Times New Roman"/>
                <w:sz w:val="15"/>
                <w:szCs w:val="15"/>
                <w:lang w:val="en-US" w:eastAsia="zh-CN"/>
              </w:rPr>
              <w:t>是</w:t>
            </w:r>
            <w:r>
              <w:rPr>
                <w:rFonts w:ascii="Times New Roman" w:hAnsi="Times New Roman" w:eastAsia="方正仿宋_GBK" w:cs="Times New Roman"/>
                <w:sz w:val="15"/>
                <w:szCs w:val="15"/>
              </w:rPr>
              <w:t>夯实基础工作</w:t>
            </w:r>
            <w:r>
              <w:rPr>
                <w:rFonts w:hint="eastAsia" w:ascii="Times New Roman" w:hAnsi="Times New Roman" w:eastAsia="方正仿宋_GBK" w:cs="Times New Roman"/>
                <w:sz w:val="15"/>
                <w:szCs w:val="15"/>
                <w:lang w:eastAsia="zh-CN"/>
              </w:rPr>
              <w:t>。</w:t>
            </w:r>
          </w:p>
        </w:tc>
        <w:tc>
          <w:tcPr>
            <w:tcW w:w="0" w:type="auto"/>
            <w:gridSpan w:val="3"/>
            <w:tcBorders>
              <w:top w:val="single" w:color="auto" w:sz="4" w:space="0"/>
              <w:left w:val="single" w:color="auto" w:sz="4" w:space="0"/>
              <w:bottom w:val="single" w:color="auto" w:sz="4" w:space="0"/>
              <w:right w:val="single" w:color="auto" w:sz="4" w:space="0"/>
            </w:tcBorders>
            <w:vAlign w:val="center"/>
          </w:tcPr>
          <w:p>
            <w:pPr>
              <w:jc w:val="left"/>
              <w:rPr>
                <w:rFonts w:eastAsia="方正仿宋_GBK"/>
                <w:sz w:val="15"/>
                <w:szCs w:val="15"/>
              </w:rPr>
            </w:pPr>
            <w:r>
              <w:rPr>
                <w:rFonts w:hint="eastAsia" w:eastAsia="方正仿宋_GBK"/>
                <w:sz w:val="15"/>
                <w:szCs w:val="15"/>
                <w:lang w:val="en-US" w:eastAsia="zh-CN"/>
              </w:rPr>
              <w:t>一是就业创业展现新作为。2021年</w:t>
            </w:r>
            <w:r>
              <w:rPr>
                <w:rFonts w:eastAsia="方正仿宋_GBK"/>
                <w:sz w:val="15"/>
                <w:szCs w:val="15"/>
                <w:lang w:val="zh-CN"/>
              </w:rPr>
              <w:t>，</w:t>
            </w:r>
            <w:r>
              <w:rPr>
                <w:rFonts w:eastAsia="方正仿宋_GBK"/>
                <w:sz w:val="15"/>
                <w:szCs w:val="15"/>
              </w:rPr>
              <w:t>全县城镇新增就业</w:t>
            </w:r>
            <w:r>
              <w:rPr>
                <w:rFonts w:hint="eastAsia" w:eastAsia="方正仿宋_GBK"/>
                <w:sz w:val="15"/>
                <w:szCs w:val="15"/>
                <w:lang w:val="en-US" w:eastAsia="zh-CN"/>
              </w:rPr>
              <w:t>6125</w:t>
            </w:r>
            <w:r>
              <w:rPr>
                <w:rFonts w:eastAsia="方正仿宋_GBK"/>
                <w:sz w:val="15"/>
                <w:szCs w:val="15"/>
              </w:rPr>
              <w:t>人，完成目标任务数4500人的</w:t>
            </w:r>
            <w:r>
              <w:rPr>
                <w:rFonts w:hint="eastAsia" w:eastAsia="方正仿宋_GBK"/>
                <w:sz w:val="15"/>
                <w:szCs w:val="15"/>
                <w:lang w:val="en-US" w:eastAsia="zh-CN"/>
              </w:rPr>
              <w:t>136</w:t>
            </w:r>
            <w:r>
              <w:rPr>
                <w:rFonts w:eastAsia="方正仿宋_GBK"/>
                <w:sz w:val="15"/>
                <w:szCs w:val="15"/>
              </w:rPr>
              <w:t>%</w:t>
            </w:r>
            <w:r>
              <w:rPr>
                <w:rFonts w:hint="eastAsia" w:eastAsia="方正仿宋_GBK"/>
                <w:sz w:val="15"/>
                <w:szCs w:val="15"/>
              </w:rPr>
              <w:t>；</w:t>
            </w:r>
            <w:r>
              <w:rPr>
                <w:rFonts w:eastAsia="方正仿宋_GBK"/>
                <w:sz w:val="15"/>
                <w:szCs w:val="15"/>
              </w:rPr>
              <w:t>发放创业担保贷款</w:t>
            </w:r>
            <w:r>
              <w:rPr>
                <w:rFonts w:hint="eastAsia" w:eastAsia="方正仿宋_GBK"/>
                <w:sz w:val="15"/>
                <w:szCs w:val="15"/>
              </w:rPr>
              <w:t>1.245亿元，完成目标任务5500万元的226.36%；</w:t>
            </w:r>
            <w:r>
              <w:rPr>
                <w:rFonts w:eastAsia="方正仿宋_GBK"/>
                <w:sz w:val="15"/>
                <w:szCs w:val="15"/>
              </w:rPr>
              <w:t>开展职业技能培训</w:t>
            </w:r>
            <w:r>
              <w:rPr>
                <w:rFonts w:hint="eastAsia" w:eastAsia="方正仿宋_GBK"/>
                <w:sz w:val="15"/>
                <w:szCs w:val="15"/>
              </w:rPr>
              <w:t>1.26万人次，完成目标任务9400人次的118.82%；</w:t>
            </w:r>
            <w:r>
              <w:rPr>
                <w:rFonts w:eastAsia="方正仿宋_GBK"/>
                <w:sz w:val="15"/>
                <w:szCs w:val="15"/>
              </w:rPr>
              <w:t>转移脱贫人口到山东就业34人，完成目标任务10人的340%</w:t>
            </w:r>
            <w:r>
              <w:rPr>
                <w:rFonts w:hint="eastAsia" w:eastAsia="方正仿宋_GBK"/>
                <w:sz w:val="15"/>
                <w:szCs w:val="15"/>
              </w:rPr>
              <w:t>；年底应届高校毕业生就业率95.7%。2021年，丰都县全体居民人均可支配收入28137元，增速9.9%，全市排名第4，考核组排名第4</w:t>
            </w:r>
            <w:r>
              <w:rPr>
                <w:rFonts w:eastAsia="方正仿宋_GBK"/>
                <w:sz w:val="15"/>
                <w:szCs w:val="15"/>
              </w:rPr>
              <w:t>。</w:t>
            </w:r>
          </w:p>
          <w:p>
            <w:pPr>
              <w:jc w:val="left"/>
              <w:rPr>
                <w:rFonts w:hint="eastAsia" w:eastAsia="方正仿宋_GBK"/>
                <w:sz w:val="15"/>
                <w:szCs w:val="15"/>
              </w:rPr>
            </w:pPr>
            <w:r>
              <w:rPr>
                <w:rFonts w:hint="eastAsia" w:eastAsia="方正仿宋_GBK"/>
                <w:sz w:val="15"/>
                <w:szCs w:val="15"/>
                <w:lang w:val="en-US" w:eastAsia="zh-CN"/>
              </w:rPr>
              <w:t>二是</w:t>
            </w:r>
            <w:r>
              <w:rPr>
                <w:rFonts w:eastAsia="方正仿宋_GBK"/>
                <w:sz w:val="15"/>
                <w:szCs w:val="15"/>
                <w:lang w:val="en-US" w:eastAsia="zh-CN"/>
              </w:rPr>
              <w:t>社会保障获得新成效。</w:t>
            </w:r>
            <w:r>
              <w:rPr>
                <w:rFonts w:hint="default" w:eastAsia="方正仿宋_GBK"/>
                <w:sz w:val="15"/>
                <w:szCs w:val="15"/>
              </w:rPr>
              <w:t>参保扩面持续推进。</w:t>
            </w:r>
            <w:r>
              <w:rPr>
                <w:rFonts w:hint="eastAsia" w:eastAsia="方正仿宋_GBK"/>
                <w:sz w:val="15"/>
                <w:szCs w:val="15"/>
                <w:lang w:val="en-US" w:eastAsia="zh-CN"/>
              </w:rPr>
              <w:t>2021年</w:t>
            </w:r>
            <w:r>
              <w:rPr>
                <w:rFonts w:hint="eastAsia" w:eastAsia="方正仿宋_GBK"/>
                <w:sz w:val="15"/>
                <w:szCs w:val="15"/>
              </w:rPr>
              <w:t>全县养老保险参保49.5万人，其中在职34.78万人，退休14.72万人</w:t>
            </w:r>
            <w:r>
              <w:rPr>
                <w:rFonts w:eastAsia="方正仿宋_GBK"/>
                <w:sz w:val="15"/>
                <w:szCs w:val="15"/>
              </w:rPr>
              <w:t>。</w:t>
            </w:r>
            <w:r>
              <w:rPr>
                <w:rFonts w:hint="default" w:eastAsia="方正仿宋_GBK"/>
                <w:sz w:val="15"/>
                <w:szCs w:val="15"/>
              </w:rPr>
              <w:t>二是基金收支平稳运行。</w:t>
            </w:r>
            <w:r>
              <w:rPr>
                <w:rFonts w:hint="eastAsia" w:eastAsia="方正仿宋_GBK"/>
                <w:sz w:val="15"/>
                <w:szCs w:val="15"/>
              </w:rPr>
              <w:t>全县养老保险征收327716.97万元（含上级补助收入），支出326664.26万元（含上解上级支出）</w:t>
            </w:r>
            <w:r>
              <w:rPr>
                <w:rFonts w:hint="eastAsia" w:eastAsia="方正仿宋_GBK"/>
                <w:sz w:val="15"/>
                <w:szCs w:val="15"/>
                <w:lang w:eastAsia="zh-CN"/>
              </w:rPr>
              <w:t>；</w:t>
            </w:r>
            <w:r>
              <w:rPr>
                <w:rFonts w:hint="eastAsia" w:eastAsia="方正仿宋_GBK"/>
                <w:sz w:val="15"/>
                <w:szCs w:val="15"/>
              </w:rPr>
              <w:t>职业年金征收19391.91万元，支出19404.43万元；工伤保险征收3302.8万元（含上级补助收入），支出3135.92万元（含上解上级支出）</w:t>
            </w:r>
            <w:r>
              <w:rPr>
                <w:rFonts w:hint="eastAsia" w:eastAsia="方正仿宋_GBK"/>
                <w:sz w:val="15"/>
                <w:szCs w:val="15"/>
                <w:lang w:eastAsia="zh-CN"/>
              </w:rPr>
              <w:t>。</w:t>
            </w:r>
            <w:r>
              <w:rPr>
                <w:rFonts w:eastAsia="方正仿宋_GBK"/>
                <w:sz w:val="15"/>
                <w:szCs w:val="15"/>
              </w:rPr>
              <w:t>三是持续落实降费减负政策。</w:t>
            </w:r>
            <w:r>
              <w:rPr>
                <w:rFonts w:hint="eastAsia" w:eastAsia="方正仿宋_GBK"/>
                <w:sz w:val="15"/>
                <w:szCs w:val="15"/>
              </w:rPr>
              <w:t>全年小微困难企业养老保险、失业保险、工伤保险共计减免社保费295.81万元。</w:t>
            </w:r>
          </w:p>
          <w:p>
            <w:pPr>
              <w:jc w:val="left"/>
              <w:rPr>
                <w:rFonts w:hint="default" w:eastAsia="方正仿宋_GBK"/>
                <w:sz w:val="15"/>
                <w:szCs w:val="15"/>
              </w:rPr>
            </w:pPr>
            <w:r>
              <w:rPr>
                <w:rFonts w:hint="eastAsia" w:eastAsia="方正仿宋_GBK"/>
                <w:sz w:val="15"/>
                <w:szCs w:val="15"/>
                <w:lang w:val="en-US" w:eastAsia="zh-CN"/>
              </w:rPr>
              <w:t>三是</w:t>
            </w:r>
            <w:r>
              <w:rPr>
                <w:rFonts w:eastAsia="方正仿宋_GBK"/>
                <w:sz w:val="15"/>
                <w:szCs w:val="15"/>
              </w:rPr>
              <w:t>人才工作取得新进展。通过事业单位公招、特岗教师招聘、“三支一扶”招聘等</w:t>
            </w:r>
            <w:r>
              <w:rPr>
                <w:rFonts w:hint="eastAsia" w:eastAsia="方正仿宋_GBK"/>
                <w:sz w:val="15"/>
                <w:szCs w:val="15"/>
              </w:rPr>
              <w:t>渠道</w:t>
            </w:r>
            <w:r>
              <w:rPr>
                <w:rFonts w:eastAsia="方正仿宋_GBK"/>
                <w:sz w:val="15"/>
                <w:szCs w:val="15"/>
              </w:rPr>
              <w:t>，全年为</w:t>
            </w:r>
            <w:r>
              <w:rPr>
                <w:rFonts w:hint="eastAsia" w:eastAsia="方正仿宋_GBK"/>
                <w:sz w:val="15"/>
                <w:szCs w:val="15"/>
              </w:rPr>
              <w:t>我县</w:t>
            </w:r>
            <w:r>
              <w:rPr>
                <w:rFonts w:eastAsia="方正仿宋_GBK"/>
                <w:sz w:val="15"/>
                <w:szCs w:val="15"/>
              </w:rPr>
              <w:t>引进高校毕业生370名</w:t>
            </w:r>
            <w:r>
              <w:rPr>
                <w:rFonts w:hint="eastAsia" w:eastAsia="方正仿宋_GBK"/>
                <w:sz w:val="15"/>
                <w:szCs w:val="15"/>
              </w:rPr>
              <w:t>，</w:t>
            </w:r>
            <w:r>
              <w:rPr>
                <w:rFonts w:eastAsia="方正仿宋_GBK"/>
                <w:sz w:val="15"/>
                <w:szCs w:val="15"/>
              </w:rPr>
              <w:t>回引</w:t>
            </w:r>
            <w:r>
              <w:rPr>
                <w:rFonts w:hint="eastAsia" w:eastAsia="方正仿宋_GBK"/>
                <w:sz w:val="15"/>
                <w:szCs w:val="15"/>
              </w:rPr>
              <w:t>调入丰都籍在外人才</w:t>
            </w:r>
            <w:r>
              <w:rPr>
                <w:rFonts w:eastAsia="方正仿宋_GBK"/>
                <w:sz w:val="15"/>
                <w:szCs w:val="15"/>
              </w:rPr>
              <w:t>54名</w:t>
            </w:r>
            <w:r>
              <w:rPr>
                <w:rFonts w:hint="eastAsia" w:eastAsia="方正仿宋_GBK"/>
                <w:sz w:val="15"/>
                <w:szCs w:val="15"/>
              </w:rPr>
              <w:t>到乡镇工作</w:t>
            </w:r>
            <w:r>
              <w:rPr>
                <w:rFonts w:hint="default" w:eastAsia="方正仿宋_GBK"/>
                <w:sz w:val="15"/>
                <w:szCs w:val="15"/>
              </w:rPr>
              <w:t>。推行“产教融合、校企合作、工学一体”培养模式，成功创建</w:t>
            </w:r>
            <w:r>
              <w:rPr>
                <w:rFonts w:hint="default" w:eastAsia="方正仿宋_GBK"/>
                <w:sz w:val="15"/>
                <w:szCs w:val="15"/>
                <w:lang w:val="zh-CN"/>
              </w:rPr>
              <w:t>市级高技能人才培训基地</w:t>
            </w:r>
            <w:r>
              <w:rPr>
                <w:rFonts w:hint="default" w:eastAsia="方正仿宋_GBK"/>
                <w:sz w:val="15"/>
                <w:szCs w:val="15"/>
              </w:rPr>
              <w:t>1个、市级技能大师工作室1个。构建人才交流机制，选派30名专技人才赴枣庄交流学习。积极落实各类人才安家补助费，兑现2018年、2019年创新人才安家补助97万元。</w:t>
            </w:r>
          </w:p>
          <w:p>
            <w:pPr>
              <w:jc w:val="left"/>
              <w:rPr>
                <w:rFonts w:eastAsia="等线"/>
                <w:bCs/>
                <w:color w:val="000000"/>
                <w:sz w:val="15"/>
                <w:szCs w:val="15"/>
              </w:rPr>
            </w:pPr>
            <w:r>
              <w:rPr>
                <w:rFonts w:hint="eastAsia" w:eastAsia="方正仿宋_GBK"/>
                <w:sz w:val="15"/>
                <w:szCs w:val="15"/>
                <w:lang w:val="en-US" w:eastAsia="zh-CN"/>
              </w:rPr>
              <w:t>四是</w:t>
            </w:r>
            <w:r>
              <w:rPr>
                <w:rFonts w:eastAsia="方正仿宋_GBK"/>
                <w:sz w:val="15"/>
                <w:szCs w:val="15"/>
              </w:rPr>
              <w:t>行风建设迈出新步伐。</w:t>
            </w:r>
            <w:r>
              <w:rPr>
                <w:rFonts w:hint="default" w:eastAsia="方正仿宋_GBK"/>
                <w:sz w:val="15"/>
                <w:szCs w:val="15"/>
                <w:lang w:val="zh-CN"/>
              </w:rPr>
              <w:t>扎实开展</w:t>
            </w:r>
            <w:r>
              <w:rPr>
                <w:rFonts w:hint="default" w:eastAsia="方正仿宋_GBK"/>
                <w:sz w:val="15"/>
                <w:szCs w:val="15"/>
                <w:lang w:eastAsia="zh-CN"/>
              </w:rPr>
              <w:t>党史学习教育</w:t>
            </w:r>
            <w:r>
              <w:rPr>
                <w:rFonts w:hint="eastAsia" w:eastAsia="方正仿宋_GBK"/>
                <w:sz w:val="15"/>
                <w:szCs w:val="15"/>
                <w:lang w:eastAsia="zh-CN"/>
              </w:rPr>
              <w:t>，</w:t>
            </w:r>
            <w:r>
              <w:rPr>
                <w:rFonts w:hint="default" w:eastAsia="方正仿宋_GBK"/>
                <w:sz w:val="15"/>
                <w:szCs w:val="15"/>
                <w:lang w:eastAsia="zh-CN"/>
              </w:rPr>
              <w:t>坚持以学促干、学以致用，全力开展好“我为群众办实事”实践活动，为民排忧解难。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绩效指标</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一级指标</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二级指标</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三级指标</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指标值</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color w:val="000000"/>
                <w:sz w:val="20"/>
                <w:szCs w:val="20"/>
              </w:rPr>
            </w:pPr>
            <w:r>
              <w:rPr>
                <w:rFonts w:hint="eastAsia" w:eastAsia="等线"/>
                <w:color w:val="000000"/>
                <w:sz w:val="20"/>
                <w:szCs w:val="20"/>
              </w:rPr>
              <w:t>全年实际</w:t>
            </w:r>
          </w:p>
          <w:p>
            <w:pPr>
              <w:jc w:val="center"/>
              <w:rPr>
                <w:rFonts w:eastAsia="等线"/>
                <w:bCs/>
                <w:color w:val="000000"/>
              </w:rPr>
            </w:pPr>
            <w:r>
              <w:rPr>
                <w:rFonts w:hint="eastAsia" w:eastAsia="等线"/>
                <w:color w:val="000000"/>
                <w:sz w:val="20"/>
                <w:szCs w:val="20"/>
              </w:rPr>
              <w:t>完成值</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color w:val="000000"/>
                <w:sz w:val="20"/>
                <w:szCs w:val="20"/>
              </w:rPr>
              <w:t>未完成原因改进措施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产</w:t>
            </w:r>
            <w:r>
              <w:rPr>
                <w:rFonts w:hint="eastAsia" w:eastAsia="等线"/>
                <w:sz w:val="20"/>
                <w:szCs w:val="20"/>
              </w:rPr>
              <w:br w:type="textWrapping"/>
            </w:r>
            <w:r>
              <w:rPr>
                <w:rFonts w:hint="eastAsia" w:eastAsia="等线"/>
                <w:sz w:val="20"/>
                <w:szCs w:val="20"/>
              </w:rPr>
              <w:t>出</w:t>
            </w:r>
            <w:r>
              <w:rPr>
                <w:rFonts w:hint="eastAsia" w:eastAsia="等线"/>
                <w:sz w:val="20"/>
                <w:szCs w:val="20"/>
              </w:rPr>
              <w:br w:type="textWrapping"/>
            </w:r>
            <w:r>
              <w:rPr>
                <w:rFonts w:hint="eastAsia" w:eastAsia="等线"/>
                <w:sz w:val="20"/>
                <w:szCs w:val="20"/>
              </w:rPr>
              <w:t>指</w:t>
            </w:r>
            <w:r>
              <w:rPr>
                <w:rFonts w:hint="eastAsia" w:eastAsia="等线"/>
                <w:sz w:val="20"/>
                <w:szCs w:val="20"/>
              </w:rPr>
              <w:br w:type="textWrapping"/>
            </w:r>
            <w:r>
              <w:rPr>
                <w:rFonts w:hint="eastAsia" w:eastAsia="等线"/>
                <w:sz w:val="20"/>
                <w:szCs w:val="20"/>
              </w:rPr>
              <w:t>标</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数量指标</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sz w:val="21"/>
                <w:szCs w:val="21"/>
              </w:rPr>
              <w:t>全年全县新增就业</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≥6000人</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6125</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sz w:val="21"/>
                <w:szCs w:val="21"/>
              </w:rPr>
              <w:t>开展职业技能培训</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lang w:val="en-US" w:eastAsia="zh-CN"/>
              </w:rPr>
              <w:t>≥</w:t>
            </w:r>
            <w:r>
              <w:rPr>
                <w:rFonts w:hint="eastAsia" w:asciiTheme="majorEastAsia" w:hAnsiTheme="majorEastAsia" w:eastAsiaTheme="majorEastAsia" w:cstheme="majorEastAsia"/>
                <w:sz w:val="21"/>
                <w:szCs w:val="21"/>
              </w:rPr>
              <w:t>9400人次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12600人次</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为事业单位招聘人员</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≥150人</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364人</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质量指标</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社保基金监督、劳动能力鉴定、工伤认定等重点工作有序推进</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lang w:val="en-US" w:eastAsia="zh-CN"/>
              </w:rPr>
              <w:t>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社保政策宣传广泛</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lang w:val="en-US" w:eastAsia="zh-CN" w:bidi="ar-SA"/>
              </w:rPr>
            </w:pPr>
            <w:r>
              <w:rPr>
                <w:rFonts w:hint="eastAsia" w:asciiTheme="majorEastAsia" w:hAnsiTheme="majorEastAsia" w:eastAsiaTheme="majorEastAsia" w:cstheme="majorEastAsia"/>
                <w:bCs/>
                <w:color w:val="000000"/>
                <w:sz w:val="21"/>
                <w:szCs w:val="21"/>
                <w:lang w:val="en-US" w:eastAsia="zh-CN"/>
              </w:rPr>
              <w:t>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lang w:val="en-US" w:eastAsia="zh-CN" w:bidi="ar-SA"/>
              </w:rPr>
            </w:pPr>
            <w:r>
              <w:rPr>
                <w:rFonts w:hint="eastAsia" w:asciiTheme="majorEastAsia" w:hAnsiTheme="majorEastAsia" w:eastAsiaTheme="majorEastAsia" w:cstheme="majorEastAsia"/>
                <w:bCs/>
                <w:color w:val="000000"/>
                <w:sz w:val="21"/>
                <w:szCs w:val="21"/>
                <w:lang w:val="en-US" w:eastAsia="zh-CN"/>
              </w:rPr>
              <w:t>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lang w:val="en-US" w:eastAsia="zh-CN"/>
              </w:rPr>
            </w:pPr>
            <w:r>
              <w:rPr>
                <w:rFonts w:hint="eastAsia" w:asciiTheme="majorEastAsia" w:hAnsiTheme="majorEastAsia" w:eastAsiaTheme="majorEastAsia" w:cstheme="majorEastAsia"/>
                <w:bCs/>
                <w:color w:val="000000"/>
                <w:sz w:val="21"/>
                <w:szCs w:val="21"/>
              </w:rPr>
              <w:t>全县工资统发</w:t>
            </w:r>
            <w:r>
              <w:rPr>
                <w:rFonts w:hint="eastAsia" w:asciiTheme="majorEastAsia" w:hAnsiTheme="majorEastAsia" w:eastAsiaTheme="majorEastAsia" w:cstheme="majorEastAsia"/>
                <w:bCs/>
                <w:color w:val="000000"/>
                <w:sz w:val="21"/>
                <w:szCs w:val="21"/>
                <w:lang w:val="en-US" w:eastAsia="zh-CN"/>
              </w:rPr>
              <w:t>稳定有序</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lang w:val="en-US" w:eastAsia="zh-CN" w:bidi="ar-SA"/>
              </w:rPr>
            </w:pPr>
            <w:r>
              <w:rPr>
                <w:rFonts w:hint="eastAsia" w:asciiTheme="majorEastAsia" w:hAnsiTheme="majorEastAsia" w:eastAsiaTheme="majorEastAsia" w:cstheme="majorEastAsia"/>
                <w:bCs/>
                <w:color w:val="000000"/>
                <w:sz w:val="21"/>
                <w:szCs w:val="21"/>
                <w:lang w:val="en-US" w:eastAsia="zh-CN"/>
              </w:rPr>
              <w:t>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lang w:val="en-US" w:eastAsia="zh-CN" w:bidi="ar-SA"/>
              </w:rPr>
            </w:pPr>
            <w:r>
              <w:rPr>
                <w:rFonts w:hint="eastAsia" w:asciiTheme="majorEastAsia" w:hAnsiTheme="majorEastAsia" w:eastAsiaTheme="majorEastAsia" w:cstheme="majorEastAsia"/>
                <w:bCs/>
                <w:color w:val="000000"/>
                <w:sz w:val="21"/>
                <w:szCs w:val="21"/>
                <w:lang w:val="en-US" w:eastAsia="zh-CN"/>
              </w:rPr>
              <w:t>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时效指标</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成本指标</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效</w:t>
            </w:r>
            <w:r>
              <w:rPr>
                <w:rFonts w:hint="eastAsia" w:eastAsia="等线"/>
                <w:sz w:val="20"/>
                <w:szCs w:val="20"/>
              </w:rPr>
              <w:br w:type="textWrapping"/>
            </w:r>
            <w:r>
              <w:rPr>
                <w:rFonts w:hint="eastAsia" w:eastAsia="等线"/>
                <w:sz w:val="20"/>
                <w:szCs w:val="20"/>
              </w:rPr>
              <w:t>益</w:t>
            </w:r>
            <w:r>
              <w:rPr>
                <w:rFonts w:hint="eastAsia" w:eastAsia="等线"/>
                <w:sz w:val="20"/>
                <w:szCs w:val="20"/>
              </w:rPr>
              <w:br w:type="textWrapping"/>
            </w:r>
            <w:r>
              <w:rPr>
                <w:rFonts w:hint="eastAsia" w:eastAsia="等线"/>
                <w:sz w:val="20"/>
                <w:szCs w:val="20"/>
              </w:rPr>
              <w:t>指</w:t>
            </w:r>
            <w:r>
              <w:rPr>
                <w:rFonts w:hint="eastAsia" w:eastAsia="等线"/>
                <w:sz w:val="20"/>
                <w:szCs w:val="20"/>
              </w:rPr>
              <w:br w:type="textWrapping"/>
            </w:r>
            <w:r>
              <w:rPr>
                <w:rFonts w:hint="eastAsia" w:eastAsia="等线"/>
                <w:sz w:val="20"/>
                <w:szCs w:val="20"/>
              </w:rPr>
              <w:t>标</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经济效益指标</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社会效益指标</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sz w:val="21"/>
                <w:szCs w:val="21"/>
              </w:rPr>
              <w:t>参保扩面持续推进</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sz w:val="21"/>
                <w:szCs w:val="21"/>
              </w:rPr>
              <w:t>基金收支平稳运行</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好</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生态效益指标</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可持续影响指标</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满意度指标</w:t>
            </w:r>
          </w:p>
        </w:tc>
        <w:tc>
          <w:tcPr>
            <w:tcW w:w="0" w:type="auto"/>
            <w:vMerge w:val="restart"/>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r>
              <w:rPr>
                <w:rFonts w:hint="eastAsia" w:eastAsia="等线"/>
                <w:sz w:val="20"/>
                <w:szCs w:val="20"/>
              </w:rPr>
              <w:t>服务对象满意度指标</w:t>
            </w: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服务对象满意度</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≥90%</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r>
              <w:rPr>
                <w:rFonts w:hint="eastAsia" w:asciiTheme="majorEastAsia" w:hAnsiTheme="majorEastAsia" w:eastAsiaTheme="majorEastAsia" w:cstheme="majorEastAsia"/>
                <w:bCs/>
                <w:color w:val="000000"/>
                <w:sz w:val="21"/>
                <w:szCs w:val="21"/>
              </w:rPr>
              <w:t>93%</w:t>
            </w: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hint="eastAsia" w:asciiTheme="majorEastAsia" w:hAnsiTheme="majorEastAsia" w:eastAsiaTheme="majorEastAsia" w:cstheme="majorEastAsia"/>
                <w:bCs/>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rPr>
                <w:rFonts w:eastAsia="等线"/>
                <w:bCs/>
                <w:color w:val="000000"/>
              </w:rPr>
            </w:pPr>
          </w:p>
        </w:tc>
        <w:tc>
          <w:tcPr>
            <w:tcW w:w="0" w:type="auto"/>
            <w:gridSpan w:val="2"/>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Borders>
              <w:top w:val="single" w:color="auto" w:sz="4" w:space="0"/>
              <w:left w:val="single" w:color="auto" w:sz="4" w:space="0"/>
              <w:bottom w:val="single" w:color="auto" w:sz="4" w:space="0"/>
              <w:right w:val="single" w:color="auto" w:sz="4" w:space="0"/>
            </w:tcBorders>
            <w:vAlign w:val="center"/>
          </w:tcPr>
          <w:p>
            <w:pPr>
              <w:jc w:val="center"/>
              <w:rPr>
                <w:rFonts w:eastAsia="等线"/>
                <w:sz w:val="20"/>
                <w:szCs w:val="20"/>
              </w:rPr>
            </w:pPr>
            <w:r>
              <w:rPr>
                <w:rFonts w:hint="eastAsia" w:eastAsia="等线"/>
                <w:sz w:val="20"/>
                <w:szCs w:val="20"/>
              </w:rPr>
              <w:t>说明</w:t>
            </w:r>
          </w:p>
        </w:tc>
        <w:tc>
          <w:tcPr>
            <w:tcW w:w="0" w:type="auto"/>
            <w:gridSpan w:val="7"/>
            <w:tcBorders>
              <w:top w:val="single" w:color="auto" w:sz="4" w:space="0"/>
              <w:left w:val="single" w:color="auto" w:sz="4" w:space="0"/>
              <w:bottom w:val="single" w:color="auto" w:sz="4" w:space="0"/>
              <w:right w:val="single" w:color="auto" w:sz="4" w:space="0"/>
            </w:tcBorders>
            <w:vAlign w:val="center"/>
          </w:tcPr>
          <w:p>
            <w:pPr>
              <w:jc w:val="center"/>
              <w:rPr>
                <w:rFonts w:eastAsia="等线"/>
                <w:sz w:val="20"/>
                <w:szCs w:val="20"/>
              </w:rPr>
            </w:pPr>
            <w:r>
              <w:rPr>
                <w:rFonts w:hint="eastAsia" w:eastAsia="等线"/>
                <w:sz w:val="20"/>
                <w:szCs w:val="20"/>
              </w:rPr>
              <w:t>请在此处简要说明中央巡视、各级审计和财政监督检查中发现的问题及其所涉及的金额，如没有请填无。</w:t>
            </w:r>
          </w:p>
        </w:tc>
      </w:tr>
    </w:tbl>
    <w:p>
      <w:pPr>
        <w:widowControl/>
        <w:spacing w:line="594" w:lineRule="exact"/>
        <w:jc w:val="center"/>
        <w:rPr>
          <w:rStyle w:val="9"/>
          <w:sz w:val="27"/>
          <w:szCs w:val="27"/>
        </w:rPr>
      </w:pPr>
    </w:p>
    <w:p>
      <w:pPr>
        <w:widowControl/>
        <w:spacing w:line="594" w:lineRule="exact"/>
        <w:jc w:val="center"/>
        <w:rPr>
          <w:rStyle w:val="9"/>
          <w:sz w:val="27"/>
          <w:szCs w:val="27"/>
        </w:rPr>
      </w:pPr>
    </w:p>
    <w:p>
      <w:pPr>
        <w:widowControl/>
        <w:spacing w:line="594" w:lineRule="exact"/>
        <w:jc w:val="center"/>
        <w:rPr>
          <w:rFonts w:ascii="Times New Roman" w:hAnsi="Times New Roman" w:eastAsia="方正小标宋_GBK"/>
          <w:color w:val="000000"/>
          <w:kern w:val="0"/>
          <w:sz w:val="36"/>
          <w:szCs w:val="36"/>
        </w:rPr>
      </w:pPr>
      <w:r>
        <w:rPr>
          <w:rStyle w:val="9"/>
          <w:sz w:val="27"/>
          <w:szCs w:val="27"/>
        </w:rPr>
        <w:t> </w:t>
      </w:r>
      <w:r>
        <w:rPr>
          <w:rFonts w:ascii="Times New Roman" w:hAnsi="Times New Roman" w:eastAsia="方正小标宋_GBK"/>
          <w:color w:val="000000"/>
          <w:kern w:val="0"/>
          <w:sz w:val="36"/>
          <w:szCs w:val="36"/>
        </w:rPr>
        <w:t>202</w:t>
      </w:r>
      <w:r>
        <w:rPr>
          <w:rFonts w:hint="eastAsia" w:ascii="Times New Roman" w:hAnsi="Times New Roman" w:eastAsia="方正小标宋_GBK"/>
          <w:color w:val="000000"/>
          <w:kern w:val="0"/>
          <w:sz w:val="36"/>
          <w:szCs w:val="36"/>
        </w:rPr>
        <w:t>1</w:t>
      </w:r>
      <w:r>
        <w:rPr>
          <w:rFonts w:ascii="Times New Roman" w:hAnsi="Times New Roman" w:eastAsia="方正小标宋_GBK"/>
          <w:color w:val="000000"/>
          <w:kern w:val="0"/>
          <w:sz w:val="36"/>
          <w:szCs w:val="36"/>
        </w:rPr>
        <w:t>年度项目绩效自评表</w:t>
      </w:r>
    </w:p>
    <w:p>
      <w:pPr>
        <w:widowControl/>
        <w:spacing w:line="594" w:lineRule="exact"/>
        <w:jc w:val="center"/>
        <w:rPr>
          <w:rFonts w:hint="eastAsia" w:ascii="Times New Roman" w:hAnsi="Times New Roman" w:eastAsia="方正小标宋_GBK"/>
          <w:color w:val="000000"/>
          <w:kern w:val="0"/>
          <w:sz w:val="36"/>
          <w:szCs w:val="36"/>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1300"/>
        <w:gridCol w:w="1300"/>
        <w:gridCol w:w="1300"/>
        <w:gridCol w:w="1300"/>
        <w:gridCol w:w="1300"/>
        <w:gridCol w:w="808"/>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项目</w:t>
            </w:r>
            <w:r>
              <w:rPr>
                <w:rFonts w:hint="eastAsia" w:ascii="宋体" w:hAnsi="宋体" w:eastAsia="等线" w:cs="宋体"/>
                <w:kern w:val="0"/>
                <w:sz w:val="20"/>
                <w:szCs w:val="20"/>
              </w:rPr>
              <w:t>名称</w:t>
            </w:r>
          </w:p>
        </w:tc>
        <w:tc>
          <w:tcPr>
            <w:tcW w:w="5200" w:type="dxa"/>
            <w:gridSpan w:val="4"/>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事业单位公招工作经费</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自评总分</w:t>
            </w:r>
          </w:p>
        </w:tc>
        <w:tc>
          <w:tcPr>
            <w:tcW w:w="2225" w:type="dxa"/>
            <w:gridSpan w:val="2"/>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主管部门</w:t>
            </w:r>
          </w:p>
        </w:tc>
        <w:tc>
          <w:tcPr>
            <w:tcW w:w="5200" w:type="dxa"/>
            <w:gridSpan w:val="4"/>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丰都县人力资源和社会保障局</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实施单位</w:t>
            </w:r>
          </w:p>
        </w:tc>
        <w:tc>
          <w:tcPr>
            <w:tcW w:w="2225" w:type="dxa"/>
            <w:gridSpan w:val="2"/>
            <w:shd w:val="clear" w:color="auto" w:fill="auto"/>
            <w:noWrap w:val="0"/>
            <w:vAlign w:val="center"/>
          </w:tcPr>
          <w:p>
            <w:pPr>
              <w:widowControl/>
              <w:jc w:val="center"/>
              <w:rPr>
                <w:rFonts w:hint="eastAsia" w:ascii="宋体" w:hAnsi="宋体" w:eastAsia="等线" w:cs="宋体"/>
                <w:kern w:val="0"/>
                <w:sz w:val="20"/>
                <w:szCs w:val="20"/>
                <w:lang w:eastAsia="zh-CN"/>
              </w:rPr>
            </w:pPr>
            <w:r>
              <w:rPr>
                <w:rFonts w:hint="eastAsia" w:eastAsia="等线"/>
                <w:bCs/>
                <w:color w:val="000000"/>
              </w:rPr>
              <w:t>丰都县人力资源和社会保障局</w:t>
            </w:r>
            <w:r>
              <w:rPr>
                <w:rFonts w:hint="eastAsia" w:eastAsia="等线"/>
                <w:bCs/>
                <w:color w:val="000000"/>
                <w:lang w:eastAsia="zh-CN"/>
              </w:rPr>
              <w:t>（</w:t>
            </w:r>
            <w:r>
              <w:rPr>
                <w:rFonts w:hint="eastAsia" w:eastAsia="等线"/>
                <w:bCs/>
                <w:color w:val="000000"/>
                <w:lang w:val="en-US" w:eastAsia="zh-CN"/>
              </w:rPr>
              <w:t>本级</w:t>
            </w:r>
            <w:r>
              <w:rPr>
                <w:rFonts w:hint="eastAsia" w:eastAsia="等线"/>
                <w:bCs/>
                <w:color w:val="00000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项目资金（万元）</w:t>
            </w:r>
          </w:p>
        </w:tc>
        <w:tc>
          <w:tcPr>
            <w:tcW w:w="1300"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30</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年初预算数</w:t>
            </w:r>
          </w:p>
        </w:tc>
        <w:tc>
          <w:tcPr>
            <w:tcW w:w="2600" w:type="dxa"/>
            <w:gridSpan w:val="2"/>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全年预算数</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全年执行数</w:t>
            </w:r>
          </w:p>
        </w:tc>
        <w:tc>
          <w:tcPr>
            <w:tcW w:w="2225" w:type="dxa"/>
            <w:gridSpan w:val="2"/>
            <w:shd w:val="clear" w:color="auto" w:fill="auto"/>
            <w:noWrap w:val="0"/>
            <w:vAlign w:val="center"/>
          </w:tcPr>
          <w:p>
            <w:pPr>
              <w:widowControl/>
              <w:jc w:val="center"/>
              <w:rPr>
                <w:rFonts w:hint="eastAsia" w:ascii="宋体" w:hAnsi="宋体" w:eastAsia="等线" w:cs="宋体"/>
                <w:kern w:val="0"/>
                <w:sz w:val="20"/>
                <w:szCs w:val="20"/>
              </w:rPr>
            </w:pPr>
            <w:r>
              <w:rPr>
                <w:rFonts w:hint="eastAsia" w:ascii="宋体" w:hAnsi="宋体" w:eastAsia="等线" w:cs="宋体"/>
                <w:kern w:val="0"/>
                <w:sz w:val="20"/>
                <w:szCs w:val="20"/>
              </w:rPr>
              <w:t>预算执行率（%）（全年执行数/全年预算数）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年度总金额</w:t>
            </w:r>
          </w:p>
        </w:tc>
        <w:tc>
          <w:tcPr>
            <w:tcW w:w="1300"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30</w:t>
            </w:r>
          </w:p>
        </w:tc>
        <w:tc>
          <w:tcPr>
            <w:tcW w:w="2600" w:type="dxa"/>
            <w:gridSpan w:val="2"/>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30</w:t>
            </w:r>
          </w:p>
        </w:tc>
        <w:tc>
          <w:tcPr>
            <w:tcW w:w="1300"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30</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100%</w:t>
            </w: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其中：财政拨款</w:t>
            </w:r>
          </w:p>
        </w:tc>
        <w:tc>
          <w:tcPr>
            <w:tcW w:w="1300"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30</w:t>
            </w:r>
          </w:p>
        </w:tc>
        <w:tc>
          <w:tcPr>
            <w:tcW w:w="2600" w:type="dxa"/>
            <w:gridSpan w:val="2"/>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30</w:t>
            </w:r>
          </w:p>
        </w:tc>
        <w:tc>
          <w:tcPr>
            <w:tcW w:w="1300"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30</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100%</w:t>
            </w: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上年结转结余</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2600" w:type="dxa"/>
            <w:gridSpan w:val="2"/>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808" w:type="dxa"/>
            <w:shd w:val="clear" w:color="auto" w:fill="auto"/>
            <w:noWrap w:val="0"/>
            <w:vAlign w:val="center"/>
          </w:tcPr>
          <w:p>
            <w:pPr>
              <w:widowControl/>
              <w:jc w:val="center"/>
              <w:rPr>
                <w:rFonts w:hint="eastAsia" w:ascii="宋体" w:hAnsi="宋体" w:eastAsia="等线" w:cs="宋体"/>
                <w:kern w:val="0"/>
                <w:sz w:val="20"/>
                <w:szCs w:val="20"/>
              </w:rPr>
            </w:pP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其他资金</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2600" w:type="dxa"/>
            <w:gridSpan w:val="2"/>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808" w:type="dxa"/>
            <w:shd w:val="clear" w:color="auto" w:fill="auto"/>
            <w:noWrap w:val="0"/>
            <w:vAlign w:val="center"/>
          </w:tcPr>
          <w:p>
            <w:pPr>
              <w:widowControl/>
              <w:jc w:val="center"/>
              <w:rPr>
                <w:rFonts w:hint="eastAsia" w:ascii="宋体" w:hAnsi="宋体" w:eastAsia="等线" w:cs="宋体"/>
                <w:kern w:val="0"/>
                <w:sz w:val="20"/>
                <w:szCs w:val="20"/>
              </w:rPr>
            </w:pP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年度总体目标</w:t>
            </w:r>
          </w:p>
        </w:tc>
        <w:tc>
          <w:tcPr>
            <w:tcW w:w="5200" w:type="dxa"/>
            <w:gridSpan w:val="4"/>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预期目标</w:t>
            </w:r>
          </w:p>
        </w:tc>
        <w:tc>
          <w:tcPr>
            <w:tcW w:w="3525" w:type="dxa"/>
            <w:gridSpan w:val="3"/>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全年完成情况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widowControl/>
              <w:jc w:val="center"/>
              <w:rPr>
                <w:rFonts w:ascii="宋体" w:hAnsi="宋体" w:eastAsia="等线" w:cs="宋体"/>
                <w:kern w:val="0"/>
                <w:sz w:val="20"/>
                <w:szCs w:val="20"/>
              </w:rPr>
            </w:pPr>
          </w:p>
        </w:tc>
        <w:tc>
          <w:tcPr>
            <w:tcW w:w="5200" w:type="dxa"/>
            <w:gridSpan w:val="4"/>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为我县引进优秀人才，同时解决各单位人手紧缺问题，推动各项经济事业发展。</w:t>
            </w:r>
          </w:p>
        </w:tc>
        <w:tc>
          <w:tcPr>
            <w:tcW w:w="3525" w:type="dxa"/>
            <w:gridSpan w:val="3"/>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全年共招录事业单位人员364人，缓解了事业单位人手紧缺问题。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5" w:type="dxa"/>
            <w:shd w:val="clear" w:color="auto" w:fill="auto"/>
            <w:noWrap w:val="0"/>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绩效指标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一级指标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二级指标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三级指标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年度指标值</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实际完成值</w:t>
            </w:r>
          </w:p>
        </w:tc>
        <w:tc>
          <w:tcPr>
            <w:tcW w:w="808"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分值</w:t>
            </w:r>
          </w:p>
        </w:tc>
        <w:tc>
          <w:tcPr>
            <w:tcW w:w="1417" w:type="dxa"/>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restart"/>
            <w:shd w:val="clear" w:color="auto" w:fill="auto"/>
            <w:noWrap w:val="0"/>
            <w:vAlign w:val="center"/>
          </w:tcPr>
          <w:p>
            <w:pPr>
              <w:widowControl/>
              <w:jc w:val="center"/>
              <w:rPr>
                <w:rFonts w:ascii="宋体" w:hAnsi="宋体" w:eastAsia="等线" w:cs="宋体"/>
                <w:kern w:val="0"/>
                <w:sz w:val="20"/>
                <w:szCs w:val="20"/>
              </w:rPr>
            </w:pPr>
          </w:p>
        </w:tc>
        <w:tc>
          <w:tcPr>
            <w:tcW w:w="1300" w:type="dxa"/>
            <w:vMerge w:val="restart"/>
            <w:shd w:val="clear" w:color="auto" w:fill="auto"/>
            <w:noWrap w:val="0"/>
            <w:vAlign w:val="center"/>
          </w:tcPr>
          <w:p>
            <w:pPr>
              <w:widowControl/>
              <w:rPr>
                <w:rFonts w:hint="eastAsia" w:ascii="宋体" w:hAnsi="宋体" w:eastAsia="等线" w:cs="宋体"/>
                <w:kern w:val="0"/>
                <w:sz w:val="20"/>
                <w:szCs w:val="20"/>
              </w:rPr>
            </w:pPr>
            <w:r>
              <w:rPr>
                <w:rFonts w:ascii="宋体" w:hAnsi="宋体" w:eastAsia="等线" w:cs="宋体"/>
                <w:kern w:val="0"/>
                <w:sz w:val="20"/>
                <w:szCs w:val="20"/>
              </w:rPr>
              <w:t>产出指标</w:t>
            </w:r>
          </w:p>
        </w:tc>
        <w:tc>
          <w:tcPr>
            <w:tcW w:w="1300"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数量指标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组织事业单位公招考试（综合类、教育类、卫生类）</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≥8批次</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7批次</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20</w:t>
            </w:r>
          </w:p>
        </w:tc>
        <w:tc>
          <w:tcPr>
            <w:tcW w:w="1417"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ascii="宋体" w:hAnsi="宋体" w:eastAsia="等线" w:cs="宋体"/>
                <w:kern w:val="0"/>
                <w:sz w:val="20"/>
                <w:szCs w:val="20"/>
                <w:lang w:val="en-US" w:eastAsia="zh-CN"/>
              </w:rPr>
              <w:t>数量指标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为事业单位招聘人员</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≥150人</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364人</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20</w:t>
            </w:r>
          </w:p>
        </w:tc>
        <w:tc>
          <w:tcPr>
            <w:tcW w:w="1417"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ascii="宋体" w:hAnsi="宋体" w:eastAsia="等线" w:cs="宋体"/>
                <w:kern w:val="0"/>
                <w:sz w:val="20"/>
                <w:szCs w:val="20"/>
                <w:lang w:val="en-US" w:eastAsia="zh-CN"/>
              </w:rPr>
              <w:t>数量指标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组织考生考试</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≥3000人次</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5600人次</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20</w:t>
            </w:r>
          </w:p>
        </w:tc>
        <w:tc>
          <w:tcPr>
            <w:tcW w:w="1417"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sz w:val="20"/>
                <w:szCs w:val="20"/>
              </w:rPr>
              <w:t>质量指标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考生因考试过程和程序投诉率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≤0.1%</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0%</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808" w:type="dxa"/>
            <w:shd w:val="clear" w:color="auto" w:fill="auto"/>
            <w:noWrap w:val="0"/>
            <w:vAlign w:val="center"/>
          </w:tcPr>
          <w:p>
            <w:pPr>
              <w:widowControl/>
              <w:jc w:val="center"/>
              <w:rPr>
                <w:rFonts w:hint="eastAsia" w:ascii="宋体" w:hAnsi="宋体" w:eastAsia="等线" w:cs="宋体"/>
                <w:kern w:val="0"/>
                <w:sz w:val="20"/>
                <w:szCs w:val="20"/>
              </w:rPr>
            </w:pP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restart"/>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效益指标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sz w:val="20"/>
                <w:szCs w:val="20"/>
              </w:rPr>
              <w:t>社会效益指标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确保就业机会公平公正</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好</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好</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widowControl/>
              <w:jc w:val="center"/>
              <w:rPr>
                <w:rFonts w:hint="eastAsia"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sz w:val="20"/>
                <w:szCs w:val="20"/>
              </w:rPr>
              <w:t>社会效益指标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树立人事考试良好形象</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好</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好</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widowControl/>
              <w:jc w:val="center"/>
              <w:rPr>
                <w:rFonts w:hint="eastAsia"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restart"/>
            <w:shd w:val="clear" w:color="auto" w:fill="auto"/>
            <w:noWrap w:val="0"/>
            <w:vAlign w:val="center"/>
          </w:tcPr>
          <w:p>
            <w:pPr>
              <w:widowControl/>
              <w:jc w:val="center"/>
              <w:rPr>
                <w:rFonts w:hint="eastAsia" w:ascii="宋体" w:hAnsi="宋体" w:eastAsia="等线" w:cs="宋体"/>
                <w:kern w:val="0"/>
                <w:sz w:val="20"/>
                <w:szCs w:val="20"/>
              </w:rPr>
            </w:pPr>
            <w:r>
              <w:rPr>
                <w:rFonts w:ascii="宋体" w:hAnsi="宋体" w:eastAsia="等线" w:cs="宋体"/>
                <w:kern w:val="0"/>
                <w:sz w:val="20"/>
                <w:szCs w:val="20"/>
              </w:rPr>
              <w:t>满意度指标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sz w:val="20"/>
                <w:szCs w:val="20"/>
              </w:rPr>
              <w:t>服务对象满意度指标</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服务对象满意度</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≥90%</w:t>
            </w:r>
          </w:p>
        </w:tc>
        <w:tc>
          <w:tcPr>
            <w:tcW w:w="1300" w:type="dxa"/>
            <w:shd w:val="clear" w:color="auto" w:fill="auto"/>
            <w:noWrap w:val="0"/>
            <w:vAlign w:val="center"/>
          </w:tcPr>
          <w:p>
            <w:pPr>
              <w:widowControl/>
              <w:jc w:val="center"/>
              <w:rPr>
                <w:rFonts w:hint="eastAsia" w:ascii="宋体" w:hAnsi="宋体" w:eastAsia="等线" w:cs="宋体"/>
                <w:kern w:val="0"/>
                <w:sz w:val="20"/>
                <w:szCs w:val="20"/>
              </w:rPr>
            </w:pPr>
            <w:r>
              <w:rPr>
                <w:rFonts w:hint="eastAsia" w:eastAsia="等线"/>
                <w:bCs/>
                <w:color w:val="000000"/>
              </w:rPr>
              <w:t>93%</w:t>
            </w:r>
          </w:p>
        </w:tc>
        <w:tc>
          <w:tcPr>
            <w:tcW w:w="808"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c>
          <w:tcPr>
            <w:tcW w:w="1417" w:type="dxa"/>
            <w:shd w:val="clear" w:color="auto" w:fill="auto"/>
            <w:noWrap w:val="0"/>
            <w:vAlign w:val="center"/>
          </w:tcPr>
          <w:p>
            <w:pPr>
              <w:widowControl/>
              <w:jc w:val="center"/>
              <w:rPr>
                <w:rFonts w:hint="default" w:ascii="宋体" w:hAnsi="宋体" w:eastAsia="等线" w:cs="宋体"/>
                <w:kern w:val="0"/>
                <w:sz w:val="20"/>
                <w:szCs w:val="20"/>
                <w:lang w:val="en-US" w:eastAsia="zh-CN"/>
              </w:rPr>
            </w:pPr>
            <w:r>
              <w:rPr>
                <w:rFonts w:hint="eastAsia" w:ascii="宋体" w:hAnsi="宋体" w:eastAsia="等线" w:cs="宋体"/>
                <w:kern w:val="0"/>
                <w:sz w:val="20"/>
                <w:szCs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808" w:type="dxa"/>
            <w:shd w:val="clear" w:color="auto" w:fill="auto"/>
            <w:noWrap w:val="0"/>
            <w:vAlign w:val="center"/>
          </w:tcPr>
          <w:p>
            <w:pPr>
              <w:widowControl/>
              <w:jc w:val="center"/>
              <w:rPr>
                <w:rFonts w:hint="eastAsia" w:ascii="宋体" w:hAnsi="宋体" w:eastAsia="等线" w:cs="宋体"/>
                <w:kern w:val="0"/>
                <w:sz w:val="20"/>
                <w:szCs w:val="20"/>
              </w:rPr>
            </w:pP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vMerge w:val="continue"/>
            <w:shd w:val="clear" w:color="auto" w:fill="auto"/>
            <w:noWrap w:val="0"/>
            <w:vAlign w:val="center"/>
          </w:tcPr>
          <w:p>
            <w:pPr>
              <w:widowControl/>
              <w:jc w:val="center"/>
              <w:rPr>
                <w:rFonts w:ascii="宋体" w:hAnsi="宋体" w:eastAsia="等线" w:cs="宋体"/>
                <w:kern w:val="0"/>
                <w:sz w:val="20"/>
                <w:szCs w:val="20"/>
              </w:rPr>
            </w:pPr>
          </w:p>
        </w:tc>
        <w:tc>
          <w:tcPr>
            <w:tcW w:w="1300" w:type="dxa"/>
            <w:vMerge w:val="continue"/>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1300" w:type="dxa"/>
            <w:shd w:val="clear" w:color="auto" w:fill="auto"/>
            <w:noWrap w:val="0"/>
            <w:vAlign w:val="center"/>
          </w:tcPr>
          <w:p>
            <w:pPr>
              <w:widowControl/>
              <w:jc w:val="center"/>
              <w:rPr>
                <w:rFonts w:hint="eastAsia" w:ascii="宋体" w:hAnsi="宋体" w:eastAsia="等线" w:cs="宋体"/>
                <w:kern w:val="0"/>
                <w:sz w:val="20"/>
                <w:szCs w:val="20"/>
              </w:rPr>
            </w:pPr>
          </w:p>
        </w:tc>
        <w:tc>
          <w:tcPr>
            <w:tcW w:w="808" w:type="dxa"/>
            <w:shd w:val="clear" w:color="auto" w:fill="auto"/>
            <w:noWrap w:val="0"/>
            <w:vAlign w:val="center"/>
          </w:tcPr>
          <w:p>
            <w:pPr>
              <w:widowControl/>
              <w:jc w:val="center"/>
              <w:rPr>
                <w:rFonts w:hint="eastAsia" w:ascii="宋体" w:hAnsi="宋体" w:eastAsia="等线" w:cs="宋体"/>
                <w:kern w:val="0"/>
                <w:sz w:val="20"/>
                <w:szCs w:val="20"/>
              </w:rPr>
            </w:pPr>
          </w:p>
        </w:tc>
        <w:tc>
          <w:tcPr>
            <w:tcW w:w="1417" w:type="dxa"/>
            <w:shd w:val="clear" w:color="auto" w:fill="auto"/>
            <w:noWrap w:val="0"/>
            <w:vAlign w:val="center"/>
          </w:tcPr>
          <w:p>
            <w:pPr>
              <w:widowControl/>
              <w:jc w:val="center"/>
              <w:rPr>
                <w:rFonts w:hint="eastAsia" w:ascii="宋体" w:hAnsi="宋体" w:eastAsia="等线"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5" w:type="dxa"/>
            <w:shd w:val="clear" w:color="auto" w:fill="auto"/>
            <w:noWrap w:val="0"/>
            <w:vAlign w:val="center"/>
          </w:tcPr>
          <w:p>
            <w:pPr>
              <w:widowControl/>
              <w:jc w:val="center"/>
              <w:rPr>
                <w:rFonts w:ascii="宋体" w:hAnsi="宋体" w:eastAsia="等线" w:cs="宋体"/>
                <w:kern w:val="0"/>
                <w:sz w:val="20"/>
                <w:szCs w:val="20"/>
              </w:rPr>
            </w:pPr>
            <w:r>
              <w:rPr>
                <w:rFonts w:ascii="宋体" w:hAnsi="宋体" w:eastAsia="等线" w:cs="宋体"/>
                <w:kern w:val="0"/>
                <w:sz w:val="20"/>
                <w:szCs w:val="20"/>
              </w:rPr>
              <w:t>说明</w:t>
            </w:r>
          </w:p>
        </w:tc>
        <w:tc>
          <w:tcPr>
            <w:tcW w:w="8725" w:type="dxa"/>
            <w:gridSpan w:val="7"/>
            <w:shd w:val="clear" w:color="auto" w:fill="auto"/>
            <w:noWrap w:val="0"/>
            <w:vAlign w:val="center"/>
          </w:tcPr>
          <w:p>
            <w:pPr>
              <w:widowControl/>
              <w:jc w:val="center"/>
              <w:rPr>
                <w:rFonts w:hint="eastAsia" w:ascii="宋体" w:hAnsi="宋体" w:eastAsia="等线" w:cs="宋体"/>
                <w:kern w:val="0"/>
                <w:sz w:val="20"/>
                <w:szCs w:val="20"/>
                <w:lang w:val="en-US" w:eastAsia="zh-CN"/>
              </w:rPr>
            </w:pPr>
            <w:r>
              <w:rPr>
                <w:rFonts w:hint="eastAsia" w:eastAsia="等线" w:cs="宋体"/>
                <w:kern w:val="0"/>
                <w:sz w:val="20"/>
                <w:szCs w:val="20"/>
                <w:lang w:val="en-US" w:eastAsia="zh-CN"/>
              </w:rPr>
              <w:t>无</w:t>
            </w:r>
          </w:p>
        </w:tc>
      </w:tr>
    </w:tbl>
    <w:p>
      <w:pPr>
        <w:pStyle w:val="6"/>
        <w:shd w:val="clear" w:color="auto" w:fill="FFFFFF"/>
        <w:rPr>
          <w:rStyle w:val="9"/>
          <w:sz w:val="27"/>
          <w:szCs w:val="27"/>
        </w:rPr>
      </w:pPr>
    </w:p>
    <w:p>
      <w:pPr>
        <w:pStyle w:val="6"/>
        <w:shd w:val="clear" w:color="auto" w:fill="FFFFFF"/>
        <w:rPr>
          <w:rStyle w:val="9"/>
          <w:rFonts w:hint="eastAsia"/>
          <w:sz w:val="27"/>
          <w:szCs w:val="27"/>
        </w:rPr>
      </w:pPr>
      <w:r>
        <w:rPr>
          <w:rStyle w:val="9"/>
          <w:sz w:val="27"/>
          <w:szCs w:val="27"/>
        </w:rPr>
        <w:t xml:space="preserve"> 2.绩效自评报告或案例。</w:t>
      </w:r>
    </w:p>
    <w:p>
      <w:pPr>
        <w:pStyle w:val="6"/>
        <w:shd w:val="clear" w:color="auto" w:fill="FFFFFF"/>
        <w:ind w:firstLine="642" w:firstLineChars="200"/>
        <w:rPr>
          <w:rFonts w:hint="eastAsia" w:ascii="Times New Roman" w:hAnsi="Times New Roman" w:eastAsia="方正仿宋_GBK"/>
          <w:b/>
          <w:bCs/>
          <w:sz w:val="32"/>
          <w:szCs w:val="32"/>
        </w:rPr>
      </w:pPr>
      <w:r>
        <w:rPr>
          <w:rFonts w:ascii="Times New Roman" w:hAnsi="Times New Roman" w:eastAsia="方正仿宋_GBK"/>
          <w:b/>
          <w:bCs/>
          <w:sz w:val="32"/>
          <w:szCs w:val="32"/>
        </w:rPr>
        <w:t>我</w:t>
      </w:r>
      <w:r>
        <w:rPr>
          <w:rFonts w:hint="eastAsia" w:ascii="Times New Roman" w:hAnsi="Times New Roman" w:eastAsia="方正仿宋_GBK"/>
          <w:b/>
          <w:bCs/>
          <w:sz w:val="32"/>
          <w:szCs w:val="32"/>
          <w:lang w:val="en-US" w:eastAsia="zh-CN"/>
        </w:rPr>
        <w:t>部门</w:t>
      </w:r>
      <w:r>
        <w:rPr>
          <w:rFonts w:ascii="Times New Roman" w:hAnsi="Times New Roman" w:eastAsia="方正仿宋_GBK"/>
          <w:b/>
          <w:bCs/>
          <w:sz w:val="32"/>
          <w:szCs w:val="32"/>
        </w:rPr>
        <w:t>未委托第三方开展绩效自评</w:t>
      </w:r>
      <w:r>
        <w:rPr>
          <w:rFonts w:hint="eastAsia" w:ascii="Times New Roman" w:hAnsi="Times New Roman" w:eastAsia="方正仿宋_GBK"/>
          <w:b/>
          <w:bCs/>
          <w:sz w:val="32"/>
          <w:szCs w:val="32"/>
        </w:rPr>
        <w:t>。</w:t>
      </w:r>
    </w:p>
    <w:p>
      <w:pPr>
        <w:pStyle w:val="6"/>
        <w:shd w:val="clear" w:color="auto" w:fill="FFFFFF"/>
      </w:pPr>
      <w:r>
        <w:rPr>
          <w:rStyle w:val="9"/>
          <w:sz w:val="27"/>
          <w:szCs w:val="27"/>
        </w:rPr>
        <w:t>  3.关于绩效自评结果的说明。</w:t>
      </w:r>
    </w:p>
    <w:p>
      <w:pPr>
        <w:spacing w:line="570" w:lineRule="exact"/>
        <w:ind w:firstLine="642" w:firstLineChars="200"/>
        <w:rPr>
          <w:rFonts w:hint="eastAsia" w:ascii="Times New Roman" w:hAnsi="Times New Roman" w:eastAsia="方正仿宋_GBK"/>
          <w:b/>
          <w:bCs/>
          <w:sz w:val="32"/>
          <w:szCs w:val="32"/>
        </w:rPr>
      </w:pPr>
      <w:r>
        <w:rPr>
          <w:rFonts w:ascii="Times New Roman" w:hAnsi="Times New Roman" w:eastAsia="方正仿宋_GBK"/>
          <w:b/>
          <w:bCs/>
          <w:sz w:val="32"/>
          <w:szCs w:val="32"/>
        </w:rPr>
        <w:t>我</w:t>
      </w:r>
      <w:r>
        <w:rPr>
          <w:rFonts w:hint="eastAsia" w:ascii="Times New Roman" w:hAnsi="Times New Roman" w:eastAsia="方正仿宋_GBK"/>
          <w:b/>
          <w:bCs/>
          <w:sz w:val="32"/>
          <w:szCs w:val="32"/>
          <w:lang w:val="en-US" w:eastAsia="zh-CN"/>
        </w:rPr>
        <w:t>部门</w:t>
      </w:r>
      <w:r>
        <w:rPr>
          <w:rFonts w:ascii="Times New Roman" w:hAnsi="Times New Roman" w:eastAsia="方正仿宋_GBK"/>
          <w:b/>
          <w:bCs/>
          <w:sz w:val="32"/>
          <w:szCs w:val="32"/>
        </w:rPr>
        <w:t>绩效自评</w:t>
      </w:r>
      <w:r>
        <w:rPr>
          <w:rFonts w:hint="eastAsia" w:ascii="Times New Roman" w:hAnsi="Times New Roman" w:eastAsia="方正仿宋_GBK"/>
          <w:b/>
          <w:bCs/>
          <w:sz w:val="32"/>
          <w:szCs w:val="32"/>
        </w:rPr>
        <w:t>均已完成年度绩效目标。</w:t>
      </w:r>
    </w:p>
    <w:p>
      <w:pPr>
        <w:pStyle w:val="6"/>
        <w:shd w:val="clear" w:color="auto" w:fill="FFFFFF"/>
      </w:pPr>
      <w:r>
        <w:rPr>
          <w:rStyle w:val="9"/>
          <w:sz w:val="27"/>
          <w:szCs w:val="27"/>
        </w:rPr>
        <w:t>  六、专业名词解释</w:t>
      </w:r>
    </w:p>
    <w:p>
      <w:pPr>
        <w:pStyle w:val="6"/>
        <w:shd w:val="clear" w:color="auto" w:fill="FFFFFF"/>
      </w:pPr>
      <w:r>
        <w:rPr>
          <w:sz w:val="27"/>
          <w:szCs w:val="27"/>
        </w:rPr>
        <w:t> </w:t>
      </w:r>
      <w:r>
        <w:rPr>
          <w:rStyle w:val="9"/>
          <w:sz w:val="27"/>
          <w:szCs w:val="27"/>
        </w:rPr>
        <w:t>  （一）财政拨款收入</w:t>
      </w:r>
      <w:r>
        <w:rPr>
          <w:sz w:val="27"/>
          <w:szCs w:val="27"/>
        </w:rPr>
        <w:t>：指本年度从本级财政部门取得的财政拨款，包括一般公共预算财政拨款和政府性基金预算财政拨款。</w:t>
      </w:r>
    </w:p>
    <w:p>
      <w:pPr>
        <w:pStyle w:val="6"/>
        <w:shd w:val="clear" w:color="auto" w:fill="FFFFFF"/>
      </w:pPr>
      <w:r>
        <w:rPr>
          <w:rStyle w:val="9"/>
          <w:sz w:val="27"/>
          <w:szCs w:val="27"/>
        </w:rPr>
        <w:t>  （二）事业收入</w:t>
      </w:r>
      <w:r>
        <w:rPr>
          <w:sz w:val="27"/>
          <w:szCs w:val="27"/>
        </w:rPr>
        <w:t>：指事业单位开展专业业务活动及其辅助活动取得的现金流入；事业单位收到的财政专户实际核拨的教育收费等资金在此反映。</w:t>
      </w:r>
    </w:p>
    <w:p>
      <w:pPr>
        <w:pStyle w:val="6"/>
        <w:shd w:val="clear" w:color="auto" w:fill="FFFFFF"/>
      </w:pPr>
      <w:r>
        <w:rPr>
          <w:rStyle w:val="9"/>
          <w:sz w:val="27"/>
          <w:szCs w:val="27"/>
        </w:rPr>
        <w:t>  （三）经营收入</w:t>
      </w:r>
      <w:r>
        <w:rPr>
          <w:sz w:val="27"/>
          <w:szCs w:val="27"/>
        </w:rPr>
        <w:t>：指事业单位在专业业务活动及其辅助活动之外开展非独立核算经营活动取得的现金流入。</w:t>
      </w:r>
    </w:p>
    <w:p>
      <w:pPr>
        <w:pStyle w:val="6"/>
        <w:shd w:val="clear" w:color="auto" w:fill="FFFFFF"/>
      </w:pPr>
      <w:r>
        <w:rPr>
          <w:rStyle w:val="9"/>
          <w:sz w:val="27"/>
          <w:szCs w:val="27"/>
        </w:rPr>
        <w:t>  （四）其他收入</w:t>
      </w:r>
      <w:r>
        <w:rPr>
          <w:sz w:val="27"/>
          <w:szCs w:val="27"/>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hd w:val="clear" w:color="auto" w:fill="FFFFFF"/>
      </w:pPr>
      <w:r>
        <w:rPr>
          <w:rStyle w:val="9"/>
          <w:sz w:val="27"/>
          <w:szCs w:val="27"/>
        </w:rPr>
        <w:t>  （五）使用非财政拨款结余</w:t>
      </w:r>
      <w:r>
        <w:rPr>
          <w:sz w:val="27"/>
          <w:szCs w:val="27"/>
        </w:rPr>
        <w:t>：指单位在当年的“财政拨款收入”、“事业收入”、“经营收入”、“其他收入”等不足以安排当年支出的情况下，使用以前年度积累的非财政拨款结余弥补本年度收支缺口的资金。</w:t>
      </w:r>
    </w:p>
    <w:p>
      <w:pPr>
        <w:pStyle w:val="6"/>
        <w:shd w:val="clear" w:color="auto" w:fill="FFFFFF"/>
      </w:pPr>
      <w:r>
        <w:rPr>
          <w:rStyle w:val="9"/>
          <w:sz w:val="27"/>
          <w:szCs w:val="27"/>
        </w:rPr>
        <w:t>  （六）年初结转和结余</w:t>
      </w:r>
      <w:r>
        <w:rPr>
          <w:sz w:val="27"/>
          <w:szCs w:val="27"/>
        </w:rPr>
        <w:t>：指单位上年结转本年使用的基本支出结转、项目支出结转和结余、经营结余。</w:t>
      </w:r>
    </w:p>
    <w:p>
      <w:pPr>
        <w:pStyle w:val="6"/>
        <w:shd w:val="clear" w:color="auto" w:fill="FFFFFF"/>
      </w:pPr>
      <w:r>
        <w:rPr>
          <w:rStyle w:val="9"/>
          <w:sz w:val="27"/>
          <w:szCs w:val="27"/>
        </w:rPr>
        <w:t>  （七）结余分配</w:t>
      </w:r>
      <w:r>
        <w:rPr>
          <w:sz w:val="27"/>
          <w:szCs w:val="27"/>
        </w:rPr>
        <w:t>：指单位按照国家有关规定，缴纳所得税、提取专用基金、转入非财政拨款结余等当年结余的分配情况。</w:t>
      </w:r>
    </w:p>
    <w:p>
      <w:pPr>
        <w:pStyle w:val="6"/>
        <w:shd w:val="clear" w:color="auto" w:fill="FFFFFF"/>
      </w:pPr>
      <w:r>
        <w:rPr>
          <w:rStyle w:val="9"/>
          <w:sz w:val="27"/>
          <w:szCs w:val="27"/>
        </w:rPr>
        <w:t>  （八）年末结转和结余</w:t>
      </w:r>
      <w:r>
        <w:rPr>
          <w:sz w:val="27"/>
          <w:szCs w:val="27"/>
        </w:rPr>
        <w:t>：指单位结转下年的基本支出结转、项目支出结转和结余、经营结余。</w:t>
      </w:r>
    </w:p>
    <w:p>
      <w:pPr>
        <w:pStyle w:val="6"/>
        <w:shd w:val="clear" w:color="auto" w:fill="FFFFFF"/>
      </w:pPr>
      <w:r>
        <w:rPr>
          <w:rStyle w:val="9"/>
          <w:sz w:val="27"/>
          <w:szCs w:val="27"/>
        </w:rPr>
        <w:t>  （九）基本支出</w:t>
      </w:r>
      <w:r>
        <w:rPr>
          <w:sz w:val="27"/>
          <w:szCs w:val="27"/>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hd w:val="clear" w:color="auto" w:fill="FFFFFF"/>
      </w:pPr>
      <w:r>
        <w:rPr>
          <w:rStyle w:val="9"/>
          <w:sz w:val="27"/>
          <w:szCs w:val="27"/>
        </w:rPr>
        <w:t>  （十）项目支出</w:t>
      </w:r>
      <w:r>
        <w:rPr>
          <w:sz w:val="27"/>
          <w:szCs w:val="27"/>
        </w:rPr>
        <w:t>：指在基本支出之外为完成特定行政任务和事业发展目标所发生的支出。</w:t>
      </w:r>
    </w:p>
    <w:p>
      <w:pPr>
        <w:pStyle w:val="6"/>
        <w:shd w:val="clear" w:color="auto" w:fill="FFFFFF"/>
      </w:pPr>
      <w:r>
        <w:rPr>
          <w:rStyle w:val="9"/>
          <w:sz w:val="27"/>
          <w:szCs w:val="27"/>
        </w:rPr>
        <w:t>  （十一）经营支出</w:t>
      </w:r>
      <w:r>
        <w:rPr>
          <w:sz w:val="27"/>
          <w:szCs w:val="27"/>
        </w:rPr>
        <w:t>：指事业单位在专业业务活动及其辅助活动之外开展非独立核算经营活动发生的支出。</w:t>
      </w:r>
    </w:p>
    <w:p>
      <w:pPr>
        <w:pStyle w:val="6"/>
        <w:shd w:val="clear" w:color="auto" w:fill="FFFFFF"/>
      </w:pPr>
      <w:r>
        <w:rPr>
          <w:rStyle w:val="9"/>
          <w:sz w:val="27"/>
          <w:szCs w:val="27"/>
        </w:rPr>
        <w:t>  （十二）“三公”经费</w:t>
      </w:r>
      <w:r>
        <w:rPr>
          <w:sz w:val="27"/>
          <w:szCs w:val="27"/>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hd w:val="clear" w:color="auto" w:fill="FFFFFF"/>
      </w:pPr>
      <w:r>
        <w:rPr>
          <w:rStyle w:val="9"/>
          <w:sz w:val="27"/>
          <w:szCs w:val="27"/>
        </w:rPr>
        <w:t>  （十三）机关运行经费</w:t>
      </w:r>
      <w:r>
        <w:rPr>
          <w:sz w:val="27"/>
          <w:szCs w:val="27"/>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hd w:val="clear" w:color="auto" w:fill="FFFFFF"/>
      </w:pPr>
      <w:r>
        <w:rPr>
          <w:rStyle w:val="9"/>
          <w:sz w:val="27"/>
          <w:szCs w:val="27"/>
        </w:rPr>
        <w:t>  （十四）工资福利支出（支出经济分类科目类级）</w:t>
      </w:r>
      <w:r>
        <w:rPr>
          <w:sz w:val="27"/>
          <w:szCs w:val="27"/>
        </w:rPr>
        <w:t>：反映单位开支的在职职工和编制外长期聘用人员的各类劳动报酬，以及为上述人员缴纳的各项社会保险费等。</w:t>
      </w:r>
    </w:p>
    <w:p>
      <w:pPr>
        <w:pStyle w:val="6"/>
        <w:shd w:val="clear" w:color="auto" w:fill="FFFFFF"/>
      </w:pPr>
      <w:r>
        <w:rPr>
          <w:rStyle w:val="9"/>
          <w:sz w:val="27"/>
          <w:szCs w:val="27"/>
        </w:rPr>
        <w:t>  （十五）商品和服务支出（支出经济分类科目类级）</w:t>
      </w:r>
      <w:r>
        <w:rPr>
          <w:sz w:val="27"/>
          <w:szCs w:val="27"/>
        </w:rPr>
        <w:t>：反映单位购买商品和服务的支出（不包括用于购置固定资产的支出、战略性和应急储备支出）。</w:t>
      </w:r>
    </w:p>
    <w:p>
      <w:pPr>
        <w:pStyle w:val="6"/>
        <w:shd w:val="clear" w:color="auto" w:fill="FFFFFF"/>
      </w:pPr>
      <w:r>
        <w:rPr>
          <w:rStyle w:val="9"/>
          <w:sz w:val="27"/>
          <w:szCs w:val="27"/>
        </w:rPr>
        <w:t>  （十六）对个人和家庭的补助（支出经济分类科目类级）</w:t>
      </w:r>
      <w:r>
        <w:rPr>
          <w:sz w:val="27"/>
          <w:szCs w:val="27"/>
        </w:rPr>
        <w:t>：反映用于对个人和家庭的补助支出。</w:t>
      </w:r>
    </w:p>
    <w:p>
      <w:pPr>
        <w:pStyle w:val="6"/>
        <w:shd w:val="clear" w:color="auto" w:fill="FFFFFF"/>
      </w:pPr>
      <w:r>
        <w:rPr>
          <w:rStyle w:val="9"/>
          <w:sz w:val="27"/>
          <w:szCs w:val="27"/>
        </w:rPr>
        <w:t>  （十七）其他资本性支出（支出经济分类科目类级）</w:t>
      </w:r>
      <w:r>
        <w:rPr>
          <w:sz w:val="27"/>
          <w:szCs w:val="27"/>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pPr>
      <w:r>
        <w:rPr>
          <w:rStyle w:val="9"/>
          <w:sz w:val="27"/>
          <w:szCs w:val="27"/>
        </w:rPr>
        <w:t>  七、决算公开联系方式及信息反馈渠道</w:t>
      </w:r>
    </w:p>
    <w:p>
      <w:pPr>
        <w:pStyle w:val="6"/>
        <w:shd w:val="clear" w:color="auto" w:fill="FFFFFF"/>
      </w:pPr>
      <w:r>
        <w:rPr>
          <w:sz w:val="27"/>
          <w:szCs w:val="27"/>
        </w:rPr>
        <w:t>  本单位决算公开信息反馈和联系方式：</w:t>
      </w:r>
      <w:r>
        <w:rPr>
          <w:rFonts w:hint="eastAsia"/>
          <w:sz w:val="27"/>
          <w:szCs w:val="27"/>
        </w:rPr>
        <w:t>023-70605558</w:t>
      </w:r>
    </w:p>
    <w:sectPr>
      <w:pgSz w:w="11907"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等线">
    <w:altName w:val="汉仪中圆B5"/>
    <w:panose1 w:val="02010600030101010101"/>
    <w:charset w:val="86"/>
    <w:family w:val="auto"/>
    <w:pitch w:val="default"/>
    <w:sig w:usb0="00000000" w:usb1="00000000" w:usb2="00000016" w:usb3="00000000" w:csb0="0004000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汉仪中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noPunctuationKerning w:val="true"/>
  <w:characterSpacingControl w:val="doNotCompress"/>
  <w:compat>
    <w:useFELayout/>
    <w:compatSetting w:name="compatibilityMode" w:uri="http://schemas.microsoft.com/office/word" w:val="12"/>
  </w:compat>
  <w:docVars>
    <w:docVar w:name="commondata" w:val="eyJoZGlkIjoiMDhmMDI0Y2Q2MDZmYmJiODIyYzdjZjJiM2ZmMDI5NDAifQ=="/>
  </w:docVars>
  <w:rsids>
    <w:rsidRoot w:val="00B5014C"/>
    <w:rsid w:val="000A4386"/>
    <w:rsid w:val="001C4DC7"/>
    <w:rsid w:val="00236F7F"/>
    <w:rsid w:val="005D7C43"/>
    <w:rsid w:val="00632EC6"/>
    <w:rsid w:val="0064311B"/>
    <w:rsid w:val="00A16E04"/>
    <w:rsid w:val="00AF4BEE"/>
    <w:rsid w:val="00B5014C"/>
    <w:rsid w:val="00BC6305"/>
    <w:rsid w:val="00BE32DD"/>
    <w:rsid w:val="00CE7F30"/>
    <w:rsid w:val="00DD7344"/>
    <w:rsid w:val="00E8186E"/>
    <w:rsid w:val="00F576BB"/>
    <w:rsid w:val="00FA4ED7"/>
    <w:rsid w:val="2E1D6FFC"/>
    <w:rsid w:val="336A595F"/>
    <w:rsid w:val="4B272E10"/>
    <w:rsid w:val="521B7432"/>
    <w:rsid w:val="561041C2"/>
    <w:rsid w:val="5FB96FC4"/>
    <w:rsid w:val="6EFF5419"/>
    <w:rsid w:val="767A22E1"/>
    <w:rsid w:val="EEBB9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2">
    <w:name w:val="heading 6"/>
    <w:basedOn w:val="1"/>
    <w:next w:val="1"/>
    <w:unhideWhenUsed/>
    <w:qFormat/>
    <w:uiPriority w:val="9"/>
    <w:pPr>
      <w:keepNext/>
      <w:keepLines/>
      <w:spacing w:before="240" w:after="64" w:line="320" w:lineRule="auto"/>
      <w:outlineLvl w:val="5"/>
    </w:pPr>
    <w:rPr>
      <w:rFonts w:ascii="Cambria" w:hAnsi="Cambria" w:eastAsia="宋体" w:cs="Times New Roman"/>
      <w:b/>
      <w:bCs/>
      <w:sz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99"/>
    <w:pPr>
      <w:ind w:left="100" w:leftChars="100" w:right="100" w:rightChars="100"/>
    </w:pPr>
  </w:style>
  <w:style w:type="paragraph" w:styleId="4">
    <w:name w:val="footer"/>
    <w:basedOn w:val="1"/>
    <w:link w:val="11"/>
    <w:semiHidden/>
    <w:unhideWhenUsed/>
    <w:qFormat/>
    <w:uiPriority w:val="99"/>
    <w:pPr>
      <w:tabs>
        <w:tab w:val="center" w:pos="4153"/>
        <w:tab w:val="right" w:pos="8306"/>
      </w:tabs>
      <w:snapToGrid w:val="0"/>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spacing w:before="100" w:beforeAutospacing="1" w:after="100" w:afterAutospacing="1"/>
    </w:pPr>
  </w:style>
  <w:style w:type="character" w:styleId="9">
    <w:name w:val="Strong"/>
    <w:basedOn w:val="8"/>
    <w:qFormat/>
    <w:uiPriority w:val="22"/>
    <w:rPr>
      <w:b/>
      <w:bCs/>
    </w:rPr>
  </w:style>
  <w:style w:type="character" w:customStyle="1" w:styleId="10">
    <w:name w:val="页眉 Char"/>
    <w:basedOn w:val="8"/>
    <w:link w:val="5"/>
    <w:semiHidden/>
    <w:qFormat/>
    <w:uiPriority w:val="99"/>
    <w:rPr>
      <w:rFonts w:ascii="宋体" w:hAnsi="宋体" w:eastAsia="宋体" w:cs="宋体"/>
      <w:sz w:val="18"/>
      <w:szCs w:val="18"/>
    </w:rPr>
  </w:style>
  <w:style w:type="character" w:customStyle="1" w:styleId="11">
    <w:name w:val="页脚 Char"/>
    <w:basedOn w:val="8"/>
    <w:link w:val="4"/>
    <w:semiHidden/>
    <w:qFormat/>
    <w:uiPriority w:val="99"/>
    <w:rPr>
      <w:rFonts w:ascii="宋体" w:hAnsi="宋体"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18</Pages>
  <Words>7826</Words>
  <Characters>8753</Characters>
  <Lines>56</Lines>
  <Paragraphs>15</Paragraphs>
  <TotalTime>0</TotalTime>
  <ScaleCrop>false</ScaleCrop>
  <LinksUpToDate>false</LinksUpToDate>
  <CharactersWithSpaces>8915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2022-10-10T08:55:00Z</dcterms:created>
  <dc:creator>Micorosoft</dc:creator>
  <cp:lastModifiedBy>fengdu</cp:lastModifiedBy>
  <dcterms:modified xsi:type="dcterms:W3CDTF">2023-02-02T16:48:12Z</dcterms:modified>
  <dc:title>公开报告模板</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E1FA82BC5EFD49518CE3C6028A1AB443</vt:lpwstr>
  </property>
</Properties>
</file>