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240" w:lineRule="exact"/>
        <w:rPr>
          <w:rFonts w:hint="default" w:ascii="Times New Roman" w:hAnsi="Times New Roman" w:cs="Times New Roman"/>
          <w:color w:val="000000"/>
        </w:rPr>
      </w:pPr>
    </w:p>
    <w:p>
      <w:pPr>
        <w:spacing w:line="4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丰委农</w:t>
      </w:r>
      <w:r>
        <w:rPr>
          <w:rFonts w:hint="eastAsia" w:eastAsia="方正仿宋_GBK" w:cs="Times New Roman"/>
          <w:color w:val="000000"/>
          <w:sz w:val="32"/>
          <w:szCs w:val="32"/>
          <w:lang w:val="en-US" w:eastAsia="zh-CN"/>
        </w:rPr>
        <w:t>组</w:t>
      </w:r>
      <w:r>
        <w:rPr>
          <w:rFonts w:hint="default" w:ascii="Times New Roman" w:hAnsi="Times New Roman" w:eastAsia="方正仿宋_GBK" w:cs="Times New Roman"/>
          <w:color w:val="000000"/>
          <w:sz w:val="32"/>
          <w:szCs w:val="32"/>
        </w:rPr>
        <w:t>〔202</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号</w:t>
      </w:r>
    </w:p>
    <w:p>
      <w:pPr>
        <w:spacing w:line="760" w:lineRule="exact"/>
        <w:jc w:val="center"/>
        <w:rPr>
          <w:rFonts w:hint="default" w:ascii="Times New Roman" w:hAnsi="Times New Roman" w:cs="Times New Roman"/>
          <w:color w:val="FF0000"/>
          <w:sz w:val="52"/>
          <w:szCs w:val="52"/>
        </w:rPr>
      </w:pPr>
    </w:p>
    <w:p>
      <w:pPr>
        <w:spacing w:line="570" w:lineRule="exact"/>
        <w:rPr>
          <w:rFonts w:hint="eastAsia" w:ascii="方正小标宋_GBK" w:hAnsi="方正小标宋_GBK" w:eastAsia="方正小标宋_GBK" w:cs="方正小标宋_GBK"/>
          <w:color w:val="000000"/>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hAnsi="方正小标宋_GBK" w:eastAsia="方正小标宋_GBK" w:cs="方正小标宋_GBK"/>
          <w:color w:val="000000"/>
          <w:w w:val="94"/>
          <w:sz w:val="36"/>
          <w:szCs w:val="36"/>
          <w:lang w:eastAsia="zh-CN"/>
        </w:rPr>
      </w:pPr>
      <w:r>
        <w:rPr>
          <w:rFonts w:hint="eastAsia" w:ascii="方正小标宋_GBK" w:hAnsi="方正小标宋_GBK" w:eastAsia="方正小标宋_GBK" w:cs="方正小标宋_GBK"/>
          <w:color w:val="000000"/>
          <w:w w:val="94"/>
          <w:sz w:val="36"/>
          <w:szCs w:val="36"/>
        </w:rPr>
        <w:t>中共丰都县委农村工作暨实施乡村振兴战略领导小组</w:t>
      </w:r>
    </w:p>
    <w:p>
      <w:pPr>
        <w:pStyle w:val="4"/>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36"/>
          <w:szCs w:val="36"/>
        </w:rPr>
        <w:t>关于收回</w:t>
      </w:r>
      <w:r>
        <w:rPr>
          <w:rFonts w:hint="eastAsia" w:ascii="方正小标宋_GBK" w:hAnsi="方正小标宋_GBK" w:eastAsia="方正小标宋_GBK" w:cs="方正小标宋_GBK"/>
          <w:sz w:val="36"/>
          <w:szCs w:val="36"/>
          <w:lang w:val="en-US" w:eastAsia="zh-CN"/>
        </w:rPr>
        <w:t>2021年农产品产地仓储保鲜冷链设施建设项目等7个项目结转结余资金</w:t>
      </w:r>
      <w:r>
        <w:rPr>
          <w:rFonts w:hint="eastAsia" w:ascii="方正小标宋_GBK" w:hAnsi="方正小标宋_GBK" w:eastAsia="方正小标宋_GBK" w:cs="方正小标宋_GBK"/>
          <w:sz w:val="36"/>
          <w:szCs w:val="36"/>
        </w:rPr>
        <w:t>并重新安排的通知</w:t>
      </w:r>
    </w:p>
    <w:p>
      <w:pPr>
        <w:pStyle w:val="4"/>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50" w:lineRule="exact"/>
        <w:jc w:val="both"/>
        <w:textAlignment w:val="auto"/>
        <w:rPr>
          <w:rFonts w:hint="default" w:ascii="Times New Roman" w:hAnsi="Times New Roman" w:eastAsia="方正仿宋_GBK" w:cs="Times New Roman"/>
          <w:bCs/>
          <w:color w:val="auto"/>
          <w:sz w:val="32"/>
          <w:szCs w:val="32"/>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eastAsia="方正仿宋_GBK" w:cs="Times New Roman"/>
          <w:sz w:val="32"/>
          <w:szCs w:val="32"/>
        </w:rPr>
      </w:pPr>
      <w:r>
        <w:rPr>
          <w:rFonts w:hint="eastAsia" w:ascii="Times New Roman" w:eastAsia="方正仿宋_GBK" w:cs="Times New Roman"/>
          <w:sz w:val="32"/>
          <w:szCs w:val="32"/>
        </w:rPr>
        <w:t>仁沙镇、双龙镇、江池镇、仙女湖镇、青龙乡，县发</w:t>
      </w:r>
      <w:r>
        <w:rPr>
          <w:rFonts w:hint="eastAsia" w:ascii="Times New Roman" w:eastAsia="方正仿宋_GBK" w:cs="Times New Roman"/>
          <w:sz w:val="32"/>
          <w:szCs w:val="32"/>
          <w:lang w:eastAsia="zh-CN"/>
        </w:rPr>
        <w:t>展</w:t>
      </w:r>
      <w:r>
        <w:rPr>
          <w:rFonts w:hint="eastAsia" w:ascii="Times New Roman" w:eastAsia="方正仿宋_GBK" w:cs="Times New Roman"/>
          <w:sz w:val="32"/>
          <w:szCs w:val="32"/>
        </w:rPr>
        <w:t>改</w:t>
      </w:r>
      <w:r>
        <w:rPr>
          <w:rFonts w:hint="eastAsia" w:ascii="Times New Roman" w:eastAsia="方正仿宋_GBK" w:cs="Times New Roman"/>
          <w:sz w:val="32"/>
          <w:szCs w:val="32"/>
          <w:lang w:eastAsia="zh-CN"/>
        </w:rPr>
        <w:t>革</w:t>
      </w:r>
      <w:r>
        <w:rPr>
          <w:rFonts w:hint="eastAsia" w:ascii="Times New Roman" w:eastAsia="方正仿宋_GBK" w:cs="Times New Roman"/>
          <w:sz w:val="32"/>
          <w:szCs w:val="32"/>
        </w:rPr>
        <w:t>委、县交通运输委、县水利局、县农业农村委</w:t>
      </w:r>
      <w:r>
        <w:rPr>
          <w:rFonts w:hint="default" w:ascii="Times New Roman" w:eastAsia="方正仿宋_GBK" w:cs="Times New Roman"/>
          <w:sz w:val="32"/>
          <w:szCs w:val="32"/>
        </w:rPr>
        <w:t>：</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eastAsia="方正仿宋_GBK" w:cs="Times New Roman"/>
          <w:sz w:val="32"/>
          <w:szCs w:val="32"/>
        </w:rPr>
      </w:pPr>
      <w:r>
        <w:rPr>
          <w:rFonts w:hint="eastAsia" w:ascii="Times New Roman" w:eastAsia="方正仿宋_GBK" w:cs="Times New Roman"/>
          <w:sz w:val="32"/>
          <w:szCs w:val="32"/>
        </w:rPr>
        <w:t>为提高财政资金使用效率，按照</w:t>
      </w:r>
      <w:r>
        <w:rPr>
          <w:rFonts w:hint="eastAsia" w:ascii="Times New Roman" w:eastAsia="方正仿宋_GBK" w:cs="Times New Roman"/>
          <w:sz w:val="32"/>
          <w:szCs w:val="32"/>
          <w:lang w:eastAsia="zh-CN"/>
        </w:rPr>
        <w:t>相关</w:t>
      </w:r>
      <w:r>
        <w:rPr>
          <w:rFonts w:hint="eastAsia" w:ascii="Times New Roman" w:eastAsia="方正仿宋_GBK" w:cs="Times New Roman"/>
          <w:sz w:val="32"/>
          <w:szCs w:val="32"/>
        </w:rPr>
        <w:t>资金管理办法，决定</w:t>
      </w:r>
      <w:r>
        <w:rPr>
          <w:rFonts w:hint="eastAsia" w:ascii="Times New Roman" w:eastAsia="方正仿宋_GBK" w:cs="Times New Roman"/>
          <w:sz w:val="32"/>
          <w:szCs w:val="32"/>
          <w:lang w:eastAsia="zh-CN"/>
        </w:rPr>
        <w:t>收回财政衔接项目</w:t>
      </w:r>
      <w:r>
        <w:rPr>
          <w:rFonts w:hint="eastAsia" w:ascii="Times New Roman" w:eastAsia="方正仿宋_GBK" w:cs="Times New Roman"/>
          <w:sz w:val="32"/>
          <w:szCs w:val="32"/>
          <w:lang w:val="en-US" w:eastAsia="zh-CN"/>
        </w:rPr>
        <w:t>2021年农产品产地仓储保鲜冷链设施建设项目等7个项目</w:t>
      </w:r>
      <w:r>
        <w:rPr>
          <w:rFonts w:hint="eastAsia" w:ascii="Times New Roman" w:eastAsia="方正仿宋_GBK" w:cs="Times New Roman"/>
          <w:sz w:val="32"/>
          <w:szCs w:val="32"/>
          <w:lang w:eastAsia="zh-CN"/>
        </w:rPr>
        <w:t>结转结余</w:t>
      </w:r>
      <w:r>
        <w:rPr>
          <w:rFonts w:hint="eastAsia" w:ascii="Times New Roman" w:eastAsia="方正仿宋_GBK" w:cs="Times New Roman"/>
          <w:sz w:val="32"/>
          <w:szCs w:val="32"/>
        </w:rPr>
        <w:t>资金</w:t>
      </w:r>
      <w:r>
        <w:rPr>
          <w:rFonts w:hint="eastAsia" w:ascii="Times New Roman" w:eastAsia="方正仿宋_GBK" w:cs="Times New Roman"/>
          <w:sz w:val="32"/>
          <w:szCs w:val="32"/>
          <w:lang w:val="en-US" w:eastAsia="zh-CN"/>
        </w:rPr>
        <w:t>128.144953</w:t>
      </w:r>
      <w:r>
        <w:rPr>
          <w:rFonts w:hint="eastAsia" w:ascii="Times New Roman" w:eastAsia="方正仿宋_GBK" w:cs="Times New Roman"/>
          <w:sz w:val="32"/>
          <w:szCs w:val="32"/>
        </w:rPr>
        <w:t>万元</w:t>
      </w:r>
      <w:r>
        <w:rPr>
          <w:rFonts w:hint="eastAsia" w:ascii="Times New Roman" w:eastAsia="方正仿宋_GBK" w:cs="Times New Roman"/>
          <w:sz w:val="32"/>
          <w:szCs w:val="32"/>
          <w:lang w:eastAsia="zh-CN"/>
        </w:rPr>
        <w:t>并重新安排（</w:t>
      </w:r>
      <w:r>
        <w:rPr>
          <w:rFonts w:hint="eastAsia" w:ascii="Times New Roman" w:eastAsia="方正仿宋_GBK" w:cs="Times New Roman"/>
          <w:sz w:val="32"/>
          <w:szCs w:val="32"/>
        </w:rPr>
        <w:t>详见附件</w:t>
      </w:r>
      <w:r>
        <w:rPr>
          <w:rFonts w:hint="eastAsia" w:ascii="Times New Roman" w:eastAsia="方正仿宋_GBK" w:cs="Times New Roman"/>
          <w:sz w:val="32"/>
          <w:szCs w:val="32"/>
          <w:lang w:val="en-US" w:eastAsia="zh-CN"/>
        </w:rPr>
        <w:t>2</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eastAsia="方正仿宋_GBK" w:cs="Times New Roman"/>
          <w:sz w:val="32"/>
          <w:szCs w:val="32"/>
          <w:lang w:eastAsia="zh-CN"/>
        </w:rPr>
      </w:pPr>
      <w:r>
        <w:rPr>
          <w:rFonts w:hint="eastAsia" w:ascii="Times New Roman" w:eastAsia="方正仿宋_GBK" w:cs="Times New Roman"/>
          <w:sz w:val="32"/>
          <w:szCs w:val="32"/>
          <w:lang w:eastAsia="zh-CN"/>
        </w:rPr>
        <w:t>请重新安排资金的实施单位</w:t>
      </w:r>
      <w:r>
        <w:rPr>
          <w:rFonts w:hint="eastAsia" w:ascii="Times New Roman" w:hAnsi="Times New Roman" w:eastAsia="方正仿宋_GBK"/>
          <w:color w:val="auto"/>
          <w:sz w:val="32"/>
          <w:szCs w:val="32"/>
          <w:lang w:val="en-US" w:eastAsia="zh-CN"/>
        </w:rPr>
        <w:t>制定切实可行的项目实施方案，于</w:t>
      </w:r>
      <w:r>
        <w:rPr>
          <w:rFonts w:hint="eastAsia" w:ascii="Times New Roman" w:eastAsia="方正仿宋_GBK"/>
          <w:color w:val="auto"/>
          <w:sz w:val="32"/>
          <w:szCs w:val="32"/>
          <w:lang w:val="en-US" w:eastAsia="zh-CN"/>
        </w:rPr>
        <w:t>10</w:t>
      </w:r>
      <w:r>
        <w:rPr>
          <w:rFonts w:hint="eastAsia" w:ascii="Times New Roman" w:hAnsi="Times New Roman" w:eastAsia="方正仿宋_GBK"/>
          <w:color w:val="auto"/>
          <w:sz w:val="32"/>
          <w:szCs w:val="32"/>
          <w:lang w:val="en-US" w:eastAsia="zh-CN"/>
        </w:rPr>
        <w:t>月</w:t>
      </w:r>
      <w:r>
        <w:rPr>
          <w:rFonts w:hint="eastAsia" w:ascii="Times New Roman" w:eastAsia="方正仿宋_GBK"/>
          <w:color w:val="auto"/>
          <w:sz w:val="32"/>
          <w:szCs w:val="32"/>
          <w:lang w:val="en-US" w:eastAsia="zh-CN"/>
        </w:rPr>
        <w:t>15</w:t>
      </w:r>
      <w:r>
        <w:rPr>
          <w:rFonts w:hint="eastAsia" w:ascii="Times New Roman" w:hAnsi="Times New Roman" w:eastAsia="方正仿宋_GBK"/>
          <w:color w:val="auto"/>
          <w:sz w:val="32"/>
          <w:szCs w:val="32"/>
          <w:lang w:val="en-US" w:eastAsia="zh-CN"/>
        </w:rPr>
        <w:t>日前报县</w:t>
      </w:r>
      <w:r>
        <w:rPr>
          <w:rFonts w:hint="eastAsia" w:ascii="Times New Roman" w:eastAsia="方正仿宋_GBK"/>
          <w:color w:val="auto"/>
          <w:sz w:val="32"/>
          <w:szCs w:val="32"/>
          <w:lang w:val="en-US" w:eastAsia="zh-CN"/>
        </w:rPr>
        <w:t>农业农村委</w:t>
      </w:r>
      <w:r>
        <w:rPr>
          <w:rFonts w:hint="eastAsia" w:ascii="Times New Roman" w:hAnsi="Times New Roman" w:eastAsia="方正仿宋_GBK"/>
          <w:color w:val="auto"/>
          <w:sz w:val="32"/>
          <w:szCs w:val="32"/>
          <w:lang w:val="en-US" w:eastAsia="zh-CN"/>
        </w:rPr>
        <w:t>审批。要</w:t>
      </w:r>
      <w:r>
        <w:rPr>
          <w:rFonts w:hint="eastAsia" w:ascii="Times New Roman" w:eastAsia="方正仿宋_GBK" w:cs="Times New Roman"/>
          <w:sz w:val="32"/>
          <w:szCs w:val="32"/>
          <w:lang w:eastAsia="zh-CN"/>
        </w:rPr>
        <w:t>严格落实《重庆市财政衔接推进乡村振兴补助资金管理实施办法》等制度规定，</w:t>
      </w:r>
      <w:r>
        <w:rPr>
          <w:rFonts w:hint="eastAsia" w:ascii="Times New Roman" w:hAnsi="Times New Roman" w:eastAsia="方正仿宋_GBK"/>
          <w:color w:val="auto"/>
          <w:sz w:val="32"/>
          <w:szCs w:val="32"/>
          <w:lang w:val="en-US" w:eastAsia="zh-CN"/>
        </w:rPr>
        <w:t>认真落实资金项目公告公示等制度规定，引导群众参与项目决策、实施、管理。要</w:t>
      </w:r>
      <w:r>
        <w:rPr>
          <w:rFonts w:hint="eastAsia" w:ascii="Times New Roman" w:eastAsia="方正仿宋_GBK" w:cs="Times New Roman"/>
          <w:sz w:val="32"/>
          <w:szCs w:val="32"/>
          <w:lang w:eastAsia="zh-CN"/>
        </w:rPr>
        <w:t>强化资金使用绩效意识，</w:t>
      </w:r>
      <w:r>
        <w:rPr>
          <w:rFonts w:hint="eastAsia" w:ascii="Times New Roman" w:hAnsi="Times New Roman" w:eastAsia="方正仿宋_GBK"/>
          <w:color w:val="auto"/>
          <w:sz w:val="32"/>
          <w:szCs w:val="32"/>
          <w:lang w:val="en-US" w:eastAsia="zh-CN"/>
        </w:rPr>
        <w:t>切实履行资金项目监管主体责任</w:t>
      </w:r>
      <w:r>
        <w:rPr>
          <w:rFonts w:hint="eastAsia" w:ascii="Times New Roman" w:eastAsia="方正仿宋_GBK" w:cs="Times New Roman"/>
          <w:sz w:val="32"/>
          <w:szCs w:val="32"/>
          <w:lang w:eastAsia="zh-CN"/>
        </w:rPr>
        <w:t>，务必在</w:t>
      </w:r>
      <w:r>
        <w:rPr>
          <w:rFonts w:hint="eastAsia" w:ascii="Times New Roman" w:eastAsia="方正仿宋_GBK" w:cs="Times New Roman"/>
          <w:sz w:val="32"/>
          <w:szCs w:val="32"/>
          <w:lang w:val="en-US" w:eastAsia="zh-CN"/>
        </w:rPr>
        <w:t>10月31日前完成项目建设和资金</w:t>
      </w:r>
      <w:r>
        <w:rPr>
          <w:rFonts w:hint="eastAsia" w:ascii="Times New Roman" w:eastAsia="方正仿宋_GBK" w:cs="Times New Roman"/>
          <w:sz w:val="32"/>
          <w:szCs w:val="32"/>
          <w:lang w:eastAsia="zh-CN"/>
        </w:rPr>
        <w:t>拨付。</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eastAsia="方正仿宋_GBK" w:cs="Times New Roman"/>
          <w:sz w:val="32"/>
          <w:szCs w:val="32"/>
          <w:lang w:eastAsia="zh-CN"/>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附件：1.资金收回情况表</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left="6076" w:leftChars="760" w:hanging="4480" w:hangingChars="14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eastAsia="方正仿宋_GBK" w:cs="Times New Roman"/>
          <w:sz w:val="32"/>
          <w:szCs w:val="32"/>
          <w:lang w:val="en-US" w:eastAsia="zh-CN"/>
        </w:rPr>
        <w:t>结转结余资金</w:t>
      </w:r>
      <w:r>
        <w:rPr>
          <w:rFonts w:hint="default" w:ascii="Times New Roman" w:hAnsi="Times New Roman" w:eastAsia="方正仿宋_GBK" w:cs="Times New Roman"/>
          <w:sz w:val="32"/>
          <w:szCs w:val="32"/>
        </w:rPr>
        <w:t>重新安排情况表</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left="6076" w:leftChars="760" w:hanging="4480" w:hangingChars="14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eastAsia="方正仿宋_GBK" w:cs="Times New Roman"/>
          <w:sz w:val="32"/>
          <w:szCs w:val="32"/>
          <w:lang w:val="en-US" w:eastAsia="zh-CN"/>
        </w:rPr>
        <w:t>丰都县项目预算绩效目标</w:t>
      </w:r>
      <w:r>
        <w:rPr>
          <w:rFonts w:hint="default" w:ascii="Times New Roman" w:hAnsi="Times New Roman" w:eastAsia="方正仿宋_GBK" w:cs="Times New Roman"/>
          <w:sz w:val="32"/>
          <w:szCs w:val="32"/>
        </w:rPr>
        <w:t xml:space="preserve">表 </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firstLine="1600" w:firstLineChars="5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left="6080" w:hanging="6080" w:hangingChars="1900"/>
        <w:contextualSpacing/>
        <w:jc w:val="center"/>
        <w:textAlignment w:val="auto"/>
        <w:rPr>
          <w:rFonts w:hint="eastAsia" w:ascii="Times New Roman" w:eastAsia="方正仿宋_GBK" w:cs="Times New Roman"/>
          <w:sz w:val="32"/>
          <w:szCs w:val="32"/>
          <w:lang w:val="en-US" w:eastAsia="zh-CN"/>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left="6080" w:hanging="6080" w:hangingChars="1900"/>
        <w:contextualSpacing/>
        <w:jc w:val="center"/>
        <w:textAlignment w:val="auto"/>
        <w:rPr>
          <w:rFonts w:hint="eastAsia" w:ascii="Times New Roman" w:eastAsia="方正仿宋_GBK" w:cs="Times New Roman"/>
          <w:sz w:val="32"/>
          <w:szCs w:val="32"/>
          <w:lang w:val="en-US" w:eastAsia="zh-CN"/>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left="6080" w:hanging="6080" w:hangingChars="1900"/>
        <w:contextualSpacing/>
        <w:jc w:val="center"/>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 xml:space="preserve">       </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left="6080" w:hanging="6080" w:hangingChars="1900"/>
        <w:contextualSpacing/>
        <w:jc w:val="right"/>
        <w:textAlignment w:val="auto"/>
        <w:rPr>
          <w:rFonts w:hint="eastAsia" w:ascii="Times New Roman" w:hAnsi="Times New Roman" w:eastAsia="方正仿宋_GBK" w:cs="Times New Roman"/>
          <w:spacing w:val="-16"/>
          <w:sz w:val="32"/>
          <w:szCs w:val="32"/>
          <w:lang w:eastAsia="zh-CN"/>
        </w:rPr>
      </w:pPr>
      <w:r>
        <w:rPr>
          <w:rFonts w:hint="eastAsia" w:ascii="Times New Roman" w:eastAsia="方正仿宋_GBK" w:cs="Times New Roman"/>
          <w:sz w:val="32"/>
          <w:szCs w:val="32"/>
          <w:lang w:val="en-US" w:eastAsia="zh-CN"/>
        </w:rPr>
        <w:t xml:space="preserve">     </w:t>
      </w:r>
      <w:r>
        <w:rPr>
          <w:rFonts w:hint="default" w:ascii="Times New Roman" w:hAnsi="Times New Roman" w:eastAsia="方正仿宋_GBK" w:cs="Times New Roman"/>
          <w:spacing w:val="-16"/>
          <w:sz w:val="32"/>
          <w:szCs w:val="32"/>
        </w:rPr>
        <w:t>中共丰都县委农村工作暨实施乡村振兴战略领导小组</w:t>
      </w: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left="6080" w:hanging="6080" w:hangingChars="1900"/>
        <w:contextualSpacing/>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pStyle w:val="4"/>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50" w:lineRule="exact"/>
        <w:ind w:left="6080" w:hanging="6080" w:hangingChars="1900"/>
        <w:contextualSpacing/>
        <w:jc w:val="left"/>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（此件公开发布）</w:t>
      </w:r>
    </w:p>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p>
    <w:p>
      <w:pPr>
        <w:rPr>
          <w:rFonts w:hint="eastAsia" w:ascii="方正黑体_GBK" w:hAnsi="方正黑体_GBK" w:eastAsia="方正黑体_GBK" w:cs="方正黑体_GBK"/>
          <w:sz w:val="32"/>
          <w:szCs w:val="32"/>
        </w:rPr>
        <w:sectPr>
          <w:headerReference r:id="rId3" w:type="default"/>
          <w:footerReference r:id="rId5" w:type="default"/>
          <w:headerReference r:id="rId4" w:type="even"/>
          <w:footerReference r:id="rId6" w:type="even"/>
          <w:pgSz w:w="11906" w:h="16838"/>
          <w:pgMar w:top="2098" w:right="1531" w:bottom="1985" w:left="1531" w:header="851" w:footer="1418" w:gutter="0"/>
          <w:pgNumType w:fmt="numberInDash"/>
          <w:cols w:space="0" w:num="1"/>
          <w:rtlGutter w:val="1"/>
          <w:docGrid w:type="lines" w:linePitch="312" w:charSpace="0"/>
        </w:sectPr>
      </w:pPr>
    </w:p>
    <w:p>
      <w:pPr>
        <w:rPr>
          <w:rFonts w:hint="eastAsia" w:ascii="方正黑体_GBK" w:hAnsi="方正黑体_GBK" w:eastAsia="方正黑体_GBK" w:cs="方正黑体_GBK"/>
          <w:color w:val="000000"/>
          <w:spacing w:val="-20"/>
          <w:w w:val="80"/>
          <w:sz w:val="28"/>
          <w:szCs w:val="28"/>
          <w:u w:val="single"/>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ind w:left="0" w:leftChars="0" w:right="0" w:rightChars="0" w:firstLine="0" w:firstLineChars="0"/>
        <w:jc w:val="center"/>
        <w:rPr>
          <w:rFonts w:hint="eastAsia" w:ascii="方正小标宋_GBK" w:hAnsi="方正小标宋_GBK" w:eastAsia="方正小标宋_GBK" w:cs="方正小标宋_GBK"/>
          <w:color w:val="auto"/>
          <w:spacing w:val="0"/>
          <w:w w:val="100"/>
          <w:sz w:val="36"/>
          <w:szCs w:val="36"/>
          <w:u w:val="none"/>
        </w:rPr>
      </w:pPr>
      <w:r>
        <w:rPr>
          <w:rFonts w:hint="eastAsia" w:ascii="方正小标宋_GBK" w:hAnsi="方正小标宋_GBK" w:eastAsia="方正小标宋_GBK" w:cs="方正小标宋_GBK"/>
          <w:color w:val="auto"/>
          <w:spacing w:val="0"/>
          <w:w w:val="100"/>
          <w:sz w:val="36"/>
          <w:szCs w:val="36"/>
          <w:u w:val="none"/>
        </w:rPr>
        <w:t>资金收回情况表</w:t>
      </w:r>
    </w:p>
    <w:tbl>
      <w:tblPr>
        <w:tblStyle w:val="5"/>
        <w:tblW w:w="14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1274"/>
        <w:gridCol w:w="1424"/>
        <w:gridCol w:w="2054"/>
        <w:gridCol w:w="747"/>
        <w:gridCol w:w="1333"/>
        <w:gridCol w:w="1347"/>
        <w:gridCol w:w="1333"/>
        <w:gridCol w:w="1396"/>
        <w:gridCol w:w="155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行业部门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资金年度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下达资金</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收回资金</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下达资金文号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资金来源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1249.947834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128.144953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县农业农村委</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县农业农村委</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Style w:val="20"/>
                <w:lang w:val="en-US" w:eastAsia="zh-CN" w:bidi="ar"/>
              </w:rPr>
              <w:t>年农产品产地仓储保鲜冷链设施建设项目</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6.166256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丰财农</w:t>
            </w:r>
            <w:r>
              <w:rPr>
                <w:rFonts w:hint="default" w:ascii="Times New Roman" w:hAnsi="Times New Roman" w:eastAsia="宋体" w:cs="Times New Roman"/>
                <w:i w:val="0"/>
                <w:iCs w:val="0"/>
                <w:color w:val="000000"/>
                <w:kern w:val="0"/>
                <w:sz w:val="18"/>
                <w:szCs w:val="18"/>
                <w:u w:val="none"/>
                <w:lang w:val="en-US" w:eastAsia="zh-CN" w:bidi="ar"/>
              </w:rPr>
              <w:t>[2022]6</w:t>
            </w:r>
            <w:r>
              <w:rPr>
                <w:rStyle w:val="20"/>
                <w:lang w:val="en-US" w:eastAsia="zh-CN" w:bidi="ar"/>
              </w:rPr>
              <w:t>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渝财农</w:t>
            </w:r>
            <w:r>
              <w:rPr>
                <w:rFonts w:hint="default" w:ascii="Times New Roman" w:hAnsi="Times New Roman" w:eastAsia="宋体" w:cs="Times New Roman"/>
                <w:i w:val="0"/>
                <w:iCs w:val="0"/>
                <w:color w:val="000000"/>
                <w:kern w:val="0"/>
                <w:sz w:val="18"/>
                <w:szCs w:val="18"/>
                <w:u w:val="none"/>
                <w:lang w:val="en-US" w:eastAsia="zh-CN" w:bidi="ar"/>
              </w:rPr>
              <w:t>[2021]135</w:t>
            </w:r>
            <w:r>
              <w:rPr>
                <w:rStyle w:val="20"/>
                <w:lang w:val="en-US" w:eastAsia="zh-CN" w:bidi="ar"/>
              </w:rPr>
              <w:t>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中央财政衔接资金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县农业农村委</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县农业农村委</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20"/>
                <w:lang w:val="en-US" w:eastAsia="zh-CN" w:bidi="ar"/>
              </w:rPr>
              <w:t>年江池镇猕猴桃灾后重建项目</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26.52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8.023649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丰委农组</w:t>
            </w:r>
            <w:r>
              <w:rPr>
                <w:rFonts w:hint="default" w:ascii="Times New Roman" w:hAnsi="Times New Roman" w:eastAsia="宋体" w:cs="Times New Roman"/>
                <w:i w:val="0"/>
                <w:iCs w:val="0"/>
                <w:color w:val="000000"/>
                <w:kern w:val="0"/>
                <w:sz w:val="18"/>
                <w:szCs w:val="18"/>
                <w:u w:val="none"/>
                <w:lang w:val="en-US" w:eastAsia="zh-CN" w:bidi="ar"/>
              </w:rPr>
              <w:t>[2022]33</w:t>
            </w:r>
            <w:r>
              <w:rPr>
                <w:rStyle w:val="20"/>
                <w:lang w:val="en-US" w:eastAsia="zh-CN" w:bidi="ar"/>
              </w:rPr>
              <w:t>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渝财农</w:t>
            </w:r>
            <w:r>
              <w:rPr>
                <w:rFonts w:hint="default" w:ascii="Times New Roman" w:hAnsi="Times New Roman" w:eastAsia="宋体" w:cs="Times New Roman"/>
                <w:i w:val="0"/>
                <w:iCs w:val="0"/>
                <w:color w:val="000000"/>
                <w:kern w:val="0"/>
                <w:sz w:val="18"/>
                <w:szCs w:val="18"/>
                <w:u w:val="none"/>
                <w:lang w:val="en-US" w:eastAsia="zh-CN" w:bidi="ar"/>
              </w:rPr>
              <w:t>[2021]135</w:t>
            </w:r>
            <w:r>
              <w:rPr>
                <w:rStyle w:val="20"/>
                <w:lang w:val="en-US" w:eastAsia="zh-CN" w:bidi="ar"/>
              </w:rPr>
              <w:t>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中央财政衔接资金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资金在江池镇代管资金账户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县水利局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县水利局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丰都县农村饮水安全武平</w:t>
            </w:r>
            <w:r>
              <w:rPr>
                <w:rFonts w:hint="default" w:ascii="Times New Roman" w:hAnsi="Times New Roman" w:eastAsia="宋体" w:cs="Times New Roman"/>
                <w:i w:val="0"/>
                <w:iCs w:val="0"/>
                <w:color w:val="000000"/>
                <w:kern w:val="0"/>
                <w:sz w:val="18"/>
                <w:szCs w:val="18"/>
                <w:u w:val="none"/>
                <w:lang w:val="en-US" w:eastAsia="zh-CN" w:bidi="ar"/>
              </w:rPr>
              <w:t>“</w:t>
            </w:r>
            <w:r>
              <w:rPr>
                <w:rStyle w:val="20"/>
                <w:lang w:val="en-US" w:eastAsia="zh-CN" w:bidi="ar"/>
              </w:rPr>
              <w:t>一改三提</w:t>
            </w:r>
            <w:r>
              <w:rPr>
                <w:rFonts w:hint="default" w:ascii="Times New Roman" w:hAnsi="Times New Roman" w:eastAsia="宋体" w:cs="Times New Roman"/>
                <w:i w:val="0"/>
                <w:iCs w:val="0"/>
                <w:color w:val="000000"/>
                <w:kern w:val="0"/>
                <w:sz w:val="18"/>
                <w:szCs w:val="18"/>
                <w:u w:val="none"/>
                <w:lang w:val="en-US" w:eastAsia="zh-CN" w:bidi="ar"/>
              </w:rPr>
              <w:t>”</w:t>
            </w:r>
            <w:r>
              <w:rPr>
                <w:rStyle w:val="20"/>
                <w:lang w:val="en-US" w:eastAsia="zh-CN" w:bidi="ar"/>
              </w:rPr>
              <w:t>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82.808634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70.200034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丰财农</w:t>
            </w:r>
            <w:r>
              <w:rPr>
                <w:rFonts w:hint="default" w:ascii="Times New Roman" w:hAnsi="Times New Roman" w:eastAsia="宋体" w:cs="Times New Roman"/>
                <w:i w:val="0"/>
                <w:iCs w:val="0"/>
                <w:color w:val="000000"/>
                <w:kern w:val="0"/>
                <w:sz w:val="18"/>
                <w:szCs w:val="18"/>
                <w:u w:val="none"/>
                <w:lang w:val="en-US" w:eastAsia="zh-CN" w:bidi="ar"/>
              </w:rPr>
              <w:t>[2023]87</w:t>
            </w:r>
            <w:r>
              <w:rPr>
                <w:rStyle w:val="20"/>
                <w:lang w:val="en-US" w:eastAsia="zh-CN" w:bidi="ar"/>
              </w:rPr>
              <w:t>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渝财农</w:t>
            </w:r>
            <w:r>
              <w:rPr>
                <w:rFonts w:hint="default" w:ascii="Times New Roman" w:hAnsi="Times New Roman" w:eastAsia="宋体" w:cs="Times New Roman"/>
                <w:i w:val="0"/>
                <w:iCs w:val="0"/>
                <w:color w:val="000000"/>
                <w:kern w:val="0"/>
                <w:sz w:val="18"/>
                <w:szCs w:val="18"/>
                <w:u w:val="none"/>
                <w:lang w:val="en-US" w:eastAsia="zh-CN" w:bidi="ar"/>
              </w:rPr>
              <w:t>[2023]144</w:t>
            </w:r>
            <w:r>
              <w:rPr>
                <w:rStyle w:val="20"/>
                <w:lang w:val="en-US" w:eastAsia="zh-CN" w:bidi="ar"/>
              </w:rPr>
              <w:t>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市级财政衔接资金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县水利局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县水利局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丰都县香葱示范基地产业需水完善工程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丰财农</w:t>
            </w:r>
            <w:r>
              <w:rPr>
                <w:rFonts w:hint="default" w:ascii="Times New Roman" w:hAnsi="Times New Roman" w:eastAsia="宋体" w:cs="Times New Roman"/>
                <w:i w:val="0"/>
                <w:iCs w:val="0"/>
                <w:color w:val="000000"/>
                <w:kern w:val="0"/>
                <w:sz w:val="18"/>
                <w:szCs w:val="18"/>
                <w:u w:val="none"/>
                <w:lang w:val="en-US" w:eastAsia="zh-CN" w:bidi="ar"/>
              </w:rPr>
              <w:t>[2023]87</w:t>
            </w:r>
            <w:r>
              <w:rPr>
                <w:rStyle w:val="20"/>
                <w:lang w:val="en-US" w:eastAsia="zh-CN" w:bidi="ar"/>
              </w:rPr>
              <w:t>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渝财农</w:t>
            </w:r>
            <w:r>
              <w:rPr>
                <w:rFonts w:hint="default" w:ascii="Times New Roman" w:hAnsi="Times New Roman" w:eastAsia="宋体" w:cs="Times New Roman"/>
                <w:i w:val="0"/>
                <w:iCs w:val="0"/>
                <w:color w:val="000000"/>
                <w:kern w:val="0"/>
                <w:sz w:val="18"/>
                <w:szCs w:val="18"/>
                <w:u w:val="none"/>
                <w:lang w:val="en-US" w:eastAsia="zh-CN" w:bidi="ar"/>
              </w:rPr>
              <w:t>[2023]146</w:t>
            </w:r>
            <w:r>
              <w:rPr>
                <w:rStyle w:val="20"/>
                <w:lang w:val="en-US" w:eastAsia="zh-CN" w:bidi="ar"/>
              </w:rPr>
              <w:t>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中央财政衔接资金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县农业农村委</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县农业农村委</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Style w:val="20"/>
                <w:lang w:val="en-US" w:eastAsia="zh-CN" w:bidi="ar"/>
              </w:rPr>
              <w:t>年兴义镇农业基础设施建设项目</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11.2192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11.2192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丰委农组</w:t>
            </w:r>
            <w:r>
              <w:rPr>
                <w:rFonts w:hint="default" w:ascii="Times New Roman" w:hAnsi="Times New Roman" w:eastAsia="宋体" w:cs="Times New Roman"/>
                <w:i w:val="0"/>
                <w:iCs w:val="0"/>
                <w:color w:val="000000"/>
                <w:kern w:val="0"/>
                <w:sz w:val="18"/>
                <w:szCs w:val="18"/>
                <w:u w:val="none"/>
                <w:lang w:val="en-US" w:eastAsia="zh-CN" w:bidi="ar"/>
              </w:rPr>
              <w:t>[2023]19</w:t>
            </w:r>
            <w:r>
              <w:rPr>
                <w:rStyle w:val="20"/>
                <w:lang w:val="en-US" w:eastAsia="zh-CN" w:bidi="ar"/>
              </w:rPr>
              <w:t>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渝财农</w:t>
            </w:r>
            <w:r>
              <w:rPr>
                <w:rFonts w:hint="default" w:ascii="Times New Roman" w:hAnsi="Times New Roman" w:eastAsia="宋体" w:cs="Times New Roman"/>
                <w:i w:val="0"/>
                <w:iCs w:val="0"/>
                <w:color w:val="000000"/>
                <w:kern w:val="0"/>
                <w:sz w:val="18"/>
                <w:szCs w:val="18"/>
                <w:u w:val="none"/>
                <w:lang w:val="en-US" w:eastAsia="zh-CN" w:bidi="ar"/>
              </w:rPr>
              <w:t>[2023]146</w:t>
            </w:r>
            <w:r>
              <w:rPr>
                <w:rStyle w:val="20"/>
                <w:lang w:val="en-US" w:eastAsia="zh-CN" w:bidi="ar"/>
              </w:rPr>
              <w:t>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中央财政衔接资金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县交通运输委</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青龙乡人民政府</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青龙乡滑翔伞基地旅游路</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2.377704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丰财建〔</w:t>
            </w:r>
            <w:r>
              <w:rPr>
                <w:rFonts w:hint="default" w:ascii="Times New Roman" w:hAnsi="Times New Roman" w:eastAsia="宋体" w:cs="Times New Roman"/>
                <w:i w:val="0"/>
                <w:iCs w:val="0"/>
                <w:color w:val="000000"/>
                <w:kern w:val="0"/>
                <w:sz w:val="18"/>
                <w:szCs w:val="18"/>
                <w:u w:val="none"/>
                <w:lang w:val="en-US" w:eastAsia="zh-CN" w:bidi="ar"/>
              </w:rPr>
              <w:t>2023</w:t>
            </w:r>
            <w:r>
              <w:rPr>
                <w:rStyle w:val="20"/>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71</w:t>
            </w:r>
            <w:r>
              <w:rPr>
                <w:rStyle w:val="20"/>
                <w:lang w:val="en-US" w:eastAsia="zh-CN" w:bidi="ar"/>
              </w:rPr>
              <w:t>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渝财农</w:t>
            </w:r>
            <w:r>
              <w:rPr>
                <w:rFonts w:hint="default" w:ascii="Times New Roman" w:hAnsi="Times New Roman" w:eastAsia="宋体" w:cs="Times New Roman"/>
                <w:i w:val="0"/>
                <w:iCs w:val="0"/>
                <w:color w:val="000000"/>
                <w:kern w:val="0"/>
                <w:sz w:val="18"/>
                <w:szCs w:val="18"/>
                <w:u w:val="none"/>
                <w:lang w:val="en-US" w:eastAsia="zh-CN" w:bidi="ar"/>
              </w:rPr>
              <w:t>[2023]146</w:t>
            </w:r>
            <w:r>
              <w:rPr>
                <w:rStyle w:val="20"/>
                <w:lang w:val="en-US" w:eastAsia="zh-CN" w:bidi="ar"/>
              </w:rPr>
              <w:t>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中央财政衔接资金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县农业农村委</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双龙镇人民政府</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Style w:val="20"/>
                <w:lang w:val="en-US" w:eastAsia="zh-CN" w:bidi="ar"/>
              </w:rPr>
              <w:t>年双龙镇马灯坝村、灯塔村泥结石路项目</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0.15811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丰委农组〔</w:t>
            </w:r>
            <w:r>
              <w:rPr>
                <w:rFonts w:hint="default" w:ascii="Times New Roman" w:hAnsi="Times New Roman" w:eastAsia="宋体" w:cs="Times New Roman"/>
                <w:i w:val="0"/>
                <w:iCs w:val="0"/>
                <w:color w:val="000000"/>
                <w:kern w:val="0"/>
                <w:sz w:val="18"/>
                <w:szCs w:val="18"/>
                <w:u w:val="none"/>
                <w:lang w:val="en-US" w:eastAsia="zh-CN" w:bidi="ar"/>
              </w:rPr>
              <w:t>2023</w:t>
            </w:r>
            <w:r>
              <w:rPr>
                <w:rStyle w:val="20"/>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19</w:t>
            </w:r>
            <w:r>
              <w:rPr>
                <w:rStyle w:val="20"/>
                <w:lang w:val="en-US" w:eastAsia="zh-CN" w:bidi="ar"/>
              </w:rPr>
              <w:t>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渝财农〔</w:t>
            </w:r>
            <w:r>
              <w:rPr>
                <w:rFonts w:hint="default" w:ascii="Times New Roman" w:hAnsi="Times New Roman" w:eastAsia="宋体" w:cs="Times New Roman"/>
                <w:i w:val="0"/>
                <w:iCs w:val="0"/>
                <w:color w:val="000000"/>
                <w:kern w:val="0"/>
                <w:sz w:val="18"/>
                <w:szCs w:val="18"/>
                <w:u w:val="none"/>
                <w:lang w:val="en-US" w:eastAsia="zh-CN" w:bidi="ar"/>
              </w:rPr>
              <w:t>2023</w:t>
            </w:r>
            <w:r>
              <w:rPr>
                <w:rStyle w:val="20"/>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146</w:t>
            </w:r>
            <w:r>
              <w:rPr>
                <w:rStyle w:val="20"/>
                <w:lang w:val="en-US" w:eastAsia="zh-CN" w:bidi="ar"/>
              </w:rPr>
              <w:t>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0"/>
                <w:lang w:val="en-US" w:eastAsia="zh-CN" w:bidi="ar"/>
              </w:rPr>
              <w:t>中央财政衔接资金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bl>
    <w:p>
      <w:pPr>
        <w:rPr>
          <w:rFonts w:hint="default" w:ascii="Times New Roman" w:hAnsi="Times New Roman" w:eastAsia="方正仿宋_GBK" w:cs="Times New Roman"/>
          <w:color w:val="000000"/>
          <w:spacing w:val="-20"/>
          <w:w w:val="80"/>
          <w:sz w:val="28"/>
          <w:szCs w:val="28"/>
          <w:u w:val="single"/>
        </w:rPr>
      </w:pPr>
    </w:p>
    <w:p>
      <w:pPr>
        <w:rPr>
          <w:rFonts w:hint="default" w:ascii="Times New Roman" w:hAnsi="Times New Roman" w:eastAsia="方正仿宋_GBK" w:cs="Times New Roman"/>
          <w:color w:val="000000"/>
          <w:spacing w:val="-20"/>
          <w:w w:val="80"/>
          <w:sz w:val="28"/>
          <w:szCs w:val="28"/>
          <w:u w:val="single"/>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ind w:left="0" w:leftChars="0" w:right="0" w:rightChars="0" w:firstLine="0" w:firstLineChars="0"/>
        <w:jc w:val="center"/>
        <w:rPr>
          <w:rFonts w:hint="eastAsia" w:ascii="方正小标宋_GBK" w:hAnsi="方正小标宋_GBK" w:eastAsia="方正小标宋_GBK" w:cs="方正小标宋_GBK"/>
          <w:color w:val="000000"/>
          <w:spacing w:val="0"/>
          <w:w w:val="100"/>
          <w:sz w:val="44"/>
          <w:szCs w:val="44"/>
          <w:u w:val="none"/>
        </w:rPr>
      </w:pPr>
      <w:r>
        <w:rPr>
          <w:rFonts w:hint="eastAsia" w:ascii="方正小标宋_GBK" w:hAnsi="方正小标宋_GBK" w:eastAsia="方正小标宋_GBK" w:cs="方正小标宋_GBK"/>
          <w:color w:val="000000"/>
          <w:spacing w:val="0"/>
          <w:w w:val="100"/>
          <w:sz w:val="44"/>
          <w:szCs w:val="44"/>
          <w:u w:val="none"/>
        </w:rPr>
        <w:t>结转结余资金重新安排情况表</w:t>
      </w:r>
    </w:p>
    <w:tbl>
      <w:tblPr>
        <w:tblStyle w:val="5"/>
        <w:tblW w:w="14910"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615"/>
        <w:gridCol w:w="2490"/>
        <w:gridCol w:w="735"/>
        <w:gridCol w:w="1095"/>
        <w:gridCol w:w="1470"/>
        <w:gridCol w:w="1155"/>
        <w:gridCol w:w="1140"/>
        <w:gridCol w:w="1245"/>
        <w:gridCol w:w="945"/>
        <w:gridCol w:w="90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项目名称</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建设内容</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行业主管部门</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实施单位</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小计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资金年度</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分配补助资金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资金来源</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中央衔接资金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市级衔接资金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县级衔接资金</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128.144953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57.944919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70.200034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2024年仁沙镇陶家坪村产业路改扩建项目</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道路改扩建产业道路18条，路线总长1939.42米，其中2.5米宽产业路105.71米，3米宽产业路565.6米，3.5米宽产业路1268.11米。新增管涵6道。</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县农业农村委</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仁沙镇人民政府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6.166256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6.166256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渝财农[2021]135号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2021年农产品产地仓储保鲜冷链设施建设项目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70.200034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70.200034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渝财农[2023]144号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丰都县农村饮水安全武平“一改三提”工程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2.377704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2.377704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渝财农[2023]146号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青龙乡滑翔伞基地旅游路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0.15811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0.15811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渝财农[2023]146号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2021年双龙镇马灯坝村、灯塔村泥结石路项目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2.097896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2.097896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渝财农[2023]146号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2021年兴义镇农业基础设施建设项目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2022年江池镇江洋社区猕猴桃灾后重建项目</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1.新建蓄水池100m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，安装溢洪道及放水涵管；2.更换猕猴桃配套供水管网配水主管800m，配水支管1600m；3.新建机耕道200米，宽3.5米，厚0.2米；4.补植红心猕猴桃11000株，安装水泥柱子200根、钢丝3000m。</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县农业农村委</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江池镇人民政府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8.023649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8.023649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渝财农[2021]135号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资金在江池镇代管资金账户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2.386377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2.386377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渝财农[2023]146号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2021年兴义镇农业基础设施建设项目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丰都县仙女湖镇2024年竹子社区人居环境改造及竹子产业园基础设施配套中央财政以工代赈项目</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新建5.5米宽产业道路700米，人行道彩砖铺设8000平方米，新建花台1380米，改造5个道路交叉口，改造1.5米宽彩色步道3.3公里。</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县发改委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仙女湖镇人民政府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22.169523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22.169523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渝财农[2023]146号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丰都县香葱示范基地产业需水完善工程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2023年丰都县红心柚芽变选育项目</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对筛选的品种进行对比试验、建设红心柚品种示范园。</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县农业农村委</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县农业农村委</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7.830477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7.830477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渝财农[2023]146号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丰都县香葱示范基地产业需水完善工程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6.734927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6.734927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渝财农[2023]146号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2021年兴义镇农业基础设施建设项目</w:t>
            </w:r>
          </w:p>
        </w:tc>
      </w:tr>
    </w:tbl>
    <w:p>
      <w:pPr>
        <w:ind w:left="0" w:leftChars="0" w:right="0" w:rightChars="0" w:firstLine="0" w:firstLineChars="0"/>
        <w:jc w:val="left"/>
        <w:rPr>
          <w:rFonts w:hint="eastAsia" w:ascii="方正小标宋_GBK" w:hAnsi="方正小标宋_GBK" w:eastAsia="方正小标宋_GBK" w:cs="方正小标宋_GBK"/>
          <w:color w:val="000000"/>
          <w:spacing w:val="0"/>
          <w:w w:val="100"/>
          <w:sz w:val="21"/>
          <w:szCs w:val="21"/>
          <w:u w:val="none"/>
        </w:rPr>
        <w:sectPr>
          <w:pgSz w:w="16838" w:h="11906" w:orient="landscape"/>
          <w:pgMar w:top="1531" w:right="1247" w:bottom="1531" w:left="1247" w:header="851" w:footer="1417" w:gutter="0"/>
          <w:pgNumType w:fmt="numberInDash"/>
          <w:cols w:space="0" w:num="1"/>
          <w:rtlGutter w:val="1"/>
          <w:docGrid w:type="lines" w:linePitch="315" w:charSpace="0"/>
        </w:sectPr>
      </w:pPr>
    </w:p>
    <w:p>
      <w:pPr>
        <w:ind w:left="0" w:leftChars="0" w:right="0" w:rightChars="0" w:firstLine="0" w:firstLineChars="0"/>
        <w:jc w:val="left"/>
        <w:rPr>
          <w:rFonts w:hint="eastAsia" w:ascii="方正黑体_GBK" w:hAnsi="方正黑体_GBK" w:eastAsia="方正黑体_GBK" w:cs="方正黑体_GBK"/>
          <w:color w:val="000000"/>
          <w:spacing w:val="0"/>
          <w:w w:val="100"/>
          <w:sz w:val="32"/>
          <w:szCs w:val="32"/>
          <w:u w:val="none"/>
          <w:lang w:val="en-US" w:eastAsia="zh-CN"/>
        </w:rPr>
      </w:pPr>
      <w:r>
        <w:rPr>
          <w:rFonts w:hint="eastAsia" w:ascii="方正黑体_GBK" w:hAnsi="方正黑体_GBK" w:eastAsia="方正黑体_GBK" w:cs="方正黑体_GBK"/>
          <w:color w:val="000000"/>
          <w:spacing w:val="0"/>
          <w:w w:val="100"/>
          <w:sz w:val="32"/>
          <w:szCs w:val="32"/>
          <w:u w:val="none"/>
          <w:lang w:eastAsia="zh-CN"/>
        </w:rPr>
        <w:t>附件</w:t>
      </w:r>
      <w:r>
        <w:rPr>
          <w:rFonts w:hint="eastAsia" w:ascii="方正黑体_GBK" w:hAnsi="方正黑体_GBK" w:eastAsia="方正黑体_GBK" w:cs="方正黑体_GBK"/>
          <w:color w:val="000000"/>
          <w:spacing w:val="0"/>
          <w:w w:val="100"/>
          <w:sz w:val="32"/>
          <w:szCs w:val="32"/>
          <w:u w:val="none"/>
          <w:lang w:val="en-US" w:eastAsia="zh-CN"/>
        </w:rPr>
        <w:t>3</w:t>
      </w:r>
    </w:p>
    <w:tbl>
      <w:tblPr>
        <w:tblStyle w:val="5"/>
        <w:tblW w:w="8940" w:type="dxa"/>
        <w:jc w:val="center"/>
        <w:tblLayout w:type="fixed"/>
        <w:tblCellMar>
          <w:top w:w="0" w:type="dxa"/>
          <w:left w:w="108" w:type="dxa"/>
          <w:bottom w:w="0" w:type="dxa"/>
          <w:right w:w="108" w:type="dxa"/>
        </w:tblCellMar>
      </w:tblPr>
      <w:tblGrid>
        <w:gridCol w:w="1211"/>
        <w:gridCol w:w="615"/>
        <w:gridCol w:w="600"/>
        <w:gridCol w:w="799"/>
        <w:gridCol w:w="1007"/>
        <w:gridCol w:w="1315"/>
        <w:gridCol w:w="649"/>
        <w:gridCol w:w="1065"/>
        <w:gridCol w:w="1679"/>
      </w:tblGrid>
      <w:tr>
        <w:tblPrEx>
          <w:tblCellMar>
            <w:top w:w="0" w:type="dxa"/>
            <w:left w:w="108" w:type="dxa"/>
            <w:bottom w:w="0" w:type="dxa"/>
            <w:right w:w="108" w:type="dxa"/>
          </w:tblCellMar>
        </w:tblPrEx>
        <w:trPr>
          <w:trHeight w:val="588" w:hRule="atLeast"/>
          <w:jc w:val="center"/>
        </w:trPr>
        <w:tc>
          <w:tcPr>
            <w:tcW w:w="8940" w:type="dxa"/>
            <w:gridSpan w:val="9"/>
            <w:tcBorders>
              <w:top w:val="nil"/>
              <w:left w:val="nil"/>
              <w:bottom w:val="nil"/>
              <w:right w:val="nil"/>
            </w:tcBorders>
            <w:noWrap w:val="0"/>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丰都县项目预算绩效目标表</w:t>
            </w:r>
          </w:p>
        </w:tc>
      </w:tr>
      <w:tr>
        <w:tblPrEx>
          <w:tblCellMar>
            <w:top w:w="0" w:type="dxa"/>
            <w:left w:w="108" w:type="dxa"/>
            <w:bottom w:w="0" w:type="dxa"/>
            <w:right w:w="108" w:type="dxa"/>
          </w:tblCellMar>
        </w:tblPrEx>
        <w:trPr>
          <w:trHeight w:val="375" w:hRule="atLeast"/>
          <w:jc w:val="center"/>
        </w:trPr>
        <w:tc>
          <w:tcPr>
            <w:tcW w:w="8940" w:type="dxa"/>
            <w:gridSpan w:val="9"/>
            <w:tcBorders>
              <w:top w:val="nil"/>
              <w:left w:val="nil"/>
              <w:bottom w:val="nil"/>
              <w:right w:val="nil"/>
            </w:tcBorders>
            <w:noWrap w:val="0"/>
            <w:vAlign w:val="center"/>
          </w:tcPr>
          <w:p>
            <w:pPr>
              <w:widowControl/>
              <w:jc w:val="center"/>
              <w:rPr>
                <w:rFonts w:ascii="宋体" w:hAnsi="Calibri" w:cs="宋体"/>
                <w:kern w:val="0"/>
                <w:sz w:val="24"/>
                <w:szCs w:val="24"/>
              </w:rPr>
            </w:pPr>
            <w:r>
              <w:rPr>
                <w:rFonts w:hint="eastAsia" w:ascii="宋体" w:hAnsi="宋体" w:cs="宋体"/>
                <w:kern w:val="0"/>
                <w:sz w:val="24"/>
                <w:szCs w:val="24"/>
              </w:rPr>
              <w:t>（</w:t>
            </w:r>
            <w:r>
              <w:rPr>
                <w:rFonts w:ascii="宋体" w:hAnsi="宋体" w:cs="宋体"/>
                <w:kern w:val="0"/>
                <w:sz w:val="24"/>
                <w:szCs w:val="24"/>
              </w:rPr>
              <w:t>202</w:t>
            </w:r>
            <w:r>
              <w:rPr>
                <w:rFonts w:hint="eastAsia" w:ascii="宋体" w:hAnsi="宋体" w:cs="宋体"/>
                <w:kern w:val="0"/>
                <w:sz w:val="24"/>
                <w:szCs w:val="24"/>
                <w:lang w:val="en-US" w:eastAsia="zh-CN"/>
              </w:rPr>
              <w:t>4</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9" w:hRule="exact"/>
          <w:jc w:val="center"/>
        </w:trPr>
        <w:tc>
          <w:tcPr>
            <w:tcW w:w="1826" w:type="dxa"/>
            <w:gridSpan w:val="2"/>
            <w:tcBorders>
              <w:top w:val="single" w:color="auto" w:sz="4" w:space="0"/>
              <w:left w:val="single" w:color="auto" w:sz="4" w:space="0"/>
              <w:bottom w:val="nil"/>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项目名称</w:t>
            </w:r>
          </w:p>
        </w:tc>
        <w:tc>
          <w:tcPr>
            <w:tcW w:w="7114" w:type="dxa"/>
            <w:gridSpan w:val="7"/>
            <w:tcBorders>
              <w:top w:val="single" w:color="auto" w:sz="4" w:space="0"/>
              <w:left w:val="single" w:color="auto" w:sz="4" w:space="0"/>
              <w:bottom w:val="nil"/>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000000"/>
                <w:szCs w:val="21"/>
                <w:u w:val="none"/>
                <w:lang w:val="en-US" w:eastAsia="zh-CN" w:bidi="ar"/>
              </w:rPr>
              <w:t>2024年仁沙镇陶家坪村产业路改扩建项目</w:t>
            </w:r>
          </w:p>
        </w:tc>
      </w:tr>
      <w:tr>
        <w:tblPrEx>
          <w:tblCellMar>
            <w:top w:w="0" w:type="dxa"/>
            <w:left w:w="108" w:type="dxa"/>
            <w:bottom w:w="0" w:type="dxa"/>
            <w:right w:w="108" w:type="dxa"/>
          </w:tblCellMar>
        </w:tblPrEx>
        <w:trPr>
          <w:trHeight w:val="429" w:hRule="exact"/>
          <w:jc w:val="center"/>
        </w:trPr>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主管部门及代码</w:t>
            </w:r>
          </w:p>
        </w:tc>
        <w:tc>
          <w:tcPr>
            <w:tcW w:w="240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val="en-US" w:eastAsia="zh-CN"/>
              </w:rPr>
              <w:t>丰都县农业农村委员会</w:t>
            </w:r>
          </w:p>
        </w:tc>
        <w:tc>
          <w:tcPr>
            <w:tcW w:w="131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实施单位</w:t>
            </w:r>
          </w:p>
        </w:tc>
        <w:tc>
          <w:tcPr>
            <w:tcW w:w="33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丰都县仁沙镇人民政府</w:t>
            </w:r>
          </w:p>
        </w:tc>
      </w:tr>
      <w:tr>
        <w:tblPrEx>
          <w:tblCellMar>
            <w:top w:w="0" w:type="dxa"/>
            <w:left w:w="108" w:type="dxa"/>
            <w:bottom w:w="0" w:type="dxa"/>
            <w:right w:w="108" w:type="dxa"/>
          </w:tblCellMar>
        </w:tblPrEx>
        <w:trPr>
          <w:trHeight w:val="480" w:hRule="exact"/>
          <w:jc w:val="center"/>
        </w:trPr>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项目属性</w:t>
            </w:r>
          </w:p>
        </w:tc>
        <w:tc>
          <w:tcPr>
            <w:tcW w:w="240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新建</w:t>
            </w:r>
          </w:p>
        </w:tc>
        <w:tc>
          <w:tcPr>
            <w:tcW w:w="13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项目期</w:t>
            </w:r>
          </w:p>
        </w:tc>
        <w:tc>
          <w:tcPr>
            <w:tcW w:w="339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1年</w:t>
            </w:r>
          </w:p>
        </w:tc>
      </w:tr>
      <w:tr>
        <w:tblPrEx>
          <w:tblCellMar>
            <w:top w:w="0" w:type="dxa"/>
            <w:left w:w="108" w:type="dxa"/>
            <w:bottom w:w="0" w:type="dxa"/>
            <w:right w:w="108" w:type="dxa"/>
          </w:tblCellMar>
        </w:tblPrEx>
        <w:trPr>
          <w:trHeight w:val="438" w:hRule="exact"/>
          <w:jc w:val="center"/>
        </w:trPr>
        <w:tc>
          <w:tcPr>
            <w:tcW w:w="121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项目资金</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（万元）</w:t>
            </w:r>
          </w:p>
        </w:tc>
        <w:tc>
          <w:tcPr>
            <w:tcW w:w="201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年度资金总额：</w:t>
            </w:r>
          </w:p>
        </w:tc>
        <w:tc>
          <w:tcPr>
            <w:tcW w:w="571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81</w:t>
            </w:r>
          </w:p>
        </w:tc>
      </w:tr>
      <w:tr>
        <w:tblPrEx>
          <w:tblCellMar>
            <w:top w:w="0" w:type="dxa"/>
            <w:left w:w="108" w:type="dxa"/>
            <w:bottom w:w="0" w:type="dxa"/>
            <w:right w:w="108" w:type="dxa"/>
          </w:tblCellMar>
        </w:tblPrEx>
        <w:trPr>
          <w:trHeight w:val="478" w:hRule="exact"/>
          <w:jc w:val="center"/>
        </w:trPr>
        <w:tc>
          <w:tcPr>
            <w:tcW w:w="12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2014" w:type="dxa"/>
            <w:gridSpan w:val="3"/>
            <w:tcBorders>
              <w:top w:val="single" w:color="auto" w:sz="4" w:space="0"/>
              <w:left w:val="nil"/>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其中：财政拨款</w:t>
            </w:r>
          </w:p>
        </w:tc>
        <w:tc>
          <w:tcPr>
            <w:tcW w:w="571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81</w:t>
            </w:r>
          </w:p>
        </w:tc>
      </w:tr>
      <w:tr>
        <w:tblPrEx>
          <w:tblCellMar>
            <w:top w:w="0" w:type="dxa"/>
            <w:left w:w="108" w:type="dxa"/>
            <w:bottom w:w="0" w:type="dxa"/>
            <w:right w:w="108" w:type="dxa"/>
          </w:tblCellMar>
        </w:tblPrEx>
        <w:trPr>
          <w:trHeight w:val="513" w:hRule="exact"/>
          <w:jc w:val="center"/>
        </w:trPr>
        <w:tc>
          <w:tcPr>
            <w:tcW w:w="12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2014" w:type="dxa"/>
            <w:gridSpan w:val="3"/>
            <w:tcBorders>
              <w:top w:val="single" w:color="auto" w:sz="4" w:space="0"/>
              <w:left w:val="nil"/>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其他资金</w:t>
            </w:r>
          </w:p>
        </w:tc>
        <w:tc>
          <w:tcPr>
            <w:tcW w:w="571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0</w:t>
            </w:r>
          </w:p>
        </w:tc>
      </w:tr>
      <w:tr>
        <w:tblPrEx>
          <w:tblCellMar>
            <w:top w:w="0" w:type="dxa"/>
            <w:left w:w="108" w:type="dxa"/>
            <w:bottom w:w="0" w:type="dxa"/>
            <w:right w:w="108" w:type="dxa"/>
          </w:tblCellMar>
        </w:tblPrEx>
        <w:trPr>
          <w:trHeight w:val="818" w:hRule="atLeast"/>
          <w:jc w:val="center"/>
        </w:trPr>
        <w:tc>
          <w:tcPr>
            <w:tcW w:w="12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年度总体目标</w:t>
            </w:r>
          </w:p>
        </w:tc>
        <w:tc>
          <w:tcPr>
            <w:tcW w:w="7729" w:type="dxa"/>
            <w:gridSpan w:val="8"/>
            <w:tcBorders>
              <w:top w:val="nil"/>
              <w:left w:val="nil"/>
              <w:bottom w:val="single" w:color="auto" w:sz="4" w:space="0"/>
              <w:right w:val="single" w:color="auto" w:sz="4" w:space="0"/>
            </w:tcBorders>
            <w:noWrap w:val="0"/>
            <w:vAlign w:val="top"/>
          </w:tcPr>
          <w:p>
            <w:pPr>
              <w:widowControl/>
              <w:jc w:val="both"/>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color w:val="000000"/>
                <w:szCs w:val="21"/>
                <w:u w:val="none"/>
                <w:lang w:val="en-US" w:eastAsia="zh-CN" w:bidi="ar"/>
              </w:rPr>
              <w:t>硬化产业路1.5千米。</w:t>
            </w:r>
          </w:p>
        </w:tc>
      </w:tr>
      <w:tr>
        <w:tblPrEx>
          <w:tblCellMar>
            <w:top w:w="0" w:type="dxa"/>
            <w:left w:w="108" w:type="dxa"/>
            <w:bottom w:w="0" w:type="dxa"/>
            <w:right w:w="108" w:type="dxa"/>
          </w:tblCellMar>
        </w:tblPrEx>
        <w:trPr>
          <w:trHeight w:val="473" w:hRule="atLeast"/>
          <w:jc w:val="center"/>
        </w:trPr>
        <w:tc>
          <w:tcPr>
            <w:tcW w:w="12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绩</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效</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指</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标</w:t>
            </w:r>
          </w:p>
        </w:tc>
        <w:tc>
          <w:tcPr>
            <w:tcW w:w="121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一级指标</w:t>
            </w:r>
          </w:p>
        </w:tc>
        <w:tc>
          <w:tcPr>
            <w:tcW w:w="180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二级指标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三级指标</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lang w:eastAsia="zh-CN"/>
              </w:rPr>
              <w:t>计量单位</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指标值</w:t>
            </w:r>
          </w:p>
        </w:tc>
      </w:tr>
      <w:tr>
        <w:tblPrEx>
          <w:tblCellMar>
            <w:top w:w="0" w:type="dxa"/>
            <w:left w:w="108" w:type="dxa"/>
            <w:bottom w:w="0" w:type="dxa"/>
            <w:right w:w="108" w:type="dxa"/>
          </w:tblCellMar>
        </w:tblPrEx>
        <w:trPr>
          <w:trHeight w:val="554"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产出指标</w:t>
            </w:r>
          </w:p>
        </w:tc>
        <w:tc>
          <w:tcPr>
            <w:tcW w:w="180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数量指标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000000"/>
                <w:szCs w:val="21"/>
                <w:u w:val="none"/>
                <w:lang w:val="en-US" w:eastAsia="zh-CN" w:bidi="ar"/>
              </w:rPr>
              <w:t>硬化产业路</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米</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≥1500</w:t>
            </w:r>
          </w:p>
        </w:tc>
      </w:tr>
      <w:tr>
        <w:tblPrEx>
          <w:tblCellMar>
            <w:top w:w="0" w:type="dxa"/>
            <w:left w:w="108" w:type="dxa"/>
            <w:bottom w:w="0" w:type="dxa"/>
            <w:right w:w="108" w:type="dxa"/>
          </w:tblCellMar>
        </w:tblPrEx>
        <w:trPr>
          <w:trHeight w:val="531"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_GBK" w:cs="Times New Roman"/>
                <w:kern w:val="0"/>
                <w:sz w:val="21"/>
                <w:szCs w:val="21"/>
              </w:rPr>
            </w:pP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新建涵洞</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个</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≥6</w:t>
            </w:r>
          </w:p>
        </w:tc>
      </w:tr>
      <w:tr>
        <w:tblPrEx>
          <w:tblCellMar>
            <w:top w:w="0" w:type="dxa"/>
            <w:left w:w="108" w:type="dxa"/>
            <w:bottom w:w="0" w:type="dxa"/>
            <w:right w:w="108" w:type="dxa"/>
          </w:tblCellMar>
        </w:tblPrEx>
        <w:trPr>
          <w:trHeight w:val="433"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06"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质量指标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0"/>
                <w:szCs w:val="20"/>
              </w:rPr>
              <w:t>项目验收</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合格</w:t>
            </w:r>
          </w:p>
        </w:tc>
      </w:tr>
      <w:tr>
        <w:tblPrEx>
          <w:tblCellMar>
            <w:top w:w="0" w:type="dxa"/>
            <w:left w:w="108" w:type="dxa"/>
            <w:bottom w:w="0" w:type="dxa"/>
            <w:right w:w="108" w:type="dxa"/>
          </w:tblCellMar>
        </w:tblPrEx>
        <w:trPr>
          <w:trHeight w:val="433"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06"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时效指标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完成时限</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年</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≤1</w:t>
            </w:r>
          </w:p>
        </w:tc>
      </w:tr>
      <w:tr>
        <w:tblPrEx>
          <w:tblCellMar>
            <w:top w:w="0" w:type="dxa"/>
            <w:left w:w="108" w:type="dxa"/>
            <w:bottom w:w="0" w:type="dxa"/>
            <w:right w:w="108" w:type="dxa"/>
          </w:tblCellMar>
        </w:tblPrEx>
        <w:trPr>
          <w:trHeight w:val="433"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06"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成本指标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服务费用</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万元</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≤81</w:t>
            </w:r>
          </w:p>
        </w:tc>
      </w:tr>
      <w:tr>
        <w:tblPrEx>
          <w:tblCellMar>
            <w:top w:w="0" w:type="dxa"/>
            <w:left w:w="108" w:type="dxa"/>
            <w:bottom w:w="0" w:type="dxa"/>
            <w:right w:w="108" w:type="dxa"/>
          </w:tblCellMar>
        </w:tblPrEx>
        <w:trPr>
          <w:trHeight w:val="457"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效益指标</w:t>
            </w:r>
          </w:p>
        </w:tc>
        <w:tc>
          <w:tcPr>
            <w:tcW w:w="1806"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经济效益</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0"/>
                <w:szCs w:val="20"/>
                <w:lang w:val="en-US" w:eastAsia="zh-CN"/>
              </w:rPr>
              <w:t>增加农户务工收入</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万元</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≤0.2</w:t>
            </w:r>
          </w:p>
        </w:tc>
      </w:tr>
      <w:tr>
        <w:tblPrEx>
          <w:tblCellMar>
            <w:top w:w="0" w:type="dxa"/>
            <w:left w:w="108" w:type="dxa"/>
            <w:bottom w:w="0" w:type="dxa"/>
            <w:right w:w="108" w:type="dxa"/>
          </w:tblCellMar>
        </w:tblPrEx>
        <w:trPr>
          <w:trHeight w:val="457"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06"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社会效益</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0"/>
                <w:szCs w:val="20"/>
                <w:lang w:eastAsia="zh-CN"/>
              </w:rPr>
              <w:t>提供零时用工人数</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人</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0"/>
                <w:szCs w:val="20"/>
              </w:rPr>
              <w:t>≥</w:t>
            </w:r>
            <w:r>
              <w:rPr>
                <w:rFonts w:hint="default" w:ascii="Times New Roman" w:hAnsi="Times New Roman" w:eastAsia="方正仿宋_GBK" w:cs="Times New Roman"/>
                <w:kern w:val="0"/>
                <w:sz w:val="20"/>
                <w:szCs w:val="20"/>
                <w:lang w:val="en-US" w:eastAsia="zh-CN"/>
              </w:rPr>
              <w:t>5</w:t>
            </w:r>
          </w:p>
        </w:tc>
      </w:tr>
      <w:tr>
        <w:tblPrEx>
          <w:tblCellMar>
            <w:top w:w="0" w:type="dxa"/>
            <w:left w:w="108" w:type="dxa"/>
            <w:bottom w:w="0" w:type="dxa"/>
            <w:right w:w="108" w:type="dxa"/>
          </w:tblCellMar>
        </w:tblPrEx>
        <w:trPr>
          <w:trHeight w:val="457"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06"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生态效益</w:t>
            </w:r>
          </w:p>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生态环境影响</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良好</w:t>
            </w:r>
          </w:p>
        </w:tc>
      </w:tr>
      <w:tr>
        <w:tblPrEx>
          <w:tblCellMar>
            <w:top w:w="0" w:type="dxa"/>
            <w:left w:w="108" w:type="dxa"/>
            <w:bottom w:w="0" w:type="dxa"/>
            <w:right w:w="108" w:type="dxa"/>
          </w:tblCellMar>
        </w:tblPrEx>
        <w:trPr>
          <w:trHeight w:val="457"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06"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可持续影响</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持续年限</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年</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≥5</w:t>
            </w:r>
          </w:p>
        </w:tc>
      </w:tr>
      <w:tr>
        <w:tblPrEx>
          <w:tblCellMar>
            <w:top w:w="0" w:type="dxa"/>
            <w:left w:w="108" w:type="dxa"/>
            <w:bottom w:w="0" w:type="dxa"/>
            <w:right w:w="108" w:type="dxa"/>
          </w:tblCellMar>
        </w:tblPrEx>
        <w:trPr>
          <w:trHeight w:val="606" w:hRule="atLeast"/>
          <w:jc w:val="center"/>
        </w:trPr>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21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满意度</w:t>
            </w:r>
          </w:p>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指标</w:t>
            </w:r>
          </w:p>
        </w:tc>
        <w:tc>
          <w:tcPr>
            <w:tcW w:w="1806" w:type="dxa"/>
            <w:gridSpan w:val="2"/>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服务对象满意度</w:t>
            </w:r>
          </w:p>
          <w:p>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指标</w:t>
            </w:r>
          </w:p>
        </w:tc>
        <w:tc>
          <w:tcPr>
            <w:tcW w:w="196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满意度</w:t>
            </w:r>
          </w:p>
        </w:tc>
        <w:tc>
          <w:tcPr>
            <w:tcW w:w="106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w:t>
            </w:r>
          </w:p>
        </w:tc>
        <w:tc>
          <w:tcPr>
            <w:tcW w:w="167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≥90</w:t>
            </w:r>
          </w:p>
        </w:tc>
      </w:tr>
    </w:tbl>
    <w:p>
      <w:pPr>
        <w:ind w:left="0" w:leftChars="0" w:right="0" w:rightChars="0" w:firstLine="0" w:firstLineChars="0"/>
        <w:jc w:val="left"/>
        <w:rPr>
          <w:rFonts w:hint="default" w:ascii="Times New Roman" w:hAnsi="Times New Roman" w:eastAsia="方正仿宋_GBK" w:cs="Times New Roman"/>
          <w:color w:val="000000"/>
          <w:spacing w:val="0"/>
          <w:w w:val="100"/>
          <w:sz w:val="32"/>
          <w:szCs w:val="32"/>
          <w:u w:val="none"/>
          <w:lang w:val="en-US" w:eastAsia="zh-CN"/>
        </w:rPr>
      </w:pPr>
      <w:bookmarkStart w:id="0" w:name="_GoBack"/>
      <w:bookmarkEnd w:id="0"/>
    </w:p>
    <w:sectPr>
      <w:pgSz w:w="11906" w:h="16838"/>
      <w:pgMar w:top="2098" w:right="1474" w:bottom="1984" w:left="1587" w:header="851" w:footer="1417" w:gutter="0"/>
      <w:pgNumType w:fmt="numberInDash"/>
      <w:cols w:space="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jc w:val="both"/>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ind w:firstLine="280" w:firstLineChars="100"/>
                      <w:jc w:val="both"/>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evenAndOddHeaders w:val="true"/>
  <w:drawingGridVerticalSpacing w:val="158"/>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3EE13095"/>
    <w:rsid w:val="00012E2C"/>
    <w:rsid w:val="001336DA"/>
    <w:rsid w:val="002117D5"/>
    <w:rsid w:val="002B5447"/>
    <w:rsid w:val="002C087F"/>
    <w:rsid w:val="003230D4"/>
    <w:rsid w:val="004842A9"/>
    <w:rsid w:val="005427F4"/>
    <w:rsid w:val="00574774"/>
    <w:rsid w:val="006C705F"/>
    <w:rsid w:val="00837347"/>
    <w:rsid w:val="008C5F4D"/>
    <w:rsid w:val="008D37F4"/>
    <w:rsid w:val="009902E2"/>
    <w:rsid w:val="009F5263"/>
    <w:rsid w:val="00A00FE0"/>
    <w:rsid w:val="00B03A94"/>
    <w:rsid w:val="00B3070B"/>
    <w:rsid w:val="00E81238"/>
    <w:rsid w:val="01E90012"/>
    <w:rsid w:val="01F4783F"/>
    <w:rsid w:val="022102D6"/>
    <w:rsid w:val="02AE7112"/>
    <w:rsid w:val="03B4787F"/>
    <w:rsid w:val="05D3522B"/>
    <w:rsid w:val="07F90D72"/>
    <w:rsid w:val="085D5AE7"/>
    <w:rsid w:val="0B575BAA"/>
    <w:rsid w:val="0BDA6CD6"/>
    <w:rsid w:val="0C303ABD"/>
    <w:rsid w:val="0CCE784F"/>
    <w:rsid w:val="0D56415C"/>
    <w:rsid w:val="0D914055"/>
    <w:rsid w:val="0E450A26"/>
    <w:rsid w:val="0FD135D1"/>
    <w:rsid w:val="13B247A3"/>
    <w:rsid w:val="14C25B57"/>
    <w:rsid w:val="15A523B3"/>
    <w:rsid w:val="16462EFC"/>
    <w:rsid w:val="19960B91"/>
    <w:rsid w:val="1A7C572F"/>
    <w:rsid w:val="1D011D9A"/>
    <w:rsid w:val="1D785C29"/>
    <w:rsid w:val="1FB31C87"/>
    <w:rsid w:val="252E7A3F"/>
    <w:rsid w:val="27CC0C98"/>
    <w:rsid w:val="28AF6518"/>
    <w:rsid w:val="2A441234"/>
    <w:rsid w:val="2B790A31"/>
    <w:rsid w:val="2D1B4A1D"/>
    <w:rsid w:val="30855A96"/>
    <w:rsid w:val="314516B8"/>
    <w:rsid w:val="33BA79E0"/>
    <w:rsid w:val="34AE3848"/>
    <w:rsid w:val="35A8022D"/>
    <w:rsid w:val="37F27ACA"/>
    <w:rsid w:val="3E411419"/>
    <w:rsid w:val="3EE13095"/>
    <w:rsid w:val="3F103EE7"/>
    <w:rsid w:val="412C2F21"/>
    <w:rsid w:val="44B9616E"/>
    <w:rsid w:val="457F579F"/>
    <w:rsid w:val="47507C7A"/>
    <w:rsid w:val="47715E7C"/>
    <w:rsid w:val="48772CC5"/>
    <w:rsid w:val="4EEA3EE0"/>
    <w:rsid w:val="4F8023F5"/>
    <w:rsid w:val="5170273C"/>
    <w:rsid w:val="51910FB4"/>
    <w:rsid w:val="550C07BD"/>
    <w:rsid w:val="551A30AB"/>
    <w:rsid w:val="55EA6CB6"/>
    <w:rsid w:val="56C22079"/>
    <w:rsid w:val="570F3645"/>
    <w:rsid w:val="588C602F"/>
    <w:rsid w:val="58F62196"/>
    <w:rsid w:val="599D526C"/>
    <w:rsid w:val="5A633D2E"/>
    <w:rsid w:val="5C7B7CB6"/>
    <w:rsid w:val="5D397E14"/>
    <w:rsid w:val="5EB6436D"/>
    <w:rsid w:val="5EED5038"/>
    <w:rsid w:val="6152204F"/>
    <w:rsid w:val="64FE6ABE"/>
    <w:rsid w:val="66095207"/>
    <w:rsid w:val="66746099"/>
    <w:rsid w:val="6A02402E"/>
    <w:rsid w:val="6B5E37DD"/>
    <w:rsid w:val="6B9DB724"/>
    <w:rsid w:val="6E8516C5"/>
    <w:rsid w:val="6EF4156B"/>
    <w:rsid w:val="6F2533B6"/>
    <w:rsid w:val="6F4C7387"/>
    <w:rsid w:val="705D772B"/>
    <w:rsid w:val="715013C8"/>
    <w:rsid w:val="74FB24C8"/>
    <w:rsid w:val="75DF4B8E"/>
    <w:rsid w:val="76B77FFC"/>
    <w:rsid w:val="77342CBC"/>
    <w:rsid w:val="788B2CD6"/>
    <w:rsid w:val="7A5218F8"/>
    <w:rsid w:val="7A9E62BF"/>
    <w:rsid w:val="7B1623D5"/>
    <w:rsid w:val="7C160633"/>
    <w:rsid w:val="7C7F0A2A"/>
    <w:rsid w:val="7CDF41FC"/>
    <w:rsid w:val="7E9E78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cs="宋体"/>
      <w:kern w:val="0"/>
      <w:sz w:val="24"/>
    </w:r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cs="Droid Sans"/>
      <w:sz w:val="18"/>
      <w:szCs w:val="18"/>
    </w:rPr>
  </w:style>
  <w:style w:type="character" w:customStyle="1" w:styleId="9">
    <w:name w:val="Header Char"/>
    <w:basedOn w:val="6"/>
    <w:link w:val="3"/>
    <w:semiHidden/>
    <w:qFormat/>
    <w:locked/>
    <w:uiPriority w:val="99"/>
    <w:rPr>
      <w:rFonts w:cs="Droid Sans"/>
      <w:sz w:val="18"/>
      <w:szCs w:val="18"/>
    </w:rPr>
  </w:style>
  <w:style w:type="character" w:customStyle="1" w:styleId="10">
    <w:name w:val="font31"/>
    <w:basedOn w:val="6"/>
    <w:qFormat/>
    <w:uiPriority w:val="99"/>
    <w:rPr>
      <w:rFonts w:ascii="Times New Roman" w:hAnsi="Times New Roman" w:cs="Times New Roman"/>
      <w:color w:val="000000"/>
      <w:sz w:val="22"/>
      <w:szCs w:val="22"/>
      <w:u w:val="none"/>
    </w:rPr>
  </w:style>
  <w:style w:type="character" w:customStyle="1" w:styleId="11">
    <w:name w:val="font21"/>
    <w:basedOn w:val="6"/>
    <w:qFormat/>
    <w:uiPriority w:val="99"/>
    <w:rPr>
      <w:rFonts w:ascii="宋体" w:hAnsi="宋体" w:eastAsia="宋体" w:cs="宋体"/>
      <w:color w:val="000000"/>
      <w:sz w:val="22"/>
      <w:szCs w:val="22"/>
      <w:u w:val="none"/>
    </w:rPr>
  </w:style>
  <w:style w:type="character" w:customStyle="1" w:styleId="12">
    <w:name w:val="font41"/>
    <w:basedOn w:val="6"/>
    <w:qFormat/>
    <w:uiPriority w:val="99"/>
    <w:rPr>
      <w:rFonts w:ascii="Times New Roman" w:hAnsi="Times New Roman" w:cs="Times New Roman"/>
      <w:color w:val="000000"/>
      <w:sz w:val="22"/>
      <w:szCs w:val="22"/>
      <w:u w:val="none"/>
    </w:rPr>
  </w:style>
  <w:style w:type="character" w:customStyle="1" w:styleId="13">
    <w:name w:val="font11"/>
    <w:basedOn w:val="6"/>
    <w:qFormat/>
    <w:uiPriority w:val="99"/>
    <w:rPr>
      <w:rFonts w:ascii="宋体" w:hAnsi="宋体" w:eastAsia="宋体" w:cs="宋体"/>
      <w:color w:val="000000"/>
      <w:sz w:val="22"/>
      <w:szCs w:val="22"/>
      <w:u w:val="none"/>
    </w:rPr>
  </w:style>
  <w:style w:type="character" w:customStyle="1" w:styleId="14">
    <w:name w:val="font101"/>
    <w:basedOn w:val="6"/>
    <w:qFormat/>
    <w:uiPriority w:val="99"/>
    <w:rPr>
      <w:rFonts w:ascii="宋体" w:hAnsi="宋体" w:eastAsia="宋体" w:cs="Times New Roman"/>
      <w:color w:val="000000"/>
      <w:sz w:val="21"/>
      <w:szCs w:val="21"/>
      <w:u w:val="none"/>
    </w:rPr>
  </w:style>
  <w:style w:type="character" w:customStyle="1" w:styleId="15">
    <w:name w:val="font12"/>
    <w:basedOn w:val="6"/>
    <w:qFormat/>
    <w:uiPriority w:val="99"/>
    <w:rPr>
      <w:rFonts w:ascii="宋体" w:hAnsi="宋体" w:eastAsia="宋体" w:cs="Times New Roman"/>
      <w:color w:val="000000"/>
      <w:sz w:val="22"/>
      <w:szCs w:val="22"/>
      <w:u w:val="none"/>
    </w:rPr>
  </w:style>
  <w:style w:type="character" w:customStyle="1" w:styleId="16">
    <w:name w:val="font61"/>
    <w:basedOn w:val="6"/>
    <w:qFormat/>
    <w:uiPriority w:val="99"/>
    <w:rPr>
      <w:rFonts w:ascii="宋体" w:hAnsi="宋体" w:eastAsia="宋体" w:cs="Times New Roman"/>
      <w:color w:val="000000"/>
      <w:sz w:val="22"/>
      <w:szCs w:val="22"/>
      <w:u w:val="none"/>
    </w:rPr>
  </w:style>
  <w:style w:type="character" w:customStyle="1" w:styleId="17">
    <w:name w:val="font71"/>
    <w:basedOn w:val="6"/>
    <w:qFormat/>
    <w:uiPriority w:val="99"/>
    <w:rPr>
      <w:rFonts w:ascii="Times New Roman" w:hAnsi="Times New Roman" w:cs="Times New Roman"/>
      <w:color w:val="000000"/>
      <w:sz w:val="22"/>
      <w:szCs w:val="22"/>
      <w:u w:val="none"/>
    </w:rPr>
  </w:style>
  <w:style w:type="character" w:customStyle="1" w:styleId="18">
    <w:name w:val="font81"/>
    <w:basedOn w:val="6"/>
    <w:qFormat/>
    <w:uiPriority w:val="99"/>
    <w:rPr>
      <w:rFonts w:ascii="Times New Roman" w:hAnsi="Times New Roman" w:cs="Times New Roman"/>
      <w:color w:val="000000"/>
      <w:sz w:val="22"/>
      <w:szCs w:val="22"/>
      <w:u w:val="none"/>
    </w:rPr>
  </w:style>
  <w:style w:type="character" w:customStyle="1" w:styleId="19">
    <w:name w:val="font111"/>
    <w:basedOn w:val="6"/>
    <w:qFormat/>
    <w:uiPriority w:val="99"/>
    <w:rPr>
      <w:rFonts w:ascii="Times New Roman" w:hAnsi="Times New Roman" w:cs="Times New Roman"/>
      <w:color w:val="000000"/>
      <w:sz w:val="22"/>
      <w:szCs w:val="22"/>
      <w:u w:val="none"/>
    </w:rPr>
  </w:style>
  <w:style w:type="character" w:customStyle="1" w:styleId="20">
    <w:name w:val="font51"/>
    <w:basedOn w:val="6"/>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其他</Company>
  <Pages>2</Pages>
  <Words>470</Words>
  <Characters>503</Characters>
  <Lines>0</Lines>
  <Paragraphs>0</Paragraphs>
  <TotalTime>2</TotalTime>
  <ScaleCrop>false</ScaleCrop>
  <LinksUpToDate>false</LinksUpToDate>
  <CharactersWithSpaces>549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2021-05-11T09:28:00Z</dcterms:created>
  <dc:creator>【飞飞】</dc:creator>
  <cp:lastModifiedBy>县农委机要秘书</cp:lastModifiedBy>
  <cp:lastPrinted>2024-05-16T21:44:00Z</cp:lastPrinted>
  <dcterms:modified xsi:type="dcterms:W3CDTF">2024-11-28T16:30:03Z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BBE7370106F44FFF89DDCF574BB600A1_13</vt:lpwstr>
  </property>
</Properties>
</file>