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240" w:lineRule="exact"/>
        <w:rPr>
          <w:rFonts w:hint="default" w:ascii="Times New Roman" w:hAnsi="Times New Roman" w:cs="Times New Roman"/>
          <w:color w:val="000000"/>
        </w:rPr>
      </w:pPr>
    </w:p>
    <w:p>
      <w:pPr>
        <w:spacing w:line="40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丰委农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spacing w:line="760" w:lineRule="exact"/>
        <w:jc w:val="center"/>
        <w:rPr>
          <w:rFonts w:hint="default" w:ascii="Times New Roman" w:hAnsi="Times New Roman" w:cs="Times New Roman"/>
          <w:color w:val="FF0000"/>
          <w:sz w:val="52"/>
          <w:szCs w:val="52"/>
        </w:rPr>
      </w:pPr>
    </w:p>
    <w:p>
      <w:pPr>
        <w:spacing w:line="570" w:lineRule="exact"/>
        <w:rPr>
          <w:rFonts w:hint="default" w:ascii="Times New Roman" w:hAnsi="Times New Roman" w:cs="Times New Roman"/>
          <w:color w:val="000000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</w:rPr>
        <w:t>中共丰都县委农村工作暨实施乡村振兴战略领导小组</w:t>
      </w:r>
      <w:r>
        <w:rPr>
          <w:rFonts w:hint="eastAsia" w:ascii="方正小标宋_GBK" w:hAnsi="方正小标宋_GBK" w:eastAsia="方正小标宋_GBK" w:cs="方正小标宋_GBK"/>
          <w:color w:val="000000"/>
          <w:w w:val="94"/>
          <w:sz w:val="36"/>
          <w:szCs w:val="36"/>
          <w:lang w:eastAsia="zh-CN"/>
        </w:rPr>
        <w:t>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关于分配2024年财政衔接资金（第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批）的通知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jc w:val="both"/>
        <w:textAlignment w:val="auto"/>
        <w:rPr>
          <w:rFonts w:hint="default" w:ascii="Times New Roman" w:hAnsi="Times New Roman" w:eastAsia="方正仿宋_GBK" w:cs="Times New Roman"/>
          <w:bCs/>
          <w:color w:val="0000FF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</w:rPr>
        <w:t>县农业农村委：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经研究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对照《关于将2024年财经协同奖补资金项目纳入衔接资金项目库实施的请示》（丰农业农村委文〔2024〕119号）领导小组批复，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资金分配给你们，并就有关事项通知如下：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一、分配资金总量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本次分配第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</w:t>
      </w:r>
      <w:r>
        <w:rPr>
          <w:rFonts w:hint="eastAsia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eastAsia" w:eastAsia="方正仿宋_GBK" w:cs="Times New Roman"/>
          <w:sz w:val="32"/>
          <w:szCs w:val="32"/>
          <w:lang w:eastAsia="zh-CN"/>
        </w:rPr>
        <w:t>，其中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市级衔接资金320万元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。具体分配见附件。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二、严明工作要求</w:t>
      </w:r>
    </w:p>
    <w:p>
      <w:pPr>
        <w:pStyle w:val="4"/>
        <w:keepNext w:val="0"/>
        <w:keepLines w:val="0"/>
        <w:pageBreakBefore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0" w:lineRule="exact"/>
        <w:ind w:firstLine="640" w:firstLineChars="200"/>
        <w:textAlignment w:val="auto"/>
        <w:rPr>
          <w:rFonts w:hint="eastAsia" w:asci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 及时下达项目资金计划。</w:t>
      </w:r>
      <w:r>
        <w:rPr>
          <w:rFonts w:hint="eastAsia" w:ascii="Times New Roman" w:eastAsia="方正仿宋_GBK" w:cs="Times New Roman"/>
          <w:sz w:val="32"/>
          <w:szCs w:val="32"/>
        </w:rPr>
        <w:t>相关部门收到切块分配资金后，要及时与县财政局会商，对照《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2024年财经协同奖补资金</w:t>
      </w:r>
      <w:r>
        <w:rPr>
          <w:rFonts w:hint="eastAsia" w:ascii="Times New Roman" w:eastAsia="方正仿宋_GBK" w:cs="Times New Roman"/>
          <w:sz w:val="32"/>
          <w:szCs w:val="32"/>
        </w:rPr>
        <w:t>拟建项目清单》，核实核准资金需求，按照资金管理相关要求，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务必在8月1日前将资金计划下达</w:t>
      </w:r>
      <w:r>
        <w:rPr>
          <w:rFonts w:hint="eastAsia" w:ascii="Times New Roman" w:eastAsia="方正仿宋_GBK" w:cs="Times New Roman"/>
          <w:sz w:val="32"/>
          <w:szCs w:val="32"/>
        </w:rPr>
        <w:t>到具体项目上。县财政局要按照本次分配计划，及时将资金指标调整到相关行业部门。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2. 切实加强资金项目监管。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相关部门下达项目资金后，要督促业主单位加快项目建设，按照相关要求高效拨付资金。同时，要严格落实《重庆市财政衔接推进乡村振兴补助资金管理实施办法》</w:t>
      </w:r>
      <w:r>
        <w:rPr>
          <w:rFonts w:hint="eastAsia" w:ascii="Times New Roman" w:eastAsia="方正仿宋_GBK" w:cs="Times New Roman"/>
          <w:sz w:val="32"/>
          <w:szCs w:val="32"/>
          <w:lang w:eastAsia="zh-CN"/>
        </w:rPr>
        <w:t>《关于加强财政衔接推进乡村振兴补助资金项目公示公告的通知》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等制度规定，强化资金使用绩效意识，严格执行资金项目公告公示要求，加强资金常态化监管，主动接受社会和群众监督。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批财政</w:t>
      </w:r>
      <w:r>
        <w:rPr>
          <w:rFonts w:hint="eastAsia" w:eastAsia="方正仿宋_GBK" w:cs="Times New Roman"/>
          <w:sz w:val="32"/>
          <w:szCs w:val="32"/>
          <w:lang w:eastAsia="zh-CN"/>
        </w:rPr>
        <w:t>衔接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资金分配表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6080" w:hanging="6080" w:hangingChars="1900"/>
        <w:contextualSpacing/>
        <w:jc w:val="center"/>
        <w:textAlignment w:val="auto"/>
        <w:rPr>
          <w:rFonts w:hint="eastAsia" w:ascii="Times New Roman" w:hAnsi="Times New Roman" w:eastAsia="方正仿宋_GBK" w:cs="Times New Roman"/>
          <w:spacing w:val="-1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方正仿宋_GBK" w:cs="Times New Roman"/>
          <w:spacing w:val="-16"/>
          <w:sz w:val="32"/>
          <w:szCs w:val="32"/>
        </w:rPr>
        <w:t>中共丰都县委农村工作暨实施乡村振兴战略领导小组</w:t>
      </w:r>
      <w:r>
        <w:rPr>
          <w:rFonts w:hint="eastAsia" w:ascii="Times New Roman" w:eastAsia="方正仿宋_GBK" w:cs="Times New Roman"/>
          <w:spacing w:val="-16"/>
          <w:sz w:val="32"/>
          <w:szCs w:val="32"/>
          <w:lang w:eastAsia="zh-CN"/>
        </w:rPr>
        <w:t>办公室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70" w:lineRule="exact"/>
        <w:ind w:left="6080" w:hanging="60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202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月2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left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1417" w:gutter="0"/>
          <w:cols w:space="0" w:num="1"/>
          <w:rtlGutter w:val="1"/>
          <w:docGrid w:type="lines" w:linePitch="312" w:charSpace="0"/>
        </w:sectPr>
      </w:pPr>
      <w:r>
        <w:rPr>
          <w:rFonts w:hint="eastAsia" w:asci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6080" w:hangingChars="1900"/>
        <w:contextualSpacing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8360" w:hangingChars="1900"/>
        <w:contextualSpacing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批财政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衔接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资金分配表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592"/>
          <w:tab w:val="center" w:pos="445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60" w:lineRule="exact"/>
        <w:ind w:left="0" w:hanging="4180" w:hangingChars="1900"/>
        <w:contextualSpacing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22"/>
          <w:lang w:val="en-US" w:eastAsia="zh-CN"/>
        </w:rPr>
        <w:t xml:space="preserve">  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</w:rPr>
        <w:t>单位：万元</w:t>
      </w:r>
    </w:p>
    <w:tbl>
      <w:tblPr>
        <w:tblStyle w:val="5"/>
        <w:tblpPr w:leftFromText="180" w:rightFromText="180" w:vertAnchor="text" w:horzAnchor="page" w:tblpX="1218" w:tblpY="532"/>
        <w:tblOverlap w:val="never"/>
        <w:tblW w:w="146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90"/>
        <w:gridCol w:w="581"/>
        <w:gridCol w:w="3107"/>
        <w:gridCol w:w="1436"/>
        <w:gridCol w:w="2315"/>
        <w:gridCol w:w="990"/>
        <w:gridCol w:w="990"/>
        <w:gridCol w:w="1722"/>
        <w:gridCol w:w="1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行业部门（资金使用部门）</w:t>
            </w:r>
          </w:p>
        </w:tc>
        <w:tc>
          <w:tcPr>
            <w:tcW w:w="58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分配资金</w:t>
            </w:r>
          </w:p>
        </w:tc>
        <w:tc>
          <w:tcPr>
            <w:tcW w:w="31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业主单位</w:t>
            </w:r>
          </w:p>
        </w:tc>
        <w:tc>
          <w:tcPr>
            <w:tcW w:w="429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722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资金来源部门</w:t>
            </w:r>
          </w:p>
        </w:tc>
        <w:tc>
          <w:tcPr>
            <w:tcW w:w="1993" w:type="dxa"/>
            <w:vMerge w:val="restart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资金来源文号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中央资金</w:t>
            </w:r>
          </w:p>
        </w:tc>
        <w:tc>
          <w:tcPr>
            <w:tcW w:w="9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市级资金</w:t>
            </w:r>
          </w:p>
        </w:tc>
        <w:tc>
          <w:tcPr>
            <w:tcW w:w="1722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vMerge w:val="continue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5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年包鸾镇农业产业融合发展项目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包鸾镇人民政府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年仙女湖镇志良土鸡养殖场鸡舍建设项目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仙女湖镇人民政府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年董家镇产业发展配套项目</w:t>
            </w:r>
          </w:p>
        </w:tc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董家镇人民政府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渝财农〔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〕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县农业农村委</w:t>
            </w:r>
          </w:p>
        </w:tc>
        <w:tc>
          <w:tcPr>
            <w:tcW w:w="19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财经协同奖补资金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3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contextualSpacing/>
        <w:jc w:val="both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6" w:type="default"/>
          <w:footerReference r:id="rId7" w:type="even"/>
          <w:pgSz w:w="16838" w:h="11906" w:orient="landscape"/>
          <w:pgMar w:top="1531" w:right="1134" w:bottom="1134" w:left="1134" w:header="851" w:footer="851" w:gutter="0"/>
          <w:cols w:space="0" w:num="1"/>
          <w:docGrid w:type="lines" w:linePitch="312" w:charSpace="0"/>
        </w:sectPr>
      </w:pPr>
    </w:p>
    <w:p>
      <w:pPr>
        <w:pStyle w:val="4"/>
        <w:widowControl w:val="0"/>
        <w:tabs>
          <w:tab w:val="left" w:pos="2592"/>
          <w:tab w:val="center" w:pos="4450"/>
        </w:tabs>
        <w:snapToGrid w:val="0"/>
        <w:spacing w:before="0" w:beforeAutospacing="0" w:after="0" w:afterAutospacing="0" w:line="520" w:lineRule="exact"/>
        <w:ind w:left="6080" w:hanging="6080" w:hangingChars="1900"/>
        <w:contextualSpacing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color w:val="000000"/>
          <w:spacing w:val="-20"/>
          <w:w w:val="80"/>
          <w:sz w:val="28"/>
          <w:szCs w:val="28"/>
          <w:u w:val="single"/>
        </w:rPr>
      </w:pPr>
      <w:bookmarkStart w:id="0" w:name="_GoBack"/>
      <w:bookmarkEnd w:id="0"/>
    </w:p>
    <w:sectPr>
      <w:footerReference r:id="rId8" w:type="even"/>
      <w:pgSz w:w="11906" w:h="16838"/>
      <w:pgMar w:top="2098" w:right="1531" w:bottom="1985" w:left="1531" w:header="851" w:footer="1418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1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2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5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both"/>
      <w:rPr>
        <w:rFonts w:ascii="宋体"/>
        <w:sz w:val="28"/>
        <w:szCs w:val="28"/>
      </w:rPr>
    </w:pPr>
    <w:r>
      <w:rPr>
        <w:rFonts w:ascii="宋体" w:hAnsi="宋体"/>
        <w:kern w:val="0"/>
        <w:sz w:val="28"/>
        <w:szCs w:val="28"/>
      </w:rPr>
      <w:t xml:space="preserve">—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NjMwMWM5MzI4MjhkMWNmZjE3MTRkNjU0NjUxZGEifQ=="/>
  </w:docVars>
  <w:rsids>
    <w:rsidRoot w:val="3EE13095"/>
    <w:rsid w:val="00012E2C"/>
    <w:rsid w:val="001336DA"/>
    <w:rsid w:val="002117D5"/>
    <w:rsid w:val="002B5447"/>
    <w:rsid w:val="002C087F"/>
    <w:rsid w:val="003230D4"/>
    <w:rsid w:val="004842A9"/>
    <w:rsid w:val="005427F4"/>
    <w:rsid w:val="00574774"/>
    <w:rsid w:val="006C705F"/>
    <w:rsid w:val="00837347"/>
    <w:rsid w:val="008C5F4D"/>
    <w:rsid w:val="008D37F4"/>
    <w:rsid w:val="009902E2"/>
    <w:rsid w:val="009F5263"/>
    <w:rsid w:val="00A00FE0"/>
    <w:rsid w:val="00B03A94"/>
    <w:rsid w:val="00B3070B"/>
    <w:rsid w:val="00E81238"/>
    <w:rsid w:val="01E90012"/>
    <w:rsid w:val="02137F4C"/>
    <w:rsid w:val="022102D6"/>
    <w:rsid w:val="02AE7112"/>
    <w:rsid w:val="03B4787F"/>
    <w:rsid w:val="05D3522B"/>
    <w:rsid w:val="07F90D72"/>
    <w:rsid w:val="085D5AE7"/>
    <w:rsid w:val="0BDA6CD6"/>
    <w:rsid w:val="0D56415C"/>
    <w:rsid w:val="0D914055"/>
    <w:rsid w:val="0E450A26"/>
    <w:rsid w:val="0FD135D1"/>
    <w:rsid w:val="14C25B57"/>
    <w:rsid w:val="16462EFC"/>
    <w:rsid w:val="179C78B1"/>
    <w:rsid w:val="19960B91"/>
    <w:rsid w:val="1A7C572F"/>
    <w:rsid w:val="1AE6198B"/>
    <w:rsid w:val="1D785C29"/>
    <w:rsid w:val="1FB31C87"/>
    <w:rsid w:val="252E7A3F"/>
    <w:rsid w:val="26C76E40"/>
    <w:rsid w:val="273F5A2C"/>
    <w:rsid w:val="27CC0C98"/>
    <w:rsid w:val="28AF6518"/>
    <w:rsid w:val="2B790A31"/>
    <w:rsid w:val="2C603BDB"/>
    <w:rsid w:val="2D1B4A1D"/>
    <w:rsid w:val="30855A96"/>
    <w:rsid w:val="314516B8"/>
    <w:rsid w:val="33BA79E0"/>
    <w:rsid w:val="35E26CBD"/>
    <w:rsid w:val="37F27ACA"/>
    <w:rsid w:val="3E411419"/>
    <w:rsid w:val="3ECB3972"/>
    <w:rsid w:val="3EE13095"/>
    <w:rsid w:val="412C2F21"/>
    <w:rsid w:val="457F579F"/>
    <w:rsid w:val="47715E7C"/>
    <w:rsid w:val="4809504E"/>
    <w:rsid w:val="48772CC5"/>
    <w:rsid w:val="49957F36"/>
    <w:rsid w:val="4EEA3EE0"/>
    <w:rsid w:val="5170273C"/>
    <w:rsid w:val="53620C3E"/>
    <w:rsid w:val="551A30AB"/>
    <w:rsid w:val="55EA6CB6"/>
    <w:rsid w:val="588C602F"/>
    <w:rsid w:val="599D526C"/>
    <w:rsid w:val="5A633D2E"/>
    <w:rsid w:val="5C4B1995"/>
    <w:rsid w:val="5C7B7CB6"/>
    <w:rsid w:val="5D397E14"/>
    <w:rsid w:val="5E3923A9"/>
    <w:rsid w:val="5EB6436D"/>
    <w:rsid w:val="5EBE6FCA"/>
    <w:rsid w:val="6152204F"/>
    <w:rsid w:val="66095207"/>
    <w:rsid w:val="66CD0651"/>
    <w:rsid w:val="69DD3D98"/>
    <w:rsid w:val="6B5E37DD"/>
    <w:rsid w:val="6F2533B6"/>
    <w:rsid w:val="705D772B"/>
    <w:rsid w:val="74FB24C8"/>
    <w:rsid w:val="75DF4B8E"/>
    <w:rsid w:val="76B77FFC"/>
    <w:rsid w:val="77342CBC"/>
    <w:rsid w:val="79FB032F"/>
    <w:rsid w:val="7A5218F8"/>
    <w:rsid w:val="7A9E62BF"/>
    <w:rsid w:val="7C7F0A2A"/>
    <w:rsid w:val="7CDF41FC"/>
    <w:rsid w:val="FFA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Droid Sans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Droid Sans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Droid Sans"/>
      <w:sz w:val="18"/>
      <w:szCs w:val="18"/>
    </w:rPr>
  </w:style>
  <w:style w:type="character" w:customStyle="1" w:styleId="10">
    <w:name w:val="font3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99"/>
    <w:rPr>
      <w:rFonts w:ascii="宋体" w:hAnsi="宋体" w:eastAsia="宋体" w:cs="Times New Roman"/>
      <w:color w:val="000000"/>
      <w:sz w:val="21"/>
      <w:szCs w:val="21"/>
      <w:u w:val="none"/>
    </w:rPr>
  </w:style>
  <w:style w:type="character" w:customStyle="1" w:styleId="15">
    <w:name w:val="font12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6">
    <w:name w:val="font61"/>
    <w:basedOn w:val="6"/>
    <w:qFormat/>
    <w:uiPriority w:val="99"/>
    <w:rPr>
      <w:rFonts w:ascii="宋体" w:hAnsi="宋体" w:eastAsia="宋体" w:cs="Times New Roman"/>
      <w:color w:val="000000"/>
      <w:sz w:val="22"/>
      <w:szCs w:val="22"/>
      <w:u w:val="none"/>
    </w:rPr>
  </w:style>
  <w:style w:type="character" w:customStyle="1" w:styleId="17">
    <w:name w:val="font7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8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111"/>
    <w:basedOn w:val="6"/>
    <w:qFormat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其他</Company>
  <Pages>4</Pages>
  <Words>818</Words>
  <Characters>891</Characters>
  <Lines>0</Lines>
  <Paragraphs>0</Paragraphs>
  <TotalTime>35</TotalTime>
  <ScaleCrop>false</ScaleCrop>
  <LinksUpToDate>false</LinksUpToDate>
  <CharactersWithSpaces>1011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2021-05-11T09:28:00Z</dcterms:created>
  <dc:creator>【飞飞】</dc:creator>
  <cp:lastModifiedBy>县农委机要秘书</cp:lastModifiedBy>
  <cp:lastPrinted>2024-08-27T10:40:00Z</cp:lastPrinted>
  <dcterms:modified xsi:type="dcterms:W3CDTF">2024-11-28T16:52:12Z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B49AE1E5E77A49E68322F68317C5A9FD_13</vt:lpwstr>
  </property>
</Properties>
</file>