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default" w:ascii="Times New Roman" w:hAnsi="Times New Roman" w:eastAsia="Times New Roman" w:cs="Times New Roman"/>
          <w:highlight w:val="none"/>
        </w:rPr>
      </w:pPr>
      <w:r>
        <w:rPr>
          <w:rFonts w:hint="default" w:ascii="Times New Roman" w:hAnsi="Times New Roman" w:eastAsia="方正仿宋_GBK" w:cs="Times New Roman"/>
          <w:color w:val="000000"/>
          <w:szCs w:val="24"/>
          <w:highlight w:val="none"/>
        </w:rPr>
        <w:t xml:space="preserve">    </w:t>
      </w:r>
    </w:p>
    <w:p>
      <w:pPr>
        <w:spacing w:line="500" w:lineRule="exact"/>
        <w:rPr>
          <w:rFonts w:hint="default" w:ascii="Times New Roman" w:hAnsi="Times New Roman" w:eastAsia="Times New Roman" w:cs="Times New Roman"/>
          <w:highlight w:val="none"/>
        </w:rPr>
      </w:pPr>
    </w:p>
    <w:p>
      <w:pPr>
        <w:spacing w:line="500" w:lineRule="exact"/>
        <w:jc w:val="center"/>
        <w:rPr>
          <w:rFonts w:hint="default" w:ascii="Times New Roman" w:hAnsi="Times New Roman" w:eastAsia="方正小标宋_GBK" w:cs="Times New Roman"/>
          <w:sz w:val="44"/>
          <w:szCs w:val="44"/>
          <w:highlight w:val="none"/>
        </w:rPr>
      </w:pPr>
    </w:p>
    <w:p>
      <w:pPr>
        <w:spacing w:line="500" w:lineRule="exact"/>
        <w:jc w:val="center"/>
        <w:rPr>
          <w:rFonts w:hint="default" w:ascii="Times New Roman" w:hAnsi="Times New Roman" w:eastAsia="方正小标宋_GBK" w:cs="Times New Roman"/>
          <w:sz w:val="44"/>
          <w:szCs w:val="44"/>
          <w:highlight w:val="none"/>
        </w:rPr>
      </w:pPr>
    </w:p>
    <w:p>
      <w:pPr>
        <w:spacing w:line="500" w:lineRule="exact"/>
        <w:jc w:val="center"/>
        <w:rPr>
          <w:rFonts w:hint="default" w:ascii="Times New Roman" w:hAnsi="Times New Roman" w:eastAsia="方正小标宋_GBK" w:cs="Times New Roman"/>
          <w:sz w:val="44"/>
          <w:szCs w:val="44"/>
          <w:highlight w:val="none"/>
        </w:rPr>
      </w:pPr>
    </w:p>
    <w:p>
      <w:pPr>
        <w:spacing w:line="500" w:lineRule="exact"/>
        <w:jc w:val="center"/>
        <w:rPr>
          <w:rFonts w:hint="default" w:ascii="Times New Roman" w:hAnsi="Times New Roman" w:eastAsia="方正楷体_GBK" w:cs="Times New Roman"/>
          <w:highlight w:val="none"/>
        </w:rPr>
      </w:pPr>
    </w:p>
    <w:p>
      <w:pPr>
        <w:spacing w:line="500" w:lineRule="exact"/>
        <w:jc w:val="center"/>
        <w:rPr>
          <w:rFonts w:hint="default" w:ascii="Times New Roman" w:hAnsi="Times New Roman" w:eastAsia="方正楷体_GBK" w:cs="Times New Roman"/>
          <w:highlight w:val="none"/>
        </w:rPr>
      </w:pPr>
    </w:p>
    <w:p>
      <w:pPr>
        <w:spacing w:line="500" w:lineRule="exact"/>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 xml:space="preserve">    </w:t>
      </w:r>
    </w:p>
    <w:p>
      <w:pPr>
        <w:spacing w:line="540" w:lineRule="exact"/>
        <w:jc w:val="center"/>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丰农业农村委发〔202</w:t>
      </w:r>
      <w:r>
        <w:rPr>
          <w:rFonts w:hint="eastAsia"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w:t>
      </w:r>
      <w:r>
        <w:rPr>
          <w:rFonts w:hint="eastAsia"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号</w:t>
      </w:r>
    </w:p>
    <w:p>
      <w:pPr>
        <w:spacing w:line="520" w:lineRule="exact"/>
        <w:jc w:val="center"/>
        <w:rPr>
          <w:rFonts w:hint="default" w:ascii="Times New Roman" w:hAnsi="Times New Roman" w:eastAsia="方正小标宋_GBK" w:cs="Times New Roman"/>
          <w:sz w:val="44"/>
          <w:szCs w:val="44"/>
          <w:highlight w:val="none"/>
        </w:rPr>
      </w:pPr>
    </w:p>
    <w:p>
      <w:pPr>
        <w:jc w:val="center"/>
        <w:rPr>
          <w:rFonts w:hint="default" w:ascii="Times New Roman" w:hAnsi="Times New Roman" w:eastAsia="黑体" w:cs="Times New Roman"/>
          <w:b/>
          <w:sz w:val="44"/>
          <w:szCs w:val="44"/>
          <w:highlight w:val="none"/>
        </w:rPr>
      </w:pPr>
    </w:p>
    <w:p>
      <w:pPr>
        <w:spacing w:line="680" w:lineRule="exact"/>
        <w:jc w:val="center"/>
        <w:rPr>
          <w:rFonts w:hint="default" w:ascii="Times New Roman" w:hAnsi="Times New Roman" w:eastAsia="方正小标宋_GBK" w:cs="Times New Roman"/>
          <w:sz w:val="44"/>
          <w:szCs w:val="24"/>
          <w:highlight w:val="none"/>
        </w:rPr>
      </w:pPr>
      <w:r>
        <w:rPr>
          <w:rFonts w:hint="default" w:ascii="Times New Roman" w:hAnsi="Times New Roman" w:eastAsia="方正小标宋_GBK" w:cs="Times New Roman"/>
          <w:sz w:val="44"/>
          <w:szCs w:val="24"/>
          <w:highlight w:val="none"/>
        </w:rPr>
        <w:t>丰都县农业农村委员会</w:t>
      </w:r>
    </w:p>
    <w:p>
      <w:pPr>
        <w:spacing w:line="680" w:lineRule="exact"/>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sz w:val="44"/>
          <w:szCs w:val="24"/>
          <w:highlight w:val="none"/>
        </w:rPr>
        <w:t>关于</w:t>
      </w:r>
      <w:r>
        <w:rPr>
          <w:rFonts w:hint="default" w:ascii="Times New Roman" w:hAnsi="Times New Roman" w:eastAsia="方正小标宋_GBK" w:cs="Times New Roman"/>
          <w:sz w:val="44"/>
          <w:szCs w:val="44"/>
        </w:rPr>
        <w:t>丰都</w:t>
      </w:r>
      <w:r>
        <w:rPr>
          <w:rFonts w:hint="eastAsia" w:eastAsia="方正小标宋_GBK" w:cs="Times New Roman"/>
          <w:sz w:val="44"/>
          <w:szCs w:val="44"/>
          <w:lang w:eastAsia="zh-CN"/>
        </w:rPr>
        <w:t>县</w:t>
      </w:r>
      <w:r>
        <w:rPr>
          <w:rFonts w:hint="default" w:ascii="Times New Roman" w:hAnsi="Times New Roman" w:eastAsia="方正小标宋_GBK" w:cs="Times New Roman"/>
          <w:kern w:val="0"/>
          <w:sz w:val="44"/>
          <w:szCs w:val="44"/>
          <w:lang w:val="en-US" w:eastAsia="zh-CN"/>
        </w:rPr>
        <w:t>数字</w:t>
      </w:r>
      <w:r>
        <w:rPr>
          <w:rFonts w:hint="default" w:ascii="Times New Roman" w:hAnsi="Times New Roman" w:eastAsia="方正小标宋_GBK" w:cs="Times New Roman"/>
          <w:kern w:val="0"/>
          <w:sz w:val="44"/>
          <w:szCs w:val="44"/>
          <w:lang w:eastAsia="zh-CN"/>
        </w:rPr>
        <w:t>榨菜</w:t>
      </w:r>
      <w:r>
        <w:rPr>
          <w:rFonts w:hint="default" w:ascii="Times New Roman" w:hAnsi="Times New Roman" w:eastAsia="方正小标宋_GBK" w:cs="Times New Roman"/>
          <w:kern w:val="0"/>
          <w:sz w:val="44"/>
          <w:szCs w:val="44"/>
          <w:lang w:val="en-US" w:eastAsia="zh-CN"/>
        </w:rPr>
        <w:t>分中心建设</w:t>
      </w:r>
      <w:r>
        <w:rPr>
          <w:rFonts w:hint="default" w:ascii="Times New Roman" w:hAnsi="Times New Roman" w:eastAsia="方正小标宋_GBK" w:cs="Times New Roman"/>
          <w:kern w:val="0"/>
          <w:sz w:val="44"/>
          <w:szCs w:val="44"/>
        </w:rPr>
        <w:t>项目</w:t>
      </w:r>
    </w:p>
    <w:p>
      <w:pPr>
        <w:spacing w:line="680" w:lineRule="exact"/>
        <w:jc w:val="center"/>
        <w:rPr>
          <w:rFonts w:hint="default" w:ascii="Times New Roman" w:hAnsi="Times New Roman" w:eastAsia="方正小标宋_GBK" w:cs="Times New Roman"/>
          <w:sz w:val="44"/>
          <w:szCs w:val="24"/>
          <w:highlight w:val="none"/>
        </w:rPr>
      </w:pPr>
      <w:r>
        <w:rPr>
          <w:rFonts w:hint="default" w:ascii="Times New Roman" w:hAnsi="Times New Roman" w:eastAsia="方正小标宋_GBK" w:cs="Times New Roman"/>
          <w:kern w:val="0"/>
          <w:sz w:val="44"/>
          <w:szCs w:val="44"/>
        </w:rPr>
        <w:t>实施方案</w:t>
      </w:r>
      <w:r>
        <w:rPr>
          <w:rFonts w:hint="default" w:ascii="Times New Roman" w:hAnsi="Times New Roman" w:eastAsia="方正小标宋_GBK" w:cs="Times New Roman"/>
          <w:sz w:val="44"/>
          <w:szCs w:val="24"/>
          <w:highlight w:val="none"/>
        </w:rPr>
        <w:t>的批</w:t>
      </w:r>
      <w:bookmarkStart w:id="0" w:name="_GoBack"/>
      <w:bookmarkEnd w:id="0"/>
      <w:r>
        <w:rPr>
          <w:rFonts w:hint="default" w:ascii="Times New Roman" w:hAnsi="Times New Roman" w:eastAsia="方正小标宋_GBK" w:cs="Times New Roman"/>
          <w:sz w:val="44"/>
          <w:szCs w:val="24"/>
          <w:highlight w:val="none"/>
        </w:rPr>
        <w:t>复</w:t>
      </w: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黑体" w:cs="Times New Roman"/>
          <w:sz w:val="32"/>
          <w:szCs w:val="24"/>
          <w:highlight w:val="none"/>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highlight w:val="none"/>
          <w:lang w:val="en-US" w:eastAsia="zh-CN"/>
        </w:rPr>
        <w:t>县农技服务中心</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700" w:firstLineChars="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你中心报送</w:t>
      </w:r>
      <w:r>
        <w:rPr>
          <w:rFonts w:hint="default" w:ascii="Times New Roman" w:hAnsi="Times New Roman" w:eastAsia="方正仿宋_GBK" w:cs="Times New Roman"/>
          <w:sz w:val="32"/>
          <w:szCs w:val="32"/>
          <w:highlight w:val="none"/>
        </w:rPr>
        <w:t>的</w:t>
      </w:r>
      <w:r>
        <w:rPr>
          <w:rFonts w:hint="default" w:ascii="Times New Roman" w:hAnsi="Times New Roman" w:eastAsia="方正仿宋_GBK" w:cs="Times New Roman"/>
          <w:sz w:val="32"/>
          <w:szCs w:val="32"/>
          <w:highlight w:val="none"/>
          <w:lang w:val="en-US" w:eastAsia="zh-CN"/>
        </w:rPr>
        <w:t>《关于丰都县数字榨菜分中心建设项目实施方案的报告》（</w:t>
      </w:r>
      <w:r>
        <w:rPr>
          <w:rFonts w:hint="default" w:ascii="Times New Roman" w:hAnsi="Times New Roman" w:eastAsia="方正仿宋_GBK" w:cs="Times New Roman"/>
          <w:sz w:val="32"/>
          <w:highlight w:val="none"/>
        </w:rPr>
        <w:t>丰农技文〔202</w:t>
      </w:r>
      <w:r>
        <w:rPr>
          <w:rFonts w:hint="default" w:ascii="Times New Roman" w:hAnsi="Times New Roman" w:eastAsia="方正仿宋_GBK" w:cs="Times New Roman"/>
          <w:sz w:val="32"/>
          <w:highlight w:val="none"/>
          <w:lang w:val="en-US" w:eastAsia="zh-CN"/>
        </w:rPr>
        <w:t>4</w:t>
      </w:r>
      <w:r>
        <w:rPr>
          <w:rFonts w:hint="default" w:ascii="Times New Roman" w:hAnsi="Times New Roman" w:eastAsia="方正仿宋_GBK" w:cs="Times New Roman"/>
          <w:sz w:val="32"/>
          <w:highlight w:val="none"/>
        </w:rPr>
        <w:t>〕</w:t>
      </w:r>
      <w:r>
        <w:rPr>
          <w:rFonts w:hint="default" w:ascii="Times New Roman" w:hAnsi="Times New Roman" w:eastAsia="方正仿宋_GBK" w:cs="Times New Roman"/>
          <w:sz w:val="32"/>
          <w:highlight w:val="none"/>
          <w:lang w:val="en-US" w:eastAsia="zh-CN"/>
        </w:rPr>
        <w:t>14</w:t>
      </w:r>
      <w:r>
        <w:rPr>
          <w:rFonts w:hint="default" w:ascii="Times New Roman" w:hAnsi="Times New Roman" w:eastAsia="方正仿宋_GBK" w:cs="Times New Roman"/>
          <w:sz w:val="32"/>
          <w:highlight w:val="none"/>
        </w:rPr>
        <w:t>号</w:t>
      </w:r>
      <w:r>
        <w:rPr>
          <w:rFonts w:hint="default" w:ascii="Times New Roman" w:hAnsi="Times New Roman" w:eastAsia="方正仿宋_GBK" w:cs="Times New Roman"/>
          <w:sz w:val="32"/>
          <w:highlight w:val="none"/>
          <w:lang w:eastAsia="zh-CN"/>
        </w:rPr>
        <w:t>）</w:t>
      </w:r>
      <w:r>
        <w:rPr>
          <w:rFonts w:hint="default" w:ascii="Times New Roman" w:hAnsi="Times New Roman" w:eastAsia="方正仿宋_GBK" w:cs="Times New Roman"/>
          <w:sz w:val="32"/>
          <w:szCs w:val="32"/>
          <w:highlight w:val="none"/>
        </w:rPr>
        <w:t>收悉</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经研究，</w:t>
      </w:r>
      <w:r>
        <w:rPr>
          <w:rFonts w:hint="default" w:ascii="Times New Roman" w:hAnsi="Times New Roman" w:eastAsia="方正仿宋_GBK" w:cs="Times New Roman"/>
          <w:sz w:val="32"/>
          <w:szCs w:val="32"/>
          <w:highlight w:val="none"/>
          <w:lang w:val="en-US" w:eastAsia="zh-CN"/>
        </w:rPr>
        <w:t>现就丰都县数字榨菜分中心建设项目实施方案批复如下</w:t>
      </w:r>
      <w:r>
        <w:rPr>
          <w:rFonts w:hint="default" w:ascii="Times New Roman" w:hAnsi="Times New Roman" w:eastAsia="方正仿宋_GBK" w:cs="Times New Roman"/>
          <w:sz w:val="32"/>
          <w:szCs w:val="32"/>
          <w:highlight w:val="none"/>
        </w:rPr>
        <w:t>：</w:t>
      </w:r>
    </w:p>
    <w:p>
      <w:pPr>
        <w:keepNext w:val="0"/>
        <w:keepLines w:val="0"/>
        <w:pageBreakBefore w:val="0"/>
        <w:kinsoku/>
        <w:wordWrap/>
        <w:overflowPunct/>
        <w:topLinePunct w:val="0"/>
        <w:autoSpaceDE/>
        <w:autoSpaceDN/>
        <w:bidi w:val="0"/>
        <w:spacing w:line="600" w:lineRule="exact"/>
        <w:ind w:firstLine="616" w:firstLineChars="200"/>
        <w:jc w:val="left"/>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黑体_GBK" w:cs="Times New Roman"/>
          <w:spacing w:val="-6"/>
          <w:sz w:val="32"/>
          <w:szCs w:val="32"/>
          <w:highlight w:val="none"/>
        </w:rPr>
        <w:t>一、项目名称：</w:t>
      </w:r>
      <w:r>
        <w:rPr>
          <w:rFonts w:hint="default" w:ascii="Times New Roman" w:hAnsi="Times New Roman" w:eastAsia="方正仿宋_GBK" w:cs="Times New Roman"/>
          <w:sz w:val="32"/>
          <w:szCs w:val="32"/>
          <w:highlight w:val="none"/>
          <w:lang w:val="en-US" w:eastAsia="zh-CN"/>
        </w:rPr>
        <w:t>丰都县数字榨菜分中心建设项目</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rPr>
        <w:t>二、项目法人：</w:t>
      </w:r>
      <w:r>
        <w:rPr>
          <w:rFonts w:hint="default" w:ascii="Times New Roman" w:hAnsi="Times New Roman" w:eastAsia="方正仿宋_GBK" w:cs="Times New Roman"/>
          <w:sz w:val="32"/>
          <w:szCs w:val="32"/>
          <w:highlight w:val="none"/>
          <w:lang w:val="en-US" w:eastAsia="zh-CN"/>
        </w:rPr>
        <w:t>丰都县农业技术服务中心</w:t>
      </w:r>
    </w:p>
    <w:p>
      <w:pPr>
        <w:pStyle w:val="9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kern w:val="2"/>
          <w:sz w:val="32"/>
          <w:szCs w:val="32"/>
          <w:highlight w:val="none"/>
          <w:lang w:val="en-US" w:eastAsia="zh-CN" w:bidi="ar-SA"/>
        </w:rPr>
      </w:pPr>
      <w:r>
        <w:rPr>
          <w:rFonts w:hint="default" w:ascii="Times New Roman" w:hAnsi="Times New Roman" w:eastAsia="方正黑体_GBK" w:cs="Times New Roman"/>
          <w:sz w:val="32"/>
          <w:szCs w:val="32"/>
          <w:highlight w:val="none"/>
        </w:rPr>
        <w:t>三、建设地点：</w:t>
      </w:r>
      <w:r>
        <w:rPr>
          <w:rFonts w:hint="default" w:ascii="Times New Roman" w:hAnsi="Times New Roman" w:eastAsia="方正仿宋_GBK" w:cs="Times New Roman"/>
          <w:kern w:val="0"/>
          <w:sz w:val="32"/>
          <w:szCs w:val="32"/>
          <w:lang w:val="en-US" w:eastAsia="zh-CN" w:bidi="ar-SA"/>
        </w:rPr>
        <w:t>丰都县仙女湖镇、社坛镇、虎威镇、兴龙镇、十直镇等。</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sz w:val="32"/>
          <w:szCs w:val="32"/>
          <w:highlight w:val="none"/>
        </w:rPr>
        <w:t>四、建设性质：</w:t>
      </w:r>
      <w:r>
        <w:rPr>
          <w:rFonts w:hint="default" w:ascii="Times New Roman" w:hAnsi="Times New Roman" w:eastAsia="方正仿宋_GBK" w:cs="Times New Roman"/>
          <w:sz w:val="32"/>
          <w:szCs w:val="32"/>
          <w:highlight w:val="none"/>
          <w:lang w:val="en-US" w:eastAsia="zh-CN"/>
        </w:rPr>
        <w:t>新</w:t>
      </w:r>
      <w:r>
        <w:rPr>
          <w:rFonts w:hint="default" w:ascii="Times New Roman" w:hAnsi="Times New Roman" w:eastAsia="方正仿宋_GBK" w:cs="Times New Roman"/>
          <w:sz w:val="32"/>
          <w:szCs w:val="32"/>
          <w:highlight w:val="none"/>
        </w:rPr>
        <w:t>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五、建设内容：</w:t>
      </w:r>
    </w:p>
    <w:p>
      <w:pPr>
        <w:pStyle w:val="92"/>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1.“1”个数字榨菜支撑平台建设</w:t>
      </w:r>
    </w:p>
    <w:p>
      <w:pPr>
        <w:pStyle w:val="92"/>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以云计算、物联网、边缘计算、大数据等技术，构建丰都数字榨菜产业分中心项目底座平台，核心提供物联接入、数据管理、系统对接、支撑工具和IT运行环境等功能，高效、可靠、安全支撑本项目数字化管理和智慧化产业服务。</w:t>
      </w:r>
    </w:p>
    <w:p>
      <w:pPr>
        <w:pStyle w:val="92"/>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2.“1”个榨菜智慧种植服务系统建设</w:t>
      </w:r>
    </w:p>
    <w:p>
      <w:pPr>
        <w:pStyle w:val="92"/>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智慧种植服务系统，面向榨菜种植户设计，包括地块管理、农事月历、四情监测预警、水肥药决策指导、精准气象、采收管理、田间巡检、园区安防监控、专家问诊等，实现榨菜种植作业数字化管理，帮助农户实现种植作业信息化管理，提高生产效率和管理水平。</w:t>
      </w:r>
    </w:p>
    <w:p>
      <w:pPr>
        <w:pStyle w:val="92"/>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3.“1”个榨菜产业综合服务系统建设</w:t>
      </w:r>
    </w:p>
    <w:p>
      <w:pPr>
        <w:pStyle w:val="92"/>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榨菜产业综合服务系统，围绕榨菜种植户、收购企业、加工企业、社会化服务组织、金融保险机构及丰都县农业农村委员会多方面的需求，从产、销、服的三个方向建设数字榨菜产业服务系统，并支持移动端快捷应用，提供榨菜产业链各个角色参与入口、在线化服务、资源对接渠道，高效地支撑数字榨菜产业分中心的信息资讯服务、金融保险服务、社会化服务、交易撮合、基层数据上报。</w:t>
      </w:r>
    </w:p>
    <w:p>
      <w:pPr>
        <w:pStyle w:val="92"/>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4.“1”个榨菜产业云图系统建设</w:t>
      </w:r>
    </w:p>
    <w:p>
      <w:pPr>
        <w:pStyle w:val="92"/>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榨菜产业云图，面向相关监管部门用户设计，旨在从宏观层面对丰都全域榨菜种植生产情况、产业经济信息等进行汇总展示，提升榨菜产业监管部门监管、决策、分析和服务能力。</w:t>
      </w:r>
    </w:p>
    <w:p>
      <w:pPr>
        <w:pStyle w:val="92"/>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5.“1”个高山榨菜特色应用系统建设</w:t>
      </w:r>
    </w:p>
    <w:p>
      <w:pPr>
        <w:pStyle w:val="92"/>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重点突出丰都高山榨菜特早熟、特晚熟品种优势，从地理区位优势、</w:t>
      </w:r>
      <w:r>
        <w:rPr>
          <w:rFonts w:hint="default" w:ascii="Times New Roman" w:hAnsi="Times New Roman" w:eastAsia="方正仿宋_GBK" w:cs="Times New Roman"/>
          <w:kern w:val="0"/>
          <w:sz w:val="32"/>
          <w:szCs w:val="32"/>
          <w:u w:val="none"/>
          <w:lang w:val="en-US" w:eastAsia="zh-CN" w:bidi="ar-SA"/>
        </w:rPr>
        <w:t>土壤环境、气候环境、采收产量、初/精加工、农残检测、绿色有机认证、国际出口资质、产品成分/含量等方面进行</w:t>
      </w:r>
      <w:r>
        <w:rPr>
          <w:rFonts w:hint="default" w:ascii="Times New Roman" w:hAnsi="Times New Roman" w:eastAsia="方正仿宋_GBK" w:cs="Times New Roman"/>
          <w:kern w:val="0"/>
          <w:sz w:val="32"/>
          <w:szCs w:val="32"/>
          <w:lang w:val="en-US" w:eastAsia="zh-CN" w:bidi="ar-SA"/>
        </w:rPr>
        <w:t>溯源、检测认证以及品牌包装等，打造丰都高山榨菜品牌标签。</w:t>
      </w:r>
    </w:p>
    <w:p>
      <w:pPr>
        <w:pStyle w:val="92"/>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面向消费者可线上实时查看产品溯源信息、权威机构产品质量合格检测证书、产品宣传信息等，面向符合要求的种植户，提供品牌和检测认证赋能服务。</w:t>
      </w:r>
    </w:p>
    <w:p>
      <w:pPr>
        <w:pStyle w:val="92"/>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6.“1”个数字榨菜运管服务系统建设</w:t>
      </w:r>
    </w:p>
    <w:p>
      <w:pPr>
        <w:pStyle w:val="92"/>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数字榨菜运管服务系统的建设基于丰都县农业农村委员会对丰都县榨菜产业所部署系统及榨菜产业发展进行监督、监管、协调统筹的需求。数字榨菜运管服务系统将对榨菜各系统的后台进行整合，对数据进行统一整合管理，主要服务于丰都县农业农村委员会管理人员。</w:t>
      </w:r>
    </w:p>
    <w:p>
      <w:pPr>
        <w:pStyle w:val="92"/>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依托数字榨菜平台的数据交换能力、业务支持服务能力，提供注册审核、用户及角色管理、产业信息管理、资讯动态管理等相关功能。提升丰都县农业农村委员会权限管理能力，实现对丰都榨菜产业全局的发展决策把控。</w:t>
      </w:r>
    </w:p>
    <w:p>
      <w:pPr>
        <w:pStyle w:val="92"/>
        <w:keepNext w:val="0"/>
        <w:keepLines w:val="0"/>
        <w:pageBreakBefore w:val="0"/>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eastAsia="方正仿宋_GBK" w:cs="Times New Roman"/>
          <w:spacing w:val="-6"/>
          <w:kern w:val="0"/>
          <w:sz w:val="32"/>
          <w:szCs w:val="32"/>
          <w:lang w:val="en-US" w:eastAsia="zh-CN" w:bidi="ar-SA"/>
        </w:rPr>
      </w:pPr>
      <w:r>
        <w:rPr>
          <w:rFonts w:hint="default" w:ascii="Times New Roman" w:hAnsi="Times New Roman" w:eastAsia="方正仿宋_GBK" w:cs="Times New Roman"/>
          <w:spacing w:val="-6"/>
          <w:kern w:val="0"/>
          <w:sz w:val="32"/>
          <w:szCs w:val="32"/>
          <w:lang w:val="en-US" w:eastAsia="zh-CN" w:bidi="ar-SA"/>
        </w:rPr>
        <w:t>7.“5”个示范种植基地农业“四情”监测配套工程设备采购部署</w:t>
      </w:r>
    </w:p>
    <w:p>
      <w:pPr>
        <w:pStyle w:val="92"/>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在丰都仙女湖镇、社坛镇、虎威镇等榨菜种植基地，进行智能化硬件部署，实现基地前端数据采集及传输。智能化硬件设备以农业“四情”监测为导向，主要包括榨菜种植基地苗情监测设备、虫情监测设备、墒情监测设备以及灾情监测设备。</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黑体_GBK" w:cs="Times New Roman"/>
          <w:sz w:val="32"/>
          <w:szCs w:val="32"/>
          <w:highlight w:val="none"/>
        </w:rPr>
        <w:t>六、概算总投资及来源：</w:t>
      </w:r>
      <w:r>
        <w:rPr>
          <w:rFonts w:hint="default" w:ascii="Times New Roman" w:hAnsi="Times New Roman" w:eastAsia="方正仿宋_GBK" w:cs="Times New Roman"/>
          <w:kern w:val="0"/>
          <w:sz w:val="32"/>
          <w:szCs w:val="32"/>
          <w:lang w:val="en-US" w:eastAsia="zh-CN" w:bidi="ar-SA"/>
        </w:rPr>
        <w:t>项目总投资200万元，主要用于数字榨菜分中心项目配套工程智能化硬件设备采购部署、软件应用系统开发服务采购。</w:t>
      </w:r>
    </w:p>
    <w:p>
      <w:pPr>
        <w:pStyle w:val="11"/>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方正仿宋_GBK" w:cs="Times New Roman"/>
          <w:b w:val="0"/>
          <w:kern w:val="0"/>
          <w:sz w:val="32"/>
          <w:szCs w:val="32"/>
          <w:lang w:val="en-US" w:eastAsia="zh-CN" w:bidi="ar-SA"/>
        </w:rPr>
      </w:pPr>
      <w:r>
        <w:rPr>
          <w:rFonts w:hint="default" w:ascii="Times New Roman" w:hAnsi="Times New Roman" w:eastAsia="方正黑体_GBK" w:cs="Times New Roman"/>
          <w:b w:val="0"/>
          <w:bCs/>
          <w:sz w:val="32"/>
          <w:szCs w:val="32"/>
          <w:highlight w:val="none"/>
        </w:rPr>
        <w:t>七、建设工期：</w:t>
      </w:r>
      <w:r>
        <w:rPr>
          <w:rFonts w:hint="default" w:ascii="Times New Roman" w:hAnsi="Times New Roman" w:eastAsia="方正仿宋_GBK" w:cs="Times New Roman"/>
          <w:b w:val="0"/>
          <w:kern w:val="0"/>
          <w:sz w:val="32"/>
          <w:szCs w:val="32"/>
          <w:lang w:val="en-US" w:eastAsia="zh-CN" w:bidi="ar-SA"/>
        </w:rPr>
        <w:t>项目实施自2023年2月起至2025年2月止。</w:t>
      </w:r>
    </w:p>
    <w:p>
      <w:pPr>
        <w:keepNext w:val="0"/>
        <w:keepLines w:val="0"/>
        <w:pageBreakBefore w:val="0"/>
        <w:widowControl w:val="0"/>
        <w:kinsoku/>
        <w:wordWrap/>
        <w:overflowPunct/>
        <w:topLinePunct w:val="0"/>
        <w:autoSpaceDE/>
        <w:autoSpaceDN/>
        <w:bidi w:val="0"/>
        <w:adjustRightInd/>
        <w:snapToGrid/>
        <w:spacing w:line="600" w:lineRule="exact"/>
        <w:ind w:left="-50" w:leftChars="-24" w:firstLine="640" w:firstLineChars="200"/>
        <w:textAlignment w:val="auto"/>
        <w:rPr>
          <w:rFonts w:hint="default" w:ascii="Times New Roman" w:hAnsi="Times New Roman" w:eastAsia="方正仿宋_GBK" w:cs="Times New Roman"/>
          <w:b w:val="0"/>
          <w:w w:val="95"/>
          <w:kern w:val="0"/>
          <w:sz w:val="32"/>
          <w:szCs w:val="32"/>
          <w:highlight w:val="none"/>
          <w:lang w:val="en-US" w:eastAsia="zh-CN" w:bidi="ar-SA"/>
        </w:rPr>
      </w:pPr>
      <w:r>
        <w:rPr>
          <w:rFonts w:hint="default" w:ascii="Times New Roman" w:hAnsi="Times New Roman" w:eastAsia="方正仿宋_GBK" w:cs="Times New Roman"/>
          <w:b w:val="0"/>
          <w:kern w:val="0"/>
          <w:sz w:val="32"/>
          <w:szCs w:val="32"/>
          <w:lang w:val="en-US" w:eastAsia="zh-CN" w:bidi="ar-SA"/>
        </w:rPr>
        <w:t>接此批复后，请你中心结合项目建设实际，加快推进项目进度，严格按项目程序组织实施，加强项目管理，确保项目质量。</w:t>
      </w:r>
    </w:p>
    <w:p>
      <w:pPr>
        <w:pStyle w:val="11"/>
        <w:keepNext w:val="0"/>
        <w:keepLines w:val="0"/>
        <w:pageBreakBefore w:val="0"/>
        <w:widowControl w:val="0"/>
        <w:kinsoku/>
        <w:wordWrap/>
        <w:overflowPunct/>
        <w:topLinePunct w:val="0"/>
        <w:autoSpaceDE/>
        <w:autoSpaceDN/>
        <w:bidi w:val="0"/>
        <w:spacing w:after="0" w:line="600" w:lineRule="exact"/>
        <w:ind w:left="0" w:leftChars="0" w:firstLine="700" w:firstLineChars="0"/>
        <w:textAlignment w:val="auto"/>
        <w:rPr>
          <w:rFonts w:hint="default" w:ascii="Times New Roman" w:hAnsi="Times New Roman" w:eastAsia="方正仿宋_GBK" w:cs="Times New Roman"/>
          <w:b w:val="0"/>
          <w:w w:val="95"/>
          <w:kern w:val="0"/>
          <w:sz w:val="32"/>
          <w:szCs w:val="32"/>
          <w:highlight w:val="none"/>
          <w:lang w:val="en-US" w:eastAsia="zh-CN" w:bidi="ar-SA"/>
        </w:rPr>
      </w:pPr>
    </w:p>
    <w:p>
      <w:pPr>
        <w:pStyle w:val="11"/>
        <w:keepNext w:val="0"/>
        <w:keepLines w:val="0"/>
        <w:pageBreakBefore w:val="0"/>
        <w:widowControl w:val="0"/>
        <w:kinsoku/>
        <w:wordWrap/>
        <w:overflowPunct/>
        <w:topLinePunct w:val="0"/>
        <w:autoSpaceDE/>
        <w:autoSpaceDN/>
        <w:bidi w:val="0"/>
        <w:spacing w:after="0" w:line="600" w:lineRule="exact"/>
        <w:ind w:left="0" w:leftChars="0" w:firstLine="700" w:firstLineChars="0"/>
        <w:textAlignment w:val="auto"/>
        <w:rPr>
          <w:rFonts w:hint="default" w:ascii="Times New Roman" w:hAnsi="Times New Roman" w:eastAsia="方正仿宋_GBK" w:cs="Times New Roman"/>
          <w:spacing w:val="-8"/>
          <w:sz w:val="32"/>
          <w:szCs w:val="32"/>
          <w:highlight w:val="none"/>
          <w:lang w:val="en-US" w:eastAsia="zh-CN"/>
        </w:rPr>
      </w:pPr>
      <w:r>
        <w:rPr>
          <w:rFonts w:hint="default" w:ascii="Times New Roman" w:hAnsi="Times New Roman" w:eastAsia="方正仿宋_GBK" w:cs="Times New Roman"/>
          <w:b w:val="0"/>
          <w:kern w:val="0"/>
          <w:sz w:val="32"/>
          <w:szCs w:val="32"/>
          <w:lang w:val="en-US" w:eastAsia="zh-CN" w:bidi="ar-SA"/>
        </w:rPr>
        <w:t>附件：丰都县数字榨菜分中心建设项目实施方案</w:t>
      </w:r>
    </w:p>
    <w:p>
      <w:pPr>
        <w:pStyle w:val="13"/>
        <w:keepNext w:val="0"/>
        <w:keepLines w:val="0"/>
        <w:pageBreakBefore w:val="0"/>
        <w:kinsoku/>
        <w:wordWrap/>
        <w:overflowPunct/>
        <w:topLinePunct w:val="0"/>
        <w:autoSpaceDE/>
        <w:autoSpaceDN/>
        <w:bidi w:val="0"/>
        <w:spacing w:line="600" w:lineRule="exact"/>
        <w:textAlignment w:val="auto"/>
        <w:rPr>
          <w:rFonts w:hint="default" w:ascii="Times New Roman" w:hAnsi="Times New Roman" w:cs="Times New Roman"/>
          <w:highlight w:val="none"/>
        </w:rPr>
      </w:pPr>
    </w:p>
    <w:p>
      <w:pPr>
        <w:rPr>
          <w:rFonts w:hint="default"/>
        </w:rPr>
      </w:pP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sz w:val="32"/>
          <w:szCs w:val="32"/>
          <w:highlight w:val="none"/>
          <w:lang w:val="en-US" w:eastAsia="zh-CN"/>
        </w:rPr>
        <w:t xml:space="preserve">      </w:t>
      </w:r>
      <w:r>
        <w:rPr>
          <w:rFonts w:hint="eastAsia"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kern w:val="0"/>
          <w:sz w:val="32"/>
          <w:szCs w:val="32"/>
          <w:lang w:val="en-US" w:eastAsia="zh-CN" w:bidi="ar-SA"/>
        </w:rPr>
        <w:t>丰都县农业农村委员会</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ab/>
      </w:r>
      <w:r>
        <w:rPr>
          <w:rFonts w:hint="default" w:ascii="Times New Roman" w:hAnsi="Times New Roman" w:eastAsia="方正仿宋_GBK" w:cs="Times New Roman"/>
          <w:kern w:val="0"/>
          <w:sz w:val="32"/>
          <w:szCs w:val="32"/>
          <w:lang w:val="en-US" w:eastAsia="zh-CN" w:bidi="ar-SA"/>
        </w:rPr>
        <w:t xml:space="preserve">                  </w:t>
      </w:r>
      <w:r>
        <w:rPr>
          <w:rFonts w:hint="eastAsia" w:eastAsia="方正仿宋_GBK"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 xml:space="preserve">       2025年1月2日</w:t>
      </w:r>
    </w:p>
    <w:p>
      <w:pPr>
        <w:pStyle w:val="2"/>
        <w:rPr>
          <w:rFonts w:hint="default"/>
          <w:lang w:val="en-US" w:eastAsia="zh-CN"/>
        </w:rPr>
      </w:pPr>
    </w:p>
    <w:p>
      <w:pPr>
        <w:pStyle w:val="2"/>
        <w:rPr>
          <w:rFonts w:hint="eastAsia" w:eastAsia="方正仿宋_GBK" w:cs="Times New Roman"/>
          <w:kern w:val="0"/>
          <w:sz w:val="32"/>
          <w:szCs w:val="32"/>
          <w:lang w:val="en-US" w:eastAsia="zh-CN" w:bidi="ar-SA"/>
        </w:rPr>
      </w:pPr>
      <w:r>
        <w:rPr>
          <w:rFonts w:hint="eastAsia" w:eastAsia="方正仿宋_GBK" w:cs="Times New Roman"/>
          <w:kern w:val="0"/>
          <w:sz w:val="32"/>
          <w:szCs w:val="32"/>
          <w:lang w:val="en-US" w:eastAsia="zh-CN" w:bidi="ar-SA"/>
        </w:rPr>
        <w:t>（此件公开发布）</w:t>
      </w:r>
    </w:p>
    <w:p>
      <w:pPr>
        <w:pStyle w:val="2"/>
        <w:rPr>
          <w:rFonts w:hint="eastAsia" w:eastAsia="方正仿宋_GBK" w:cs="Times New Roman"/>
          <w:kern w:val="0"/>
          <w:sz w:val="32"/>
          <w:szCs w:val="32"/>
          <w:lang w:val="en-US" w:eastAsia="zh-CN" w:bidi="ar-SA"/>
        </w:rPr>
      </w:pPr>
    </w:p>
    <w:p>
      <w:pPr>
        <w:pStyle w:val="2"/>
        <w:rPr>
          <w:rFonts w:hint="eastAsia" w:eastAsia="方正仿宋_GBK" w:cs="Times New Roman"/>
          <w:kern w:val="0"/>
          <w:sz w:val="32"/>
          <w:szCs w:val="32"/>
          <w:lang w:val="en-US" w:eastAsia="zh-CN" w:bidi="ar-SA"/>
        </w:rPr>
      </w:pPr>
    </w:p>
    <w:p>
      <w:pPr>
        <w:pStyle w:val="2"/>
        <w:rPr>
          <w:rFonts w:hint="eastAsia" w:eastAsia="方正仿宋_GBK" w:cs="Times New Roman"/>
          <w:kern w:val="0"/>
          <w:sz w:val="32"/>
          <w:szCs w:val="32"/>
          <w:lang w:val="en-US" w:eastAsia="zh-CN" w:bidi="ar-SA"/>
        </w:rPr>
      </w:pPr>
    </w:p>
    <w:p>
      <w:pPr>
        <w:pStyle w:val="2"/>
        <w:rPr>
          <w:rFonts w:hint="eastAsia" w:eastAsia="方正仿宋_GBK" w:cs="Times New Roman"/>
          <w:kern w:val="0"/>
          <w:sz w:val="32"/>
          <w:szCs w:val="32"/>
          <w:lang w:val="en-US" w:eastAsia="zh-CN" w:bidi="ar-SA"/>
        </w:rPr>
      </w:pPr>
    </w:p>
    <w:p>
      <w:pPr>
        <w:pStyle w:val="2"/>
        <w:rPr>
          <w:rFonts w:hint="eastAsia" w:eastAsia="方正仿宋_GBK" w:cs="Times New Roman"/>
          <w:kern w:val="0"/>
          <w:sz w:val="32"/>
          <w:szCs w:val="32"/>
          <w:lang w:val="en-US" w:eastAsia="zh-CN" w:bidi="ar-SA"/>
        </w:rPr>
      </w:pPr>
    </w:p>
    <w:p>
      <w:pPr>
        <w:pStyle w:val="2"/>
        <w:rPr>
          <w:rFonts w:hint="eastAsia" w:eastAsia="方正仿宋_GBK" w:cs="Times New Roman"/>
          <w:kern w:val="0"/>
          <w:sz w:val="32"/>
          <w:szCs w:val="32"/>
          <w:lang w:val="en-US" w:eastAsia="zh-CN" w:bidi="ar-SA"/>
        </w:rPr>
      </w:pPr>
    </w:p>
    <w:p>
      <w:pPr>
        <w:pStyle w:val="2"/>
        <w:rPr>
          <w:rFonts w:hint="eastAsia" w:eastAsia="方正仿宋_GBK" w:cs="Times New Roman"/>
          <w:kern w:val="0"/>
          <w:sz w:val="32"/>
          <w:szCs w:val="32"/>
          <w:lang w:val="en-US" w:eastAsia="zh-CN" w:bidi="ar-SA"/>
        </w:rPr>
      </w:pPr>
    </w:p>
    <w:p>
      <w:pPr>
        <w:pStyle w:val="2"/>
        <w:rPr>
          <w:rFonts w:hint="eastAsia" w:eastAsia="方正仿宋_GBK" w:cs="Times New Roman"/>
          <w:kern w:val="0"/>
          <w:sz w:val="32"/>
          <w:szCs w:val="32"/>
          <w:lang w:val="en-US" w:eastAsia="zh-CN" w:bidi="ar-SA"/>
        </w:rPr>
      </w:pPr>
    </w:p>
    <w:p>
      <w:pPr>
        <w:pStyle w:val="2"/>
        <w:rPr>
          <w:rFonts w:hint="eastAsia" w:eastAsia="方正仿宋_GBK" w:cs="Times New Roman"/>
          <w:kern w:val="0"/>
          <w:sz w:val="32"/>
          <w:szCs w:val="32"/>
          <w:lang w:val="en-US" w:eastAsia="zh-CN" w:bidi="ar-SA"/>
        </w:rPr>
      </w:pPr>
    </w:p>
    <w:p>
      <w:pPr>
        <w:pStyle w:val="2"/>
        <w:rPr>
          <w:rFonts w:hint="eastAsia" w:eastAsia="方正仿宋_GBK" w:cs="Times New Roman"/>
          <w:kern w:val="0"/>
          <w:sz w:val="32"/>
          <w:szCs w:val="32"/>
          <w:lang w:val="en-US" w:eastAsia="zh-CN" w:bidi="ar-SA"/>
        </w:rPr>
      </w:pPr>
    </w:p>
    <w:p>
      <w:pPr>
        <w:pStyle w:val="2"/>
        <w:rPr>
          <w:rFonts w:hint="eastAsia" w:eastAsia="方正仿宋_GBK" w:cs="Times New Roman"/>
          <w:kern w:val="0"/>
          <w:sz w:val="32"/>
          <w:szCs w:val="32"/>
          <w:lang w:val="en-US" w:eastAsia="zh-CN" w:bidi="ar-SA"/>
        </w:rPr>
      </w:pPr>
    </w:p>
    <w:p>
      <w:pPr>
        <w:pStyle w:val="2"/>
        <w:rPr>
          <w:rFonts w:hint="eastAsia" w:eastAsia="方正仿宋_GBK" w:cs="Times New Roman"/>
          <w:kern w:val="0"/>
          <w:sz w:val="32"/>
          <w:szCs w:val="32"/>
          <w:lang w:val="en-US" w:eastAsia="zh-CN" w:bidi="ar-SA"/>
        </w:rPr>
      </w:pPr>
    </w:p>
    <w:p>
      <w:pPr>
        <w:pStyle w:val="2"/>
        <w:rPr>
          <w:rFonts w:hint="eastAsia" w:eastAsia="方正仿宋_GBK" w:cs="Times New Roman"/>
          <w:kern w:val="0"/>
          <w:sz w:val="32"/>
          <w:szCs w:val="32"/>
          <w:lang w:val="en-US" w:eastAsia="zh-CN" w:bidi="ar-SA"/>
        </w:rPr>
      </w:pPr>
    </w:p>
    <w:p>
      <w:pPr>
        <w:pStyle w:val="2"/>
        <w:rPr>
          <w:rFonts w:hint="eastAsia" w:eastAsia="方正仿宋_GBK" w:cs="Times New Roman"/>
          <w:kern w:val="0"/>
          <w:sz w:val="32"/>
          <w:szCs w:val="32"/>
          <w:lang w:val="en-US" w:eastAsia="zh-CN" w:bidi="ar-SA"/>
        </w:rPr>
      </w:pPr>
    </w:p>
    <w:p>
      <w:pPr>
        <w:pStyle w:val="2"/>
        <w:rPr>
          <w:rFonts w:hint="eastAsia" w:eastAsia="方正仿宋_GBK" w:cs="Times New Roman"/>
          <w:kern w:val="0"/>
          <w:sz w:val="32"/>
          <w:szCs w:val="32"/>
          <w:lang w:val="en-US" w:eastAsia="zh-CN" w:bidi="ar-SA"/>
        </w:rPr>
      </w:pPr>
    </w:p>
    <w:p>
      <w:pPr>
        <w:pStyle w:val="2"/>
        <w:rPr>
          <w:rFonts w:hint="eastAsia" w:eastAsia="方正仿宋_GBK" w:cs="Times New Roman"/>
          <w:kern w:val="0"/>
          <w:sz w:val="32"/>
          <w:szCs w:val="32"/>
          <w:lang w:val="en-US" w:eastAsia="zh-CN" w:bidi="ar-SA"/>
        </w:rPr>
      </w:pPr>
    </w:p>
    <w:p>
      <w:pPr>
        <w:pStyle w:val="2"/>
        <w:rPr>
          <w:rFonts w:hint="eastAsia" w:eastAsia="方正仿宋_GBK" w:cs="Times New Roman"/>
          <w:kern w:val="0"/>
          <w:sz w:val="32"/>
          <w:szCs w:val="32"/>
          <w:lang w:val="en-US" w:eastAsia="zh-CN" w:bidi="ar-SA"/>
        </w:rPr>
      </w:pPr>
    </w:p>
    <w:p>
      <w:pPr>
        <w:pStyle w:val="2"/>
        <w:rPr>
          <w:rFonts w:hint="eastAsia" w:eastAsia="方正仿宋_GBK" w:cs="Times New Roman"/>
          <w:kern w:val="0"/>
          <w:sz w:val="32"/>
          <w:szCs w:val="32"/>
          <w:lang w:val="en-US" w:eastAsia="zh-CN" w:bidi="ar-SA"/>
        </w:rPr>
      </w:pPr>
    </w:p>
    <w:p>
      <w:pPr>
        <w:pStyle w:val="2"/>
        <w:rPr>
          <w:rFonts w:hint="eastAsia" w:eastAsia="方正仿宋_GBK" w:cs="Times New Roman"/>
          <w:kern w:val="0"/>
          <w:sz w:val="32"/>
          <w:szCs w:val="32"/>
          <w:lang w:val="en-US" w:eastAsia="zh-CN" w:bidi="ar-SA"/>
        </w:rPr>
      </w:pPr>
    </w:p>
    <w:p>
      <w:pPr>
        <w:pStyle w:val="2"/>
        <w:rPr>
          <w:rFonts w:hint="eastAsia" w:eastAsia="方正仿宋_GBK" w:cs="Times New Roman"/>
          <w:kern w:val="0"/>
          <w:sz w:val="32"/>
          <w:szCs w:val="32"/>
          <w:lang w:val="en-US" w:eastAsia="zh-CN" w:bidi="ar-SA"/>
        </w:rPr>
      </w:pPr>
    </w:p>
    <w:p>
      <w:pPr>
        <w:pStyle w:val="2"/>
        <w:rPr>
          <w:rFonts w:hint="eastAsia" w:eastAsia="方正仿宋_GBK" w:cs="Times New Roman"/>
          <w:kern w:val="0"/>
          <w:sz w:val="32"/>
          <w:szCs w:val="32"/>
          <w:lang w:val="en-US" w:eastAsia="zh-CN" w:bidi="ar-SA"/>
        </w:rPr>
      </w:pPr>
    </w:p>
    <w:p>
      <w:pPr>
        <w:pStyle w:val="2"/>
        <w:rPr>
          <w:rFonts w:hint="eastAsia" w:eastAsia="方正仿宋_GBK" w:cs="Times New Roman"/>
          <w:kern w:val="0"/>
          <w:sz w:val="32"/>
          <w:szCs w:val="32"/>
          <w:lang w:val="en-US" w:eastAsia="zh-CN" w:bidi="ar-SA"/>
        </w:rPr>
      </w:pPr>
    </w:p>
    <w:p>
      <w:pPr>
        <w:pStyle w:val="2"/>
        <w:rPr>
          <w:rFonts w:hint="eastAsia" w:eastAsia="方正仿宋_GBK" w:cs="Times New Roman"/>
          <w:kern w:val="0"/>
          <w:sz w:val="32"/>
          <w:szCs w:val="32"/>
          <w:lang w:val="en-US" w:eastAsia="zh-CN" w:bidi="ar-SA"/>
        </w:rPr>
      </w:pPr>
    </w:p>
    <w:p>
      <w:pPr>
        <w:pStyle w:val="2"/>
        <w:rPr>
          <w:rFonts w:hint="default" w:eastAsia="方正仿宋_GBK" w:cs="Times New Roman"/>
          <w:kern w:val="0"/>
          <w:sz w:val="32"/>
          <w:szCs w:val="32"/>
          <w:lang w:val="en-US" w:eastAsia="zh-CN" w:bidi="ar-SA"/>
        </w:rPr>
      </w:pPr>
    </w:p>
    <w:p>
      <w:pPr>
        <w:keepNext w:val="0"/>
        <w:keepLines w:val="0"/>
        <w:pageBreakBefore w:val="0"/>
        <w:widowControl w:val="0"/>
        <w:kinsoku/>
        <w:wordWrap/>
        <w:overflowPunct/>
        <w:topLinePunct w:val="0"/>
        <w:autoSpaceDE/>
        <w:autoSpaceDN/>
        <w:bidi w:val="0"/>
        <w:spacing w:line="600" w:lineRule="exact"/>
        <w:ind w:left="4480" w:hanging="4480" w:hangingChars="14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w:t>
      </w:r>
    </w:p>
    <w:p>
      <w:pPr>
        <w:pStyle w:val="2"/>
        <w:rPr>
          <w:rFonts w:hint="default"/>
          <w:lang w:val="en-US" w:eastAsia="zh-CN"/>
        </w:rPr>
      </w:pPr>
    </w:p>
    <w:p>
      <w:pPr>
        <w:keepNext w:val="0"/>
        <w:keepLines w:val="0"/>
        <w:pageBreakBefore w:val="0"/>
        <w:widowControl w:val="0"/>
        <w:kinsoku/>
        <w:wordWrap/>
        <w:overflowPunct/>
        <w:topLinePunct w:val="0"/>
        <w:autoSpaceDE/>
        <w:autoSpaceDN/>
        <w:bidi w:val="0"/>
        <w:spacing w:line="600" w:lineRule="exact"/>
        <w:ind w:left="4480" w:hanging="6160" w:hangingChars="1400"/>
        <w:jc w:val="center"/>
        <w:textAlignment w:val="auto"/>
        <w:rPr>
          <w:rFonts w:hint="eastAsia" w:ascii="方正小标宋_GBK" w:hAnsi="方正小标宋_GBK" w:eastAsia="方正小标宋_GBK" w:cs="方正小标宋_GBK"/>
          <w:b w:val="0"/>
          <w:sz w:val="44"/>
          <w:szCs w:val="44"/>
        </w:rPr>
      </w:pPr>
      <w:r>
        <w:rPr>
          <w:rFonts w:hint="eastAsia" w:ascii="方正小标宋_GBK" w:hAnsi="方正小标宋_GBK" w:eastAsia="方正小标宋_GBK" w:cs="方正小标宋_GBK"/>
          <w:b w:val="0"/>
          <w:sz w:val="44"/>
          <w:szCs w:val="44"/>
        </w:rPr>
        <w:t>丰都县</w:t>
      </w:r>
      <w:r>
        <w:rPr>
          <w:rFonts w:hint="eastAsia" w:ascii="方正小标宋_GBK" w:hAnsi="方正小标宋_GBK" w:eastAsia="方正小标宋_GBK" w:cs="方正小标宋_GBK"/>
          <w:b w:val="0"/>
          <w:sz w:val="44"/>
          <w:szCs w:val="44"/>
          <w:lang w:val="en-US" w:eastAsia="zh-CN"/>
        </w:rPr>
        <w:t>数字榨菜分中心建设</w:t>
      </w:r>
      <w:r>
        <w:rPr>
          <w:rFonts w:hint="eastAsia" w:ascii="方正小标宋_GBK" w:hAnsi="方正小标宋_GBK" w:eastAsia="方正小标宋_GBK" w:cs="方正小标宋_GBK"/>
          <w:b w:val="0"/>
          <w:sz w:val="44"/>
          <w:szCs w:val="44"/>
        </w:rPr>
        <w:t>项目实施方案</w:t>
      </w:r>
    </w:p>
    <w:p>
      <w:pPr>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adjustRightInd/>
        <w:snapToGrid/>
        <w:spacing w:line="800" w:lineRule="exact"/>
        <w:ind w:firstLine="537" w:firstLineChars="16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项目名称：丰都县</w:t>
      </w:r>
      <w:r>
        <w:rPr>
          <w:rFonts w:hint="default" w:ascii="Times New Roman" w:hAnsi="Times New Roman" w:eastAsia="方正仿宋_GBK" w:cs="Times New Roman"/>
          <w:sz w:val="32"/>
          <w:szCs w:val="32"/>
          <w:lang w:val="en-US" w:eastAsia="zh-CN"/>
        </w:rPr>
        <w:t>数字榨菜分中心建设</w:t>
      </w:r>
      <w:r>
        <w:rPr>
          <w:rFonts w:hint="default" w:ascii="Times New Roman" w:hAnsi="Times New Roman" w:eastAsia="方正仿宋_GBK" w:cs="Times New Roman"/>
          <w:sz w:val="32"/>
          <w:szCs w:val="32"/>
        </w:rPr>
        <w:t>项目</w:t>
      </w:r>
    </w:p>
    <w:p>
      <w:pPr>
        <w:keepNext w:val="0"/>
        <w:keepLines w:val="0"/>
        <w:pageBreakBefore w:val="0"/>
        <w:widowControl w:val="0"/>
        <w:kinsoku/>
        <w:wordWrap/>
        <w:overflowPunct/>
        <w:topLinePunct w:val="0"/>
        <w:autoSpaceDE/>
        <w:autoSpaceDN/>
        <w:bidi w:val="0"/>
        <w:adjustRightInd/>
        <w:snapToGrid/>
        <w:spacing w:line="800" w:lineRule="exact"/>
        <w:ind w:firstLine="537" w:firstLineChars="168"/>
        <w:textAlignment w:val="auto"/>
        <w:rPr>
          <w:rFonts w:hint="default" w:ascii="Times New Roman" w:hAnsi="Times New Roman" w:eastAsia="方正仿宋_GBK" w:cs="Times New Roman"/>
          <w:b w:val="0"/>
          <w:kern w:val="0"/>
          <w:sz w:val="32"/>
          <w:szCs w:val="32"/>
          <w:lang w:val="en-US" w:eastAsia="zh-CN" w:bidi="ar-SA"/>
        </w:rPr>
      </w:pPr>
      <w:r>
        <w:rPr>
          <w:rFonts w:hint="default" w:ascii="Times New Roman" w:hAnsi="Times New Roman" w:eastAsia="方正仿宋_GBK" w:cs="Times New Roman"/>
          <w:sz w:val="32"/>
          <w:szCs w:val="32"/>
        </w:rPr>
        <w:t>项目实施单位：</w:t>
      </w:r>
      <w:r>
        <w:rPr>
          <w:rFonts w:hint="default" w:ascii="Times New Roman" w:hAnsi="Times New Roman" w:eastAsia="方正仿宋_GBK" w:cs="Times New Roman"/>
          <w:b w:val="0"/>
          <w:kern w:val="0"/>
          <w:sz w:val="32"/>
          <w:szCs w:val="32"/>
          <w:lang w:val="en-US" w:eastAsia="zh-CN" w:bidi="ar-SA"/>
        </w:rPr>
        <w:t>丰都县农业技术服务中心</w:t>
      </w:r>
    </w:p>
    <w:p>
      <w:pPr>
        <w:keepNext w:val="0"/>
        <w:keepLines w:val="0"/>
        <w:pageBreakBefore w:val="0"/>
        <w:widowControl w:val="0"/>
        <w:kinsoku/>
        <w:wordWrap/>
        <w:overflowPunct/>
        <w:topLinePunct w:val="0"/>
        <w:autoSpaceDE/>
        <w:autoSpaceDN/>
        <w:bidi w:val="0"/>
        <w:adjustRightInd/>
        <w:snapToGrid/>
        <w:spacing w:line="800" w:lineRule="exact"/>
        <w:ind w:firstLine="537" w:firstLineChars="168"/>
        <w:textAlignment w:val="auto"/>
        <w:rPr>
          <w:rFonts w:hint="default" w:ascii="Times New Roman" w:hAnsi="Times New Roman" w:eastAsia="方正仿宋_GBK" w:cs="Times New Roman"/>
          <w:b w:val="0"/>
          <w:kern w:val="0"/>
          <w:sz w:val="32"/>
          <w:szCs w:val="32"/>
          <w:lang w:val="en-US" w:eastAsia="zh-CN" w:bidi="ar-SA"/>
        </w:rPr>
      </w:pPr>
      <w:r>
        <w:rPr>
          <w:rFonts w:hint="default" w:ascii="Times New Roman" w:hAnsi="Times New Roman" w:eastAsia="方正仿宋_GBK" w:cs="Times New Roman"/>
          <w:sz w:val="32"/>
          <w:szCs w:val="32"/>
        </w:rPr>
        <w:t>实施单位地址：</w:t>
      </w:r>
      <w:r>
        <w:rPr>
          <w:rFonts w:hint="default" w:ascii="Times New Roman" w:hAnsi="Times New Roman" w:eastAsia="方正仿宋_GBK" w:cs="Times New Roman"/>
          <w:b w:val="0"/>
          <w:kern w:val="0"/>
          <w:sz w:val="32"/>
          <w:szCs w:val="32"/>
          <w:lang w:val="en-US" w:eastAsia="zh-CN" w:bidi="ar-SA"/>
        </w:rPr>
        <w:t>重庆市丰都县仙女湖、社坛等乡镇</w:t>
      </w:r>
    </w:p>
    <w:p>
      <w:pPr>
        <w:keepNext w:val="0"/>
        <w:keepLines w:val="0"/>
        <w:pageBreakBefore w:val="0"/>
        <w:widowControl w:val="0"/>
        <w:kinsoku/>
        <w:wordWrap/>
        <w:overflowPunct/>
        <w:topLinePunct w:val="0"/>
        <w:autoSpaceDE/>
        <w:autoSpaceDN/>
        <w:bidi w:val="0"/>
        <w:adjustRightInd/>
        <w:snapToGrid/>
        <w:spacing w:line="800" w:lineRule="exact"/>
        <w:ind w:firstLine="537" w:firstLineChars="168"/>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b w:val="0"/>
          <w:kern w:val="0"/>
          <w:sz w:val="32"/>
          <w:szCs w:val="32"/>
          <w:lang w:val="en-US" w:eastAsia="zh-CN" w:bidi="ar-SA"/>
        </w:rPr>
        <w:t xml:space="preserve">付丽娜  </w:t>
      </w:r>
      <w:r>
        <w:rPr>
          <w:rFonts w:hint="default" w:ascii="Times New Roman" w:hAnsi="Times New Roman" w:eastAsia="方正仿宋_GBK" w:cs="Times New Roman"/>
          <w:sz w:val="32"/>
          <w:szCs w:val="32"/>
        </w:rPr>
        <w:t xml:space="preserve">            职务/职称：</w:t>
      </w:r>
      <w:r>
        <w:rPr>
          <w:rFonts w:hint="default" w:ascii="Times New Roman" w:hAnsi="Times New Roman"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800" w:lineRule="exact"/>
        <w:ind w:firstLine="537" w:firstLineChars="168"/>
        <w:textAlignment w:val="auto"/>
        <w:rPr>
          <w:rFonts w:hint="default" w:ascii="Times New Roman" w:hAnsi="Times New Roman" w:eastAsia="方正仿宋_GBK" w:cs="Times New Roman"/>
          <w:b w:val="0"/>
          <w:kern w:val="0"/>
          <w:sz w:val="32"/>
          <w:szCs w:val="32"/>
          <w:lang w:val="en-US" w:eastAsia="zh-CN" w:bidi="ar-SA"/>
        </w:rPr>
      </w:pP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b w:val="0"/>
          <w:kern w:val="0"/>
          <w:sz w:val="32"/>
          <w:szCs w:val="32"/>
          <w:lang w:val="en-US" w:eastAsia="zh-CN" w:bidi="ar-SA"/>
        </w:rPr>
        <w:t>13594540995</w:t>
      </w:r>
    </w:p>
    <w:p>
      <w:pPr>
        <w:keepNext w:val="0"/>
        <w:keepLines w:val="0"/>
        <w:pageBreakBefore w:val="0"/>
        <w:widowControl w:val="0"/>
        <w:kinsoku/>
        <w:wordWrap/>
        <w:overflowPunct/>
        <w:topLinePunct w:val="0"/>
        <w:autoSpaceDE/>
        <w:autoSpaceDN/>
        <w:bidi w:val="0"/>
        <w:adjustRightInd/>
        <w:snapToGrid/>
        <w:spacing w:line="800" w:lineRule="exact"/>
        <w:ind w:firstLine="537" w:firstLineChars="16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项目主管部门：丰都县农业农村委员会</w:t>
      </w:r>
    </w:p>
    <w:p>
      <w:pPr>
        <w:keepNext w:val="0"/>
        <w:keepLines w:val="0"/>
        <w:pageBreakBefore w:val="0"/>
        <w:widowControl w:val="0"/>
        <w:kinsoku/>
        <w:wordWrap/>
        <w:overflowPunct/>
        <w:topLinePunct w:val="0"/>
        <w:autoSpaceDE/>
        <w:autoSpaceDN/>
        <w:bidi w:val="0"/>
        <w:adjustRightInd/>
        <w:snapToGrid/>
        <w:spacing w:line="800" w:lineRule="exact"/>
        <w:ind w:firstLine="537" w:firstLineChars="16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联系人：李洪                职务/职称：农艺师</w:t>
      </w:r>
    </w:p>
    <w:p>
      <w:pPr>
        <w:keepNext w:val="0"/>
        <w:keepLines w:val="0"/>
        <w:pageBreakBefore w:val="0"/>
        <w:widowControl w:val="0"/>
        <w:kinsoku/>
        <w:wordWrap/>
        <w:overflowPunct/>
        <w:topLinePunct w:val="0"/>
        <w:autoSpaceDE/>
        <w:autoSpaceDN/>
        <w:bidi w:val="0"/>
        <w:adjustRightInd/>
        <w:snapToGrid/>
        <w:spacing w:line="800" w:lineRule="exact"/>
        <w:ind w:firstLine="537" w:firstLineChars="16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办公电话：023-70719709      移动电话：13658438753</w:t>
      </w:r>
    </w:p>
    <w:p>
      <w:pPr>
        <w:spacing w:line="700" w:lineRule="exact"/>
        <w:rPr>
          <w:rFonts w:hint="default" w:ascii="Times New Roman" w:hAnsi="Times New Roman" w:eastAsia="方正仿宋_GBK" w:cs="Times New Roman"/>
          <w:sz w:val="32"/>
          <w:szCs w:val="32"/>
        </w:rPr>
      </w:pPr>
    </w:p>
    <w:p>
      <w:pPr>
        <w:spacing w:line="700" w:lineRule="exact"/>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ind w:firstLine="1920" w:firstLineChars="6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填报日期：202</w:t>
      </w:r>
      <w:r>
        <w:rPr>
          <w:rFonts w:hint="default"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cs="Times New Roman"/>
          <w:sz w:val="32"/>
          <w:szCs w:val="32"/>
          <w:lang w:val="en-US" w:eastAsia="zh-CN"/>
        </w:rPr>
        <w:t>9</w:t>
      </w:r>
      <w:r>
        <w:rPr>
          <w:rFonts w:hint="default" w:ascii="Times New Roman" w:hAnsi="Times New Roman" w:eastAsia="方正仿宋_GBK" w:cs="Times New Roman"/>
          <w:sz w:val="32"/>
          <w:szCs w:val="32"/>
        </w:rPr>
        <w:t>月8日</w:t>
      </w:r>
    </w:p>
    <w:p>
      <w:pPr>
        <w:rPr>
          <w:rFonts w:hint="default" w:ascii="Times New Roman" w:hAnsi="Times New Roman" w:eastAsia="仿宋" w:cs="Times New Roman"/>
          <w:sz w:val="32"/>
          <w:szCs w:val="32"/>
        </w:rPr>
      </w:pPr>
    </w:p>
    <w:p>
      <w:pPr>
        <w:pStyle w:val="17"/>
        <w:ind w:left="0" w:leftChars="0" w:firstLine="0" w:firstLineChars="0"/>
        <w:rPr>
          <w:rFonts w:hint="default" w:ascii="Times New Roman" w:hAnsi="Times New Roman" w:cs="Times New Roman"/>
        </w:rPr>
      </w:pPr>
    </w:p>
    <w:p>
      <w:pPr>
        <w:pStyle w:val="17"/>
        <w:ind w:left="0" w:leftChars="0" w:firstLine="0" w:firstLineChars="0"/>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val="0"/>
        <w:snapToGrid/>
        <w:spacing w:line="600" w:lineRule="exact"/>
        <w:ind w:firstLine="640" w:firstLineChars="200"/>
        <w:jc w:val="both"/>
        <w:textAlignment w:val="auto"/>
        <w:rPr>
          <w:rFonts w:hint="default" w:ascii="Times New Roman" w:hAnsi="Times New Roman" w:eastAsia="方正黑体_GBK" w:cs="Times New Roman"/>
          <w:b w:val="0"/>
          <w:bCs w:val="0"/>
          <w:color w:val="auto"/>
          <w:sz w:val="32"/>
          <w:szCs w:val="24"/>
          <w:lang w:val="en-US" w:eastAsia="zh-CN"/>
        </w:rPr>
      </w:pPr>
      <w:r>
        <w:rPr>
          <w:rFonts w:hint="default" w:ascii="Times New Roman" w:hAnsi="Times New Roman" w:eastAsia="方正黑体_GBK" w:cs="Times New Roman"/>
          <w:b w:val="0"/>
          <w:bCs w:val="0"/>
          <w:color w:val="auto"/>
          <w:sz w:val="32"/>
          <w:szCs w:val="24"/>
          <w:lang w:val="en-US" w:eastAsia="zh-CN"/>
        </w:rPr>
        <w:t>一、项目所涉产业发展现状</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rPr>
          <w:rFonts w:hint="default" w:ascii="Times New Roman" w:hAnsi="Times New Roman" w:eastAsia="方正仿宋_GBK" w:cs="Times New Roman"/>
          <w:b w:val="0"/>
          <w:kern w:val="0"/>
          <w:sz w:val="32"/>
          <w:szCs w:val="32"/>
          <w:lang w:val="en-US" w:eastAsia="zh-CN" w:bidi="ar-SA"/>
        </w:rPr>
      </w:pPr>
      <w:r>
        <w:rPr>
          <w:rFonts w:hint="default" w:ascii="Times New Roman" w:hAnsi="Times New Roman" w:eastAsia="方正楷体_GBK" w:cs="Times New Roman"/>
          <w:b w:val="0"/>
          <w:bCs w:val="0"/>
          <w:color w:val="auto"/>
          <w:sz w:val="32"/>
          <w:szCs w:val="24"/>
          <w:lang w:val="zh-CN" w:eastAsia="zh-CN"/>
        </w:rPr>
        <w:t>（</w:t>
      </w:r>
      <w:r>
        <w:rPr>
          <w:rFonts w:hint="default" w:ascii="Times New Roman" w:hAnsi="Times New Roman" w:eastAsia="方正楷体_GBK" w:cs="Times New Roman"/>
          <w:b w:val="0"/>
          <w:bCs w:val="0"/>
          <w:color w:val="auto"/>
          <w:sz w:val="32"/>
          <w:szCs w:val="24"/>
          <w:lang w:val="en-US" w:eastAsia="zh-CN"/>
        </w:rPr>
        <w:t>一</w:t>
      </w:r>
      <w:r>
        <w:rPr>
          <w:rFonts w:hint="default" w:ascii="Times New Roman" w:hAnsi="Times New Roman" w:eastAsia="方正楷体_GBK" w:cs="Times New Roman"/>
          <w:b w:val="0"/>
          <w:bCs w:val="0"/>
          <w:color w:val="auto"/>
          <w:sz w:val="32"/>
          <w:szCs w:val="24"/>
          <w:lang w:val="zh-CN" w:eastAsia="zh-CN"/>
        </w:rPr>
        <w:t>）产业发展初具规模。</w:t>
      </w:r>
      <w:r>
        <w:rPr>
          <w:rFonts w:hint="default" w:ascii="Times New Roman" w:hAnsi="Times New Roman" w:eastAsia="方正仿宋_GBK" w:cs="Times New Roman"/>
          <w:b w:val="0"/>
          <w:kern w:val="0"/>
          <w:sz w:val="32"/>
          <w:szCs w:val="32"/>
          <w:lang w:val="en-US" w:eastAsia="zh-CN" w:bidi="ar-SA"/>
        </w:rPr>
        <w:t>榨菜自清朝光绪年间传入丰都已有一百多年历史，丰都榨菜种植条件得天独厚，是国内榨菜原料品质最好的产地之一。目前全县榨菜种植面积近30万亩、产量45万吨，产值超6亿元，覆盖25个乡镇（街道），其中面积在1万亩以上的乡镇7个，2万亩以上乡镇4个，榨菜已成为全县“1+4+X”特色农业主导产业之一。</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rPr>
          <w:rFonts w:hint="default" w:ascii="Times New Roman" w:hAnsi="Times New Roman" w:eastAsia="方正仿宋_GBK" w:cs="Times New Roman"/>
          <w:b w:val="0"/>
          <w:kern w:val="0"/>
          <w:sz w:val="32"/>
          <w:szCs w:val="32"/>
          <w:lang w:val="en-US" w:eastAsia="zh-CN" w:bidi="ar-SA"/>
        </w:rPr>
      </w:pPr>
      <w:r>
        <w:rPr>
          <w:rFonts w:hint="default" w:ascii="Times New Roman" w:hAnsi="Times New Roman" w:eastAsia="方正楷体_GBK" w:cs="Times New Roman"/>
          <w:b w:val="0"/>
          <w:bCs w:val="0"/>
          <w:color w:val="auto"/>
          <w:sz w:val="32"/>
          <w:szCs w:val="24"/>
          <w:lang w:val="zh-CN" w:eastAsia="zh-CN"/>
        </w:rPr>
        <w:t>（</w:t>
      </w:r>
      <w:r>
        <w:rPr>
          <w:rFonts w:hint="default" w:ascii="Times New Roman" w:hAnsi="Times New Roman" w:eastAsia="方正楷体_GBK" w:cs="Times New Roman"/>
          <w:b w:val="0"/>
          <w:bCs w:val="0"/>
          <w:color w:val="auto"/>
          <w:sz w:val="32"/>
          <w:szCs w:val="24"/>
          <w:lang w:val="en-US" w:eastAsia="zh-CN"/>
        </w:rPr>
        <w:t>二</w:t>
      </w:r>
      <w:r>
        <w:rPr>
          <w:rFonts w:hint="default" w:ascii="Times New Roman" w:hAnsi="Times New Roman" w:eastAsia="方正楷体_GBK" w:cs="Times New Roman"/>
          <w:b w:val="0"/>
          <w:bCs w:val="0"/>
          <w:color w:val="auto"/>
          <w:sz w:val="32"/>
          <w:szCs w:val="24"/>
          <w:lang w:val="zh-CN" w:eastAsia="zh-CN"/>
        </w:rPr>
        <w:t>）经营主体逐步壮大。</w:t>
      </w:r>
      <w:r>
        <w:rPr>
          <w:rFonts w:hint="default" w:ascii="Times New Roman" w:hAnsi="Times New Roman" w:eastAsia="方正仿宋_GBK" w:cs="Times New Roman"/>
          <w:b w:val="0"/>
          <w:kern w:val="0"/>
          <w:sz w:val="32"/>
          <w:szCs w:val="32"/>
          <w:lang w:val="en-US" w:eastAsia="zh-CN" w:bidi="ar-SA"/>
        </w:rPr>
        <w:t>为培育壮大榨菜产业企业群体，全县引进培育三和实业、叠韵食品、川王子、邱家、乔什5家龙头企业（其中市级龙头企业2家、县级龙头企业3家），从事榨菜基地建设和精深加工，青菜头精深加工能力达到15万吨，从事榨菜种植的专业合作社80余个，从事榨菜初加工的专业合作社及大户约160家，榨菜初加工能力近10万吨。</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b w:val="0"/>
          <w:bCs w:val="0"/>
          <w:color w:val="auto"/>
          <w:sz w:val="32"/>
          <w:szCs w:val="24"/>
          <w:lang w:val="zh-CN" w:eastAsia="zh-CN"/>
        </w:rPr>
        <w:t>（</w:t>
      </w:r>
      <w:r>
        <w:rPr>
          <w:rFonts w:hint="default" w:ascii="Times New Roman" w:hAnsi="Times New Roman" w:eastAsia="方正楷体_GBK" w:cs="Times New Roman"/>
          <w:b w:val="0"/>
          <w:bCs w:val="0"/>
          <w:color w:val="auto"/>
          <w:sz w:val="32"/>
          <w:szCs w:val="24"/>
          <w:lang w:val="en-US" w:eastAsia="zh-CN"/>
        </w:rPr>
        <w:t>三</w:t>
      </w:r>
      <w:r>
        <w:rPr>
          <w:rFonts w:hint="default" w:ascii="Times New Roman" w:hAnsi="Times New Roman" w:eastAsia="方正楷体_GBK" w:cs="Times New Roman"/>
          <w:b w:val="0"/>
          <w:bCs w:val="0"/>
          <w:color w:val="auto"/>
          <w:sz w:val="32"/>
          <w:szCs w:val="24"/>
          <w:lang w:val="zh-CN" w:eastAsia="zh-CN"/>
        </w:rPr>
        <w:t>）经济效益较为良好。</w:t>
      </w:r>
      <w:r>
        <w:rPr>
          <w:rFonts w:hint="default" w:ascii="Times New Roman" w:hAnsi="Times New Roman" w:eastAsia="方正仿宋_GBK" w:cs="Times New Roman"/>
          <w:kern w:val="0"/>
          <w:sz w:val="32"/>
          <w:szCs w:val="32"/>
          <w:lang w:val="en-US" w:eastAsia="zh-CN" w:bidi="ar-SA"/>
        </w:rPr>
        <w:t>榨菜种植具有投资少、成本低、产量高、效益好的特点。榨菜种植乡镇去年年人均增收都在2000元以上。社坛镇榨菜种植纯收益1500/亩（不含劳动力）以上，人均增收2500元，十直镇也实现人均增收2500元。叠韵食品、邱家等五家榨菜企业2020年创税911万元。其中三和实业某个榨菜单品产品出口量多年保持全市第一，每年出口达800万美元。</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b w:val="0"/>
          <w:bCs w:val="0"/>
          <w:color w:val="auto"/>
          <w:sz w:val="32"/>
          <w:szCs w:val="24"/>
          <w:lang w:val="zh-CN" w:eastAsia="zh-CN"/>
        </w:rPr>
        <w:t>（</w:t>
      </w:r>
      <w:r>
        <w:rPr>
          <w:rFonts w:hint="default" w:ascii="Times New Roman" w:hAnsi="Times New Roman" w:eastAsia="方正楷体_GBK" w:cs="Times New Roman"/>
          <w:b w:val="0"/>
          <w:bCs w:val="0"/>
          <w:color w:val="auto"/>
          <w:sz w:val="32"/>
          <w:szCs w:val="24"/>
          <w:lang w:val="en-US" w:eastAsia="zh-CN"/>
        </w:rPr>
        <w:t>四</w:t>
      </w:r>
      <w:r>
        <w:rPr>
          <w:rFonts w:hint="default" w:ascii="Times New Roman" w:hAnsi="Times New Roman" w:eastAsia="方正楷体_GBK" w:cs="Times New Roman"/>
          <w:b w:val="0"/>
          <w:bCs w:val="0"/>
          <w:color w:val="auto"/>
          <w:sz w:val="32"/>
          <w:szCs w:val="24"/>
          <w:lang w:val="zh-CN" w:eastAsia="zh-CN"/>
        </w:rPr>
        <w:t>）品牌效应初步显现。</w:t>
      </w:r>
      <w:r>
        <w:rPr>
          <w:rFonts w:hint="default" w:ascii="Times New Roman" w:hAnsi="Times New Roman" w:eastAsia="方正仿宋_GBK" w:cs="Times New Roman"/>
          <w:kern w:val="0"/>
          <w:sz w:val="32"/>
          <w:szCs w:val="32"/>
          <w:lang w:val="en-US" w:eastAsia="zh-CN" w:bidi="ar-SA"/>
        </w:rPr>
        <w:t>“丰都榨菜”于2012年获得了国家地理标志证明商标，丰都青菜头纳入“涪陵榨菜”地理标志地域保护范围，丰都被认定为“榨菜·国家级出口食品质量安全示范区”，“国家榨菜外贸转型升级示范基地”。又成功获批国家长江上游榨菜优势产业集群，与涪陵、长寿、垫江联合打造重庆长江上游榨菜产业集群。</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b w:val="0"/>
          <w:bCs w:val="0"/>
          <w:color w:val="auto"/>
          <w:sz w:val="32"/>
          <w:szCs w:val="24"/>
          <w:lang w:val="zh-CN" w:eastAsia="zh-CN"/>
        </w:rPr>
        <w:t>（</w:t>
      </w:r>
      <w:r>
        <w:rPr>
          <w:rFonts w:hint="default" w:ascii="Times New Roman" w:hAnsi="Times New Roman" w:eastAsia="方正楷体_GBK" w:cs="Times New Roman"/>
          <w:b w:val="0"/>
          <w:bCs w:val="0"/>
          <w:color w:val="auto"/>
          <w:sz w:val="32"/>
          <w:szCs w:val="24"/>
          <w:lang w:val="en-US" w:eastAsia="zh-CN"/>
        </w:rPr>
        <w:t>五</w:t>
      </w:r>
      <w:r>
        <w:rPr>
          <w:rFonts w:hint="default" w:ascii="Times New Roman" w:hAnsi="Times New Roman" w:eastAsia="方正楷体_GBK" w:cs="Times New Roman"/>
          <w:b w:val="0"/>
          <w:bCs w:val="0"/>
          <w:color w:val="auto"/>
          <w:sz w:val="32"/>
          <w:szCs w:val="24"/>
          <w:lang w:val="zh-CN" w:eastAsia="zh-CN"/>
        </w:rPr>
        <w:t>）市场体系日益完善。</w:t>
      </w:r>
      <w:r>
        <w:rPr>
          <w:rFonts w:hint="default" w:ascii="Times New Roman" w:hAnsi="Times New Roman" w:eastAsia="方正仿宋_GBK" w:cs="Times New Roman"/>
          <w:kern w:val="0"/>
          <w:sz w:val="32"/>
          <w:szCs w:val="32"/>
          <w:lang w:val="en-US" w:eastAsia="zh-CN" w:bidi="ar-SA"/>
        </w:rPr>
        <w:t>丰都榨菜产品形成了以坛装榨菜为主的全形榨菜，以小包装精制榨菜为主的方便榨菜，以听、瓶、盒装式的高档榨菜及出口榨菜几大系列，20余个品种，培育有“乡姑”“乔什”“川王子”等榨菜品牌，产品主要销往全国各地及日本、韩国等多个国家和地区。</w:t>
      </w:r>
    </w:p>
    <w:p>
      <w:pPr>
        <w:keepNext w:val="0"/>
        <w:keepLines w:val="0"/>
        <w:pageBreakBefore w:val="0"/>
        <w:widowControl/>
        <w:kinsoku/>
        <w:wordWrap/>
        <w:overflowPunct/>
        <w:topLinePunct w:val="0"/>
        <w:autoSpaceDE/>
        <w:autoSpaceDN/>
        <w:bidi w:val="0"/>
        <w:adjustRightInd w:val="0"/>
        <w:snapToGrid/>
        <w:spacing w:line="600" w:lineRule="exact"/>
        <w:ind w:firstLine="640" w:firstLineChars="200"/>
        <w:jc w:val="both"/>
        <w:textAlignment w:val="auto"/>
        <w:rPr>
          <w:rFonts w:hint="default" w:ascii="Times New Roman" w:hAnsi="Times New Roman" w:eastAsia="方正黑体_GBK" w:cs="Times New Roman"/>
          <w:b w:val="0"/>
          <w:bCs w:val="0"/>
          <w:color w:val="auto"/>
          <w:sz w:val="32"/>
          <w:lang w:val="en-US" w:eastAsia="zh-CN"/>
        </w:rPr>
      </w:pPr>
      <w:r>
        <w:rPr>
          <w:rFonts w:hint="default" w:ascii="Times New Roman" w:hAnsi="Times New Roman" w:eastAsia="方正黑体_GBK" w:cs="Times New Roman"/>
          <w:b w:val="0"/>
          <w:bCs w:val="0"/>
          <w:color w:val="auto"/>
          <w:sz w:val="32"/>
        </w:rPr>
        <w:t>二、</w:t>
      </w:r>
      <w:r>
        <w:rPr>
          <w:rFonts w:hint="default" w:ascii="Times New Roman" w:hAnsi="Times New Roman" w:eastAsia="方正黑体_GBK" w:cs="Times New Roman"/>
          <w:b w:val="0"/>
          <w:bCs w:val="0"/>
          <w:color w:val="auto"/>
          <w:sz w:val="32"/>
          <w:lang w:val="en-US" w:eastAsia="zh-CN"/>
        </w:rPr>
        <w:t>项目建任务</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rPr>
          <w:rFonts w:hint="default" w:ascii="Times New Roman" w:hAnsi="Times New Roman" w:eastAsia="方正楷体_GBK" w:cs="Times New Roman"/>
          <w:b w:val="0"/>
          <w:bCs w:val="0"/>
          <w:color w:val="auto"/>
          <w:sz w:val="32"/>
          <w:szCs w:val="24"/>
          <w:lang w:val="zh-CN" w:eastAsia="zh-CN"/>
        </w:rPr>
      </w:pPr>
      <w:r>
        <w:rPr>
          <w:rFonts w:hint="default" w:ascii="Times New Roman" w:hAnsi="Times New Roman" w:eastAsia="方正楷体_GBK" w:cs="Times New Roman"/>
          <w:b w:val="0"/>
          <w:bCs w:val="0"/>
          <w:color w:val="auto"/>
          <w:sz w:val="32"/>
          <w:szCs w:val="24"/>
          <w:lang w:val="zh-CN" w:eastAsia="zh-CN"/>
        </w:rPr>
        <w:t>（</w:t>
      </w:r>
      <w:r>
        <w:rPr>
          <w:rFonts w:hint="default" w:ascii="Times New Roman" w:hAnsi="Times New Roman" w:eastAsia="方正楷体_GBK" w:cs="Times New Roman"/>
          <w:b w:val="0"/>
          <w:bCs w:val="0"/>
          <w:color w:val="auto"/>
          <w:sz w:val="32"/>
          <w:szCs w:val="24"/>
          <w:lang w:val="en-US" w:eastAsia="zh-CN"/>
        </w:rPr>
        <w:t>一</w:t>
      </w:r>
      <w:r>
        <w:rPr>
          <w:rFonts w:hint="default" w:ascii="Times New Roman" w:hAnsi="Times New Roman" w:eastAsia="方正楷体_GBK" w:cs="Times New Roman"/>
          <w:b w:val="0"/>
          <w:bCs w:val="0"/>
          <w:color w:val="auto"/>
          <w:sz w:val="32"/>
          <w:szCs w:val="24"/>
          <w:lang w:val="zh-CN" w:eastAsia="zh-CN"/>
        </w:rPr>
        <w:t>）项目任务计划</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b w:val="0"/>
          <w:kern w:val="0"/>
          <w:sz w:val="32"/>
          <w:szCs w:val="32"/>
          <w:lang w:val="en-US" w:eastAsia="zh-CN" w:bidi="ar-SA"/>
        </w:rPr>
      </w:pPr>
      <w:r>
        <w:rPr>
          <w:rFonts w:hint="default" w:ascii="Times New Roman" w:hAnsi="Times New Roman" w:eastAsia="方正仿宋_GBK" w:cs="Times New Roman"/>
          <w:b w:val="0"/>
          <w:kern w:val="0"/>
          <w:sz w:val="32"/>
          <w:szCs w:val="32"/>
          <w:lang w:val="en-US" w:eastAsia="zh-CN" w:bidi="ar-SA"/>
        </w:rPr>
        <w:t>2021年4月，农业农村部办公厅、财政部办公厅共同发布《关于公布2021年农业产业融合发展项目创建名单的通知》（农办计财〔2021〕9号），重庆长江上游榨菜产业集群成功入选，丰都具备种植榨菜原料作物得天独厚的自然环境优势，是重庆榨菜产业集群上重要的原料供应基地和初加工中心。</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b w:val="0"/>
          <w:kern w:val="0"/>
          <w:sz w:val="32"/>
          <w:szCs w:val="32"/>
          <w:lang w:val="en-US" w:eastAsia="zh-CN" w:bidi="ar-SA"/>
        </w:rPr>
      </w:pPr>
      <w:r>
        <w:rPr>
          <w:rFonts w:hint="default" w:ascii="Times New Roman" w:hAnsi="Times New Roman" w:eastAsia="方正仿宋_GBK" w:cs="Times New Roman"/>
          <w:b w:val="0"/>
          <w:kern w:val="0"/>
          <w:sz w:val="32"/>
          <w:szCs w:val="32"/>
          <w:lang w:val="en-US" w:eastAsia="zh-CN" w:bidi="ar-SA"/>
        </w:rPr>
        <w:t>2023年4月25日，数字重庆建设大会召开。市委书记、数字重庆建设领导小组组长袁家军主持会议并讲话。建设数字重庆是现代化新重庆建设的关键变量，是全面深化改革的突破性抓手，必须牢牢把握总体目标、重点任务。丰都数字榨菜产业分中心的建设是数字重庆整体布局建设的有机组成元素，是区县城市运行和治理的产业数据重要来源之一，是数字重庆建设大会会议精神的实践体现。通过数字榨菜平台建设、数字榨菜软件开发和榨菜物联网智能设备的部署，前瞻性、科学性、创新性地开展数字农业建设，实现丰都榨菜产业与大数据、物联网技术的深度融合与高价值应用，同时，为丰都榨菜产业的监管治理现代化提供强有力的支撑。</w:t>
      </w:r>
    </w:p>
    <w:p>
      <w:pPr>
        <w:pStyle w:val="92"/>
        <w:keepNext w:val="0"/>
        <w:keepLines w:val="0"/>
        <w:pageBreakBefore w:val="0"/>
        <w:numPr>
          <w:ilvl w:val="0"/>
          <w:numId w:val="4"/>
        </w:numPr>
        <w:kinsoku/>
        <w:wordWrap/>
        <w:overflowPunct/>
        <w:topLinePunct w:val="0"/>
        <w:autoSpaceDE/>
        <w:autoSpaceDN/>
        <w:bidi w:val="0"/>
        <w:adjustRightInd/>
        <w:snapToGrid/>
        <w:spacing w:line="600" w:lineRule="exact"/>
        <w:ind w:firstLine="482"/>
        <w:rPr>
          <w:rFonts w:hint="default" w:ascii="Times New Roman" w:hAnsi="Times New Roman" w:eastAsia="方正楷体_GBK" w:cs="Times New Roman"/>
          <w:b w:val="0"/>
          <w:bCs w:val="0"/>
          <w:color w:val="auto"/>
          <w:kern w:val="2"/>
          <w:sz w:val="32"/>
          <w:szCs w:val="24"/>
          <w:lang w:val="en-US" w:eastAsia="zh-CN" w:bidi="ar-SA"/>
        </w:rPr>
      </w:pPr>
      <w:r>
        <w:rPr>
          <w:rFonts w:hint="default" w:ascii="Times New Roman" w:hAnsi="Times New Roman" w:eastAsia="方正楷体_GBK" w:cs="Times New Roman"/>
          <w:b w:val="0"/>
          <w:bCs w:val="0"/>
          <w:color w:val="auto"/>
          <w:kern w:val="2"/>
          <w:sz w:val="32"/>
          <w:szCs w:val="24"/>
          <w:lang w:val="en-US" w:eastAsia="zh-CN" w:bidi="ar-SA"/>
        </w:rPr>
        <w:t>项目建设地点</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b w:val="0"/>
          <w:kern w:val="0"/>
          <w:sz w:val="32"/>
          <w:szCs w:val="32"/>
          <w:lang w:val="en-US" w:eastAsia="zh-CN" w:bidi="ar-SA"/>
        </w:rPr>
      </w:pPr>
      <w:r>
        <w:rPr>
          <w:rFonts w:hint="default" w:ascii="Times New Roman" w:hAnsi="Times New Roman" w:eastAsia="方正仿宋_GBK" w:cs="Times New Roman"/>
          <w:b w:val="0"/>
          <w:kern w:val="0"/>
          <w:sz w:val="32"/>
          <w:szCs w:val="32"/>
          <w:lang w:val="en-US" w:eastAsia="zh-CN" w:bidi="ar-SA"/>
        </w:rPr>
        <w:t>丰都县仙女湖镇、社坛镇、虎威镇、兴龙镇、十直镇等。</w:t>
      </w:r>
    </w:p>
    <w:p>
      <w:pPr>
        <w:pStyle w:val="92"/>
        <w:keepNext w:val="0"/>
        <w:keepLines w:val="0"/>
        <w:pageBreakBefore w:val="0"/>
        <w:kinsoku/>
        <w:wordWrap/>
        <w:overflowPunct/>
        <w:topLinePunct w:val="0"/>
        <w:autoSpaceDE/>
        <w:autoSpaceDN/>
        <w:bidi w:val="0"/>
        <w:adjustRightInd/>
        <w:snapToGrid/>
        <w:spacing w:line="600" w:lineRule="exact"/>
        <w:ind w:firstLine="482"/>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b w:val="0"/>
          <w:bCs w:val="0"/>
          <w:color w:val="auto"/>
          <w:kern w:val="2"/>
          <w:sz w:val="32"/>
          <w:szCs w:val="24"/>
          <w:lang w:val="en-US" w:eastAsia="zh-CN" w:bidi="ar-SA"/>
        </w:rPr>
        <w:t>（三）项目建设内容</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b w:val="0"/>
          <w:kern w:val="0"/>
          <w:sz w:val="32"/>
          <w:szCs w:val="32"/>
          <w:lang w:val="en-US" w:eastAsia="zh-CN" w:bidi="ar-SA"/>
        </w:rPr>
      </w:pPr>
      <w:r>
        <w:rPr>
          <w:rFonts w:hint="default" w:ascii="Times New Roman" w:hAnsi="Times New Roman" w:eastAsia="方正仿宋_GBK" w:cs="Times New Roman"/>
          <w:b w:val="0"/>
          <w:kern w:val="0"/>
          <w:sz w:val="32"/>
          <w:szCs w:val="32"/>
          <w:lang w:val="en-US" w:eastAsia="zh-CN" w:bidi="ar-SA"/>
        </w:rPr>
        <w:t>1.“1”个数字榨菜支撑平台建设</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b w:val="0"/>
          <w:kern w:val="0"/>
          <w:sz w:val="32"/>
          <w:szCs w:val="32"/>
          <w:lang w:val="en-US" w:eastAsia="zh-CN" w:bidi="ar-SA"/>
        </w:rPr>
      </w:pPr>
      <w:r>
        <w:rPr>
          <w:rFonts w:hint="default" w:ascii="Times New Roman" w:hAnsi="Times New Roman" w:eastAsia="方正仿宋_GBK" w:cs="Times New Roman"/>
          <w:b w:val="0"/>
          <w:kern w:val="0"/>
          <w:sz w:val="32"/>
          <w:szCs w:val="32"/>
          <w:lang w:val="en-US" w:eastAsia="zh-CN" w:bidi="ar-SA"/>
        </w:rPr>
        <w:t>以云计算、物联网、边缘计算、大数据等技术，构建丰都数字榨菜产业分中心项目底座平台，核心提供物联接入、数据管理、系统对接、支撑工具和IT运行环境等功能，高效、可靠、安全支撑本项目数字化管理和智慧化产业服务。</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b w:val="0"/>
          <w:kern w:val="0"/>
          <w:sz w:val="32"/>
          <w:szCs w:val="32"/>
          <w:lang w:val="en-US" w:eastAsia="zh-CN" w:bidi="ar-SA"/>
        </w:rPr>
      </w:pPr>
      <w:r>
        <w:rPr>
          <w:rFonts w:hint="default" w:ascii="Times New Roman" w:hAnsi="Times New Roman" w:eastAsia="方正仿宋_GBK" w:cs="Times New Roman"/>
          <w:b w:val="0"/>
          <w:kern w:val="0"/>
          <w:sz w:val="32"/>
          <w:szCs w:val="32"/>
          <w:lang w:val="en-US" w:eastAsia="zh-CN" w:bidi="ar-SA"/>
        </w:rPr>
        <w:t>2.“1”个榨菜智慧种植服务系统建设</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b w:val="0"/>
          <w:kern w:val="0"/>
          <w:sz w:val="32"/>
          <w:szCs w:val="32"/>
          <w:lang w:val="en-US" w:eastAsia="zh-CN" w:bidi="ar-SA"/>
        </w:rPr>
        <w:t>智慧种植服务系统，面向榨菜种植户设计，包括地块管理、农事月历、四情监测预警、水肥药决策指导、精准气象、采收管理、田间巡检、园区安防监控、专家问诊等，实现榨菜种植作业数字化管理，帮助农户实现种植作业信息化管理，提高生产效率和管理水平。</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b w:val="0"/>
          <w:kern w:val="0"/>
          <w:sz w:val="32"/>
          <w:szCs w:val="32"/>
          <w:lang w:val="en-US" w:eastAsia="zh-CN" w:bidi="ar-SA"/>
        </w:rPr>
      </w:pPr>
      <w:r>
        <w:rPr>
          <w:rFonts w:hint="default" w:ascii="Times New Roman" w:hAnsi="Times New Roman" w:eastAsia="方正仿宋_GBK" w:cs="Times New Roman"/>
          <w:b w:val="0"/>
          <w:kern w:val="0"/>
          <w:sz w:val="32"/>
          <w:szCs w:val="32"/>
          <w:lang w:val="en-US" w:eastAsia="zh-CN" w:bidi="ar-SA"/>
        </w:rPr>
        <w:t>3.“1”个榨菜产业综合服务系统建设</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b w:val="0"/>
          <w:kern w:val="0"/>
          <w:sz w:val="32"/>
          <w:szCs w:val="32"/>
          <w:lang w:val="en-US" w:eastAsia="zh-CN" w:bidi="ar-SA"/>
        </w:rPr>
      </w:pPr>
      <w:r>
        <w:rPr>
          <w:rFonts w:hint="default" w:ascii="Times New Roman" w:hAnsi="Times New Roman" w:eastAsia="方正仿宋_GBK" w:cs="Times New Roman"/>
          <w:b w:val="0"/>
          <w:kern w:val="0"/>
          <w:sz w:val="32"/>
          <w:szCs w:val="32"/>
          <w:lang w:val="en-US" w:eastAsia="zh-CN" w:bidi="ar-SA"/>
        </w:rPr>
        <w:t>榨菜产业综合服务系统，围绕榨菜种植户、收购企业、加工企业、社会化服务组织、金融保险机构及丰都县农业农村委员会多方面的需求，从产、销、服的三个方向建设数字榨菜产业服务系统，并支持移动端快捷应用，提供榨菜产业链各个角色参与入口、在线化服务、资源对接渠道，高效地支撑数字榨菜产业分中心的信息资讯服务、金融保险服务、社会化服务、交易撮合、基层数据上报。</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b w:val="0"/>
          <w:kern w:val="0"/>
          <w:sz w:val="32"/>
          <w:szCs w:val="32"/>
          <w:lang w:val="en-US" w:eastAsia="zh-CN" w:bidi="ar-SA"/>
        </w:rPr>
      </w:pPr>
      <w:r>
        <w:rPr>
          <w:rFonts w:hint="default" w:ascii="Times New Roman" w:hAnsi="Times New Roman" w:eastAsia="方正仿宋_GBK" w:cs="Times New Roman"/>
          <w:b w:val="0"/>
          <w:kern w:val="0"/>
          <w:sz w:val="32"/>
          <w:szCs w:val="32"/>
          <w:lang w:val="en-US" w:eastAsia="zh-CN" w:bidi="ar-SA"/>
        </w:rPr>
        <w:t>4.“1”个榨菜产业云图系统建设</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b w:val="0"/>
          <w:kern w:val="0"/>
          <w:sz w:val="32"/>
          <w:szCs w:val="32"/>
          <w:lang w:val="en-US" w:eastAsia="zh-CN" w:bidi="ar-SA"/>
        </w:rPr>
      </w:pPr>
      <w:r>
        <w:rPr>
          <w:rFonts w:hint="default" w:ascii="Times New Roman" w:hAnsi="Times New Roman" w:eastAsia="方正仿宋_GBK" w:cs="Times New Roman"/>
          <w:b w:val="0"/>
          <w:kern w:val="0"/>
          <w:sz w:val="32"/>
          <w:szCs w:val="32"/>
          <w:lang w:val="en-US" w:eastAsia="zh-CN" w:bidi="ar-SA"/>
        </w:rPr>
        <w:t>榨菜产业云图，面向相关监管部门用户设计，旨在从宏观层面对丰都全域榨菜种植生产情况、产业经济信息等进行汇总展示，提升榨菜产业监管部门监管、决策、分析和服务能力。</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b w:val="0"/>
          <w:kern w:val="0"/>
          <w:sz w:val="32"/>
          <w:szCs w:val="32"/>
          <w:lang w:val="en-US" w:eastAsia="zh-CN" w:bidi="ar-SA"/>
        </w:rPr>
      </w:pPr>
      <w:r>
        <w:rPr>
          <w:rFonts w:hint="default" w:ascii="Times New Roman" w:hAnsi="Times New Roman" w:eastAsia="方正仿宋_GBK" w:cs="Times New Roman"/>
          <w:b w:val="0"/>
          <w:kern w:val="0"/>
          <w:sz w:val="32"/>
          <w:szCs w:val="32"/>
          <w:lang w:val="en-US" w:eastAsia="zh-CN" w:bidi="ar-SA"/>
        </w:rPr>
        <w:t>5.“1”个高山榨菜特色应用系统建设</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b w:val="0"/>
          <w:kern w:val="0"/>
          <w:sz w:val="32"/>
          <w:szCs w:val="32"/>
          <w:lang w:val="en-US" w:eastAsia="zh-CN" w:bidi="ar-SA"/>
        </w:rPr>
      </w:pPr>
      <w:r>
        <w:rPr>
          <w:rFonts w:hint="default" w:ascii="Times New Roman" w:hAnsi="Times New Roman" w:eastAsia="方正仿宋_GBK" w:cs="Times New Roman"/>
          <w:b w:val="0"/>
          <w:kern w:val="0"/>
          <w:sz w:val="32"/>
          <w:szCs w:val="32"/>
          <w:lang w:val="en-US" w:eastAsia="zh-CN" w:bidi="ar-SA"/>
        </w:rPr>
        <w:t>重点突出丰都高山榨菜特早熟、特晚熟品种优势，从地理区位优势、土壤环境、气候环境、采收产量、初/精加工、农残检测、绿色有机认证、国际出口资质、产品成分/含量等方面进行溯源、检测认证以及品牌包装等，打造丰都高山榨菜品牌标签。</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b w:val="0"/>
          <w:kern w:val="0"/>
          <w:sz w:val="32"/>
          <w:szCs w:val="32"/>
          <w:lang w:val="en-US" w:eastAsia="zh-CN" w:bidi="ar-SA"/>
        </w:rPr>
      </w:pPr>
      <w:r>
        <w:rPr>
          <w:rFonts w:hint="default" w:ascii="Times New Roman" w:hAnsi="Times New Roman" w:eastAsia="方正仿宋_GBK" w:cs="Times New Roman"/>
          <w:b w:val="0"/>
          <w:kern w:val="0"/>
          <w:sz w:val="32"/>
          <w:szCs w:val="32"/>
          <w:lang w:val="en-US" w:eastAsia="zh-CN" w:bidi="ar-SA"/>
        </w:rPr>
        <w:t>面向消费者可线上实时查看产品溯源信息、权威机构产品质量合格检测证书、产品宣传信息等，面向符合要求的种植户，提供品牌和检测认证赋能服务。</w:t>
      </w:r>
    </w:p>
    <w:p>
      <w:pPr>
        <w:pStyle w:val="92"/>
        <w:keepNext w:val="0"/>
        <w:keepLines w:val="0"/>
        <w:pageBreakBefore w:val="0"/>
        <w:kinsoku/>
        <w:wordWrap/>
        <w:overflowPunct/>
        <w:topLinePunct w:val="0"/>
        <w:autoSpaceDE/>
        <w:autoSpaceDN/>
        <w:bidi w:val="0"/>
        <w:adjustRightInd/>
        <w:snapToGrid/>
        <w:spacing w:line="600" w:lineRule="exact"/>
        <w:ind w:firstLine="480"/>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b w:val="0"/>
          <w:kern w:val="0"/>
          <w:sz w:val="32"/>
          <w:szCs w:val="32"/>
          <w:lang w:val="en-US" w:eastAsia="zh-CN" w:bidi="ar-SA"/>
        </w:rPr>
        <w:t>6.“1”个数字榨菜运管服务系统建设</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b w:val="0"/>
          <w:kern w:val="0"/>
          <w:sz w:val="32"/>
          <w:szCs w:val="32"/>
          <w:lang w:val="en-US" w:eastAsia="zh-CN" w:bidi="ar-SA"/>
        </w:rPr>
      </w:pPr>
      <w:r>
        <w:rPr>
          <w:rFonts w:hint="default" w:ascii="Times New Roman" w:hAnsi="Times New Roman" w:eastAsia="方正仿宋_GBK" w:cs="Times New Roman"/>
          <w:b w:val="0"/>
          <w:kern w:val="0"/>
          <w:sz w:val="32"/>
          <w:szCs w:val="32"/>
          <w:lang w:val="en-US" w:eastAsia="zh-CN" w:bidi="ar-SA"/>
        </w:rPr>
        <w:t>数字榨菜运管服务系统的建设基于丰都县农业农村委员会对丰都县榨菜产业所部署系统及榨菜产业发展进行监督、监管、协调统筹的需求。数字榨菜运管服务系统将对榨菜各系统的后台进行整合，对数据进行统一整合管理，主要服务于丰都县农业农村委员会管理人员。</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b w:val="0"/>
          <w:kern w:val="0"/>
          <w:sz w:val="32"/>
          <w:szCs w:val="32"/>
          <w:lang w:val="en-US" w:eastAsia="zh-CN" w:bidi="ar-SA"/>
        </w:rPr>
      </w:pPr>
      <w:r>
        <w:rPr>
          <w:rFonts w:hint="default" w:ascii="Times New Roman" w:hAnsi="Times New Roman" w:eastAsia="方正仿宋_GBK" w:cs="Times New Roman"/>
          <w:b w:val="0"/>
          <w:kern w:val="0"/>
          <w:sz w:val="32"/>
          <w:szCs w:val="32"/>
          <w:lang w:val="en-US" w:eastAsia="zh-CN" w:bidi="ar-SA"/>
        </w:rPr>
        <w:t>依托数字榨菜平台的数据交换能力、业务支持服务能力，提供注册审核、用户及角色管理、产业信息管理、资讯动态管理等相关功能。提升丰都县农业农村委员会权限管理能力，实现对丰都榨菜产业全局的发展决策把控。</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64" w:firstLineChars="200"/>
        <w:jc w:val="both"/>
        <w:textAlignment w:val="auto"/>
        <w:rPr>
          <w:rFonts w:hint="default" w:ascii="Times New Roman" w:hAnsi="Times New Roman" w:eastAsia="方正仿宋_GBK" w:cs="Times New Roman"/>
          <w:b w:val="0"/>
          <w:spacing w:val="6"/>
          <w:kern w:val="0"/>
          <w:sz w:val="32"/>
          <w:szCs w:val="32"/>
          <w:lang w:val="en-US" w:eastAsia="zh-CN" w:bidi="ar-SA"/>
        </w:rPr>
      </w:pPr>
      <w:r>
        <w:rPr>
          <w:rFonts w:hint="default" w:ascii="Times New Roman" w:hAnsi="Times New Roman" w:eastAsia="方正仿宋_GBK" w:cs="Times New Roman"/>
          <w:b w:val="0"/>
          <w:spacing w:val="6"/>
          <w:kern w:val="0"/>
          <w:sz w:val="32"/>
          <w:szCs w:val="32"/>
          <w:lang w:val="en-US" w:eastAsia="zh-CN" w:bidi="ar-SA"/>
        </w:rPr>
        <w:t>7.“5”个示范种植基地农业“四情”监测配套工程设备采购部署</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b w:val="0"/>
          <w:kern w:val="0"/>
          <w:sz w:val="32"/>
          <w:szCs w:val="32"/>
          <w:lang w:val="en-US" w:eastAsia="zh-CN" w:bidi="ar-SA"/>
        </w:rPr>
      </w:pPr>
      <w:r>
        <w:rPr>
          <w:rFonts w:hint="default" w:ascii="Times New Roman" w:hAnsi="Times New Roman" w:eastAsia="方正仿宋_GBK" w:cs="Times New Roman"/>
          <w:b w:val="0"/>
          <w:kern w:val="0"/>
          <w:sz w:val="32"/>
          <w:szCs w:val="32"/>
          <w:lang w:val="en-US" w:eastAsia="zh-CN" w:bidi="ar-SA"/>
        </w:rPr>
        <w:t>在丰都仙女湖镇、社坛镇、虎威镇等榨菜种植基地，进行智能化硬件部署，实现基地前端数据采集及传输。智能化硬件设备以农业“四情”监测为导向，主要包括榨菜种植基地苗情监测设备、虫情监测设备、墒情监测设备以及灾情监测设备。</w:t>
      </w:r>
    </w:p>
    <w:p>
      <w:pPr>
        <w:pStyle w:val="92"/>
        <w:keepNext w:val="0"/>
        <w:keepLines w:val="0"/>
        <w:pageBreakBefore w:val="0"/>
        <w:kinsoku/>
        <w:wordWrap/>
        <w:overflowPunct/>
        <w:topLinePunct w:val="0"/>
        <w:autoSpaceDE/>
        <w:autoSpaceDN/>
        <w:bidi w:val="0"/>
        <w:adjustRightInd/>
        <w:snapToGrid/>
        <w:spacing w:line="600" w:lineRule="exact"/>
        <w:ind w:firstLine="482"/>
        <w:rPr>
          <w:rFonts w:hint="default" w:ascii="Times New Roman" w:hAnsi="Times New Roman" w:eastAsia="方正楷体_GBK" w:cs="Times New Roman"/>
          <w:b w:val="0"/>
          <w:bCs w:val="0"/>
          <w:color w:val="auto"/>
          <w:kern w:val="2"/>
          <w:sz w:val="32"/>
          <w:szCs w:val="24"/>
          <w:lang w:val="en-US" w:eastAsia="zh-CN" w:bidi="ar-SA"/>
        </w:rPr>
      </w:pPr>
      <w:r>
        <w:rPr>
          <w:rFonts w:hint="default" w:ascii="Times New Roman" w:hAnsi="Times New Roman" w:eastAsia="方正楷体_GBK" w:cs="Times New Roman"/>
          <w:b w:val="0"/>
          <w:bCs w:val="0"/>
          <w:color w:val="auto"/>
          <w:kern w:val="2"/>
          <w:sz w:val="32"/>
          <w:szCs w:val="24"/>
          <w:lang w:val="en-US" w:eastAsia="zh-CN" w:bidi="ar-SA"/>
        </w:rPr>
        <w:t>（四）项目建设进度</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b w:val="0"/>
          <w:kern w:val="0"/>
          <w:sz w:val="32"/>
          <w:szCs w:val="32"/>
          <w:lang w:val="en-US" w:eastAsia="zh-CN" w:bidi="ar-SA"/>
        </w:rPr>
      </w:pPr>
      <w:r>
        <w:rPr>
          <w:rFonts w:hint="default" w:ascii="Times New Roman" w:hAnsi="Times New Roman" w:eastAsia="方正仿宋_GBK" w:cs="Times New Roman"/>
          <w:b w:val="0"/>
          <w:kern w:val="0"/>
          <w:sz w:val="32"/>
          <w:szCs w:val="32"/>
          <w:lang w:val="en-US" w:eastAsia="zh-CN" w:bidi="ar-SA"/>
        </w:rPr>
        <w:t>1、前期工作(2024年9月底前)</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b w:val="0"/>
          <w:kern w:val="0"/>
          <w:sz w:val="32"/>
          <w:szCs w:val="32"/>
          <w:lang w:val="en-US" w:eastAsia="zh-CN" w:bidi="ar-SA"/>
        </w:rPr>
      </w:pPr>
      <w:r>
        <w:rPr>
          <w:rFonts w:hint="default" w:ascii="Times New Roman" w:hAnsi="Times New Roman" w:eastAsia="方正仿宋_GBK" w:cs="Times New Roman"/>
          <w:b w:val="0"/>
          <w:kern w:val="0"/>
          <w:sz w:val="32"/>
          <w:szCs w:val="32"/>
          <w:lang w:val="en-US" w:eastAsia="zh-CN" w:bidi="ar-SA"/>
        </w:rPr>
        <w:t>对我县榨菜数字化进行需求调研与分析，科学制定项目实施方案等。</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b w:val="0"/>
          <w:kern w:val="0"/>
          <w:sz w:val="32"/>
          <w:szCs w:val="32"/>
          <w:lang w:val="en-US" w:eastAsia="zh-CN" w:bidi="ar-SA"/>
        </w:rPr>
      </w:pPr>
      <w:r>
        <w:rPr>
          <w:rFonts w:hint="default" w:ascii="Times New Roman" w:hAnsi="Times New Roman" w:eastAsia="方正仿宋_GBK" w:cs="Times New Roman"/>
          <w:b w:val="0"/>
          <w:kern w:val="0"/>
          <w:sz w:val="32"/>
          <w:szCs w:val="32"/>
          <w:lang w:val="en-US" w:eastAsia="zh-CN" w:bidi="ar-SA"/>
        </w:rPr>
        <w:t>2、实施阶段工作(2024年10月-12月底)</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b w:val="0"/>
          <w:kern w:val="0"/>
          <w:sz w:val="32"/>
          <w:szCs w:val="32"/>
          <w:lang w:val="en-US" w:eastAsia="zh-CN" w:bidi="ar-SA"/>
        </w:rPr>
      </w:pPr>
      <w:r>
        <w:rPr>
          <w:rFonts w:hint="default" w:ascii="Times New Roman" w:hAnsi="Times New Roman" w:eastAsia="方正仿宋_GBK" w:cs="Times New Roman"/>
          <w:b w:val="0"/>
          <w:kern w:val="0"/>
          <w:sz w:val="32"/>
          <w:szCs w:val="32"/>
          <w:lang w:val="en-US" w:eastAsia="zh-CN" w:bidi="ar-SA"/>
        </w:rPr>
        <w:t>项目的设计单位招标，完成项目初步设计；启动项目招投标程序等。项目软硬件招标采购，软件系统开发调试，硬件设备安装调试，系统集成与安装调试等。</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b w:val="0"/>
          <w:kern w:val="0"/>
          <w:sz w:val="32"/>
          <w:szCs w:val="32"/>
          <w:lang w:val="en-US" w:eastAsia="zh-CN" w:bidi="ar-SA"/>
        </w:rPr>
      </w:pPr>
      <w:r>
        <w:rPr>
          <w:rFonts w:hint="default" w:ascii="Times New Roman" w:hAnsi="Times New Roman" w:eastAsia="方正仿宋_GBK" w:cs="Times New Roman"/>
          <w:b w:val="0"/>
          <w:kern w:val="0"/>
          <w:sz w:val="32"/>
          <w:szCs w:val="32"/>
          <w:lang w:val="en-US" w:eastAsia="zh-CN" w:bidi="ar-SA"/>
        </w:rPr>
        <w:t>3、试运行阶段工作(2025年1月底前)</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b w:val="0"/>
          <w:kern w:val="0"/>
          <w:sz w:val="32"/>
          <w:szCs w:val="32"/>
          <w:lang w:val="en-US" w:eastAsia="zh-CN" w:bidi="ar-SA"/>
        </w:rPr>
      </w:pPr>
      <w:r>
        <w:rPr>
          <w:rFonts w:hint="default" w:ascii="Times New Roman" w:hAnsi="Times New Roman" w:eastAsia="方正仿宋_GBK" w:cs="Times New Roman"/>
          <w:b w:val="0"/>
          <w:kern w:val="0"/>
          <w:sz w:val="32"/>
          <w:szCs w:val="32"/>
          <w:lang w:val="en-US" w:eastAsia="zh-CN" w:bidi="ar-SA"/>
        </w:rPr>
        <w:t>系统试运行，修改完善功能，提高性能，并进行用户培训。</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b w:val="0"/>
          <w:kern w:val="0"/>
          <w:sz w:val="32"/>
          <w:szCs w:val="32"/>
          <w:lang w:val="en-US" w:eastAsia="zh-CN" w:bidi="ar-SA"/>
        </w:rPr>
      </w:pPr>
      <w:r>
        <w:rPr>
          <w:rFonts w:hint="default" w:ascii="Times New Roman" w:hAnsi="Times New Roman" w:eastAsia="方正仿宋_GBK" w:cs="Times New Roman"/>
          <w:b w:val="0"/>
          <w:kern w:val="0"/>
          <w:sz w:val="32"/>
          <w:szCs w:val="32"/>
          <w:lang w:val="en-US" w:eastAsia="zh-CN" w:bidi="ar-SA"/>
        </w:rPr>
        <w:t>4、项目验收(2025年2月底前)</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b w:val="0"/>
          <w:kern w:val="0"/>
          <w:sz w:val="32"/>
          <w:szCs w:val="32"/>
          <w:lang w:val="en-US" w:eastAsia="zh-CN" w:bidi="ar-SA"/>
        </w:rPr>
      </w:pPr>
      <w:r>
        <w:rPr>
          <w:rFonts w:hint="default" w:ascii="Times New Roman" w:hAnsi="Times New Roman" w:eastAsia="方正仿宋_GBK" w:cs="Times New Roman"/>
          <w:b w:val="0"/>
          <w:kern w:val="0"/>
          <w:sz w:val="32"/>
          <w:szCs w:val="32"/>
          <w:lang w:val="en-US" w:eastAsia="zh-CN" w:bidi="ar-SA"/>
        </w:rPr>
        <w:t>财务决算、审计，档案整理，组织项目初验和竣工验收，系统投入正式运行。</w:t>
      </w:r>
    </w:p>
    <w:p>
      <w:pPr>
        <w:pStyle w:val="92"/>
        <w:keepNext w:val="0"/>
        <w:keepLines w:val="0"/>
        <w:pageBreakBefore w:val="0"/>
        <w:kinsoku/>
        <w:wordWrap/>
        <w:overflowPunct/>
        <w:topLinePunct w:val="0"/>
        <w:autoSpaceDE/>
        <w:autoSpaceDN/>
        <w:bidi w:val="0"/>
        <w:adjustRightInd/>
        <w:snapToGrid/>
        <w:spacing w:line="600" w:lineRule="exact"/>
        <w:ind w:firstLine="482"/>
        <w:rPr>
          <w:rFonts w:hint="default" w:ascii="Times New Roman" w:hAnsi="Times New Roman" w:eastAsia="方正楷体_GBK" w:cs="Times New Roman"/>
          <w:b w:val="0"/>
          <w:bCs w:val="0"/>
          <w:color w:val="auto"/>
          <w:kern w:val="2"/>
          <w:sz w:val="32"/>
          <w:szCs w:val="24"/>
          <w:lang w:val="en-US" w:eastAsia="zh-CN" w:bidi="ar-SA"/>
        </w:rPr>
      </w:pPr>
      <w:r>
        <w:rPr>
          <w:rFonts w:hint="default" w:ascii="Times New Roman" w:hAnsi="Times New Roman" w:eastAsia="方正楷体_GBK" w:cs="Times New Roman"/>
          <w:b w:val="0"/>
          <w:bCs w:val="0"/>
          <w:color w:val="auto"/>
          <w:kern w:val="2"/>
          <w:sz w:val="32"/>
          <w:szCs w:val="24"/>
          <w:lang w:val="en-US" w:eastAsia="zh-CN" w:bidi="ar-SA"/>
        </w:rPr>
        <w:t>（五）项目推进及管理措施</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b w:val="0"/>
          <w:kern w:val="0"/>
          <w:sz w:val="32"/>
          <w:szCs w:val="32"/>
          <w:lang w:val="en-US" w:eastAsia="zh-CN" w:bidi="ar-SA"/>
        </w:rPr>
      </w:pPr>
      <w:r>
        <w:rPr>
          <w:rFonts w:hint="default" w:ascii="Times New Roman" w:hAnsi="Times New Roman" w:eastAsia="方正仿宋_GBK" w:cs="Times New Roman"/>
          <w:b w:val="0"/>
          <w:kern w:val="0"/>
          <w:sz w:val="32"/>
          <w:szCs w:val="32"/>
          <w:lang w:val="en-US" w:eastAsia="zh-CN" w:bidi="ar-SA"/>
        </w:rPr>
        <w:t>1.实行项目负责制，成立项目实施小组，及时制定具体执行计划，严格按照执行计划实施项目。</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b w:val="0"/>
          <w:kern w:val="0"/>
          <w:sz w:val="32"/>
          <w:szCs w:val="32"/>
          <w:lang w:val="en-US" w:eastAsia="zh-CN" w:bidi="ar-SA"/>
        </w:rPr>
      </w:pPr>
      <w:r>
        <w:rPr>
          <w:rFonts w:hint="default" w:ascii="Times New Roman" w:hAnsi="Times New Roman" w:eastAsia="方正仿宋_GBK" w:cs="Times New Roman"/>
          <w:b w:val="0"/>
          <w:kern w:val="0"/>
          <w:sz w:val="32"/>
          <w:szCs w:val="32"/>
          <w:lang w:val="en-US" w:eastAsia="zh-CN" w:bidi="ar-SA"/>
        </w:rPr>
        <w:t>2.定时汇报项目实施进展情况，有效推动项目实施，发现问题并及时解决问题。</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b w:val="0"/>
          <w:kern w:val="0"/>
          <w:sz w:val="32"/>
          <w:szCs w:val="32"/>
          <w:lang w:val="en-US" w:eastAsia="zh-CN" w:bidi="ar-SA"/>
        </w:rPr>
      </w:pPr>
      <w:r>
        <w:rPr>
          <w:rFonts w:hint="default" w:ascii="Times New Roman" w:hAnsi="Times New Roman" w:eastAsia="方正仿宋_GBK" w:cs="Times New Roman"/>
          <w:b w:val="0"/>
          <w:kern w:val="0"/>
          <w:sz w:val="32"/>
          <w:szCs w:val="32"/>
          <w:lang w:val="en-US" w:eastAsia="zh-CN" w:bidi="ar-SA"/>
        </w:rPr>
        <w:t>项目资金设立专账，资金使用合理合规。</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b w:val="0"/>
          <w:kern w:val="0"/>
          <w:sz w:val="32"/>
          <w:szCs w:val="32"/>
          <w:lang w:val="en-US" w:eastAsia="zh-CN" w:bidi="ar-SA"/>
        </w:rPr>
      </w:pPr>
      <w:r>
        <w:rPr>
          <w:rFonts w:hint="default" w:ascii="Times New Roman" w:hAnsi="Times New Roman" w:eastAsia="方正仿宋_GBK" w:cs="Times New Roman"/>
          <w:b w:val="0"/>
          <w:kern w:val="0"/>
          <w:sz w:val="32"/>
          <w:szCs w:val="32"/>
          <w:lang w:val="en-US" w:eastAsia="zh-CN" w:bidi="ar-SA"/>
        </w:rPr>
        <w:t>建立档案资料管理制度，对相关资料进行归档保存，保证项目验收资料齐全。</w:t>
      </w:r>
    </w:p>
    <w:p>
      <w:pPr>
        <w:keepNext w:val="0"/>
        <w:keepLines w:val="0"/>
        <w:pageBreakBefore w:val="0"/>
        <w:kinsoku/>
        <w:wordWrap/>
        <w:overflowPunct/>
        <w:topLinePunct w:val="0"/>
        <w:autoSpaceDE/>
        <w:autoSpaceDN/>
        <w:bidi w:val="0"/>
        <w:adjustRightInd/>
        <w:snapToGrid/>
        <w:spacing w:line="600" w:lineRule="exact"/>
        <w:ind w:firstLine="482"/>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b w:val="0"/>
          <w:bCs w:val="0"/>
          <w:color w:val="auto"/>
          <w:kern w:val="2"/>
          <w:sz w:val="32"/>
          <w:szCs w:val="24"/>
          <w:lang w:val="en-US" w:eastAsia="zh-CN" w:bidi="ar-SA"/>
        </w:rPr>
        <w:t>（六）项目绩效目标</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b w:val="0"/>
          <w:kern w:val="0"/>
          <w:sz w:val="32"/>
          <w:szCs w:val="32"/>
          <w:lang w:val="en-US" w:eastAsia="zh-CN" w:bidi="ar-SA"/>
        </w:rPr>
      </w:pPr>
      <w:r>
        <w:rPr>
          <w:rFonts w:hint="default" w:ascii="Times New Roman" w:hAnsi="Times New Roman" w:eastAsia="方正仿宋_GBK" w:cs="Times New Roman"/>
          <w:b w:val="0"/>
          <w:kern w:val="0"/>
          <w:sz w:val="32"/>
          <w:szCs w:val="32"/>
          <w:lang w:val="en-US" w:eastAsia="zh-CN" w:bidi="ar-SA"/>
        </w:rPr>
        <w:t>经济效益：一是当前丰都榨菜产业种植农户较为分散，经营主体相对弱小，组织化程度不高，品牌不响，产业链条较短，抗风险能力不强。项目的实施，有助于当地政府有效引导产业发展，推动丰都榨菜产业各主体在生产资料供应、作物种植、运输、加工和销售等环节分工明确，高效协作，形成产前、产中、产后各个资源紧密衔接的农业生产体系和专业化生产、集约化经营、企业化管理的现代榨菜产业模式，推动榨菜行业格局优化。二是是依托先进数字化技术应用，提升榨菜种植和加工生产水平，增强防灾抗灾减灾能力，以达到产品高产和优产目标，实现农产品综合产能高效，直接增加经济收益。三是分中心项目的实施有利于促进劳动力、资金、技术的合理流动，可以充分吸引本地劳动力参与，带动相关行业的发展，推动民生及社会事业投资，增加当地居民的就业机会，提高收入水平，拉动地方经济的增长。</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b w:val="0"/>
          <w:kern w:val="0"/>
          <w:sz w:val="32"/>
          <w:szCs w:val="32"/>
          <w:lang w:val="en-US" w:eastAsia="zh-CN" w:bidi="ar-SA"/>
        </w:rPr>
      </w:pPr>
      <w:r>
        <w:rPr>
          <w:rFonts w:hint="default" w:ascii="Times New Roman" w:hAnsi="Times New Roman" w:eastAsia="方正仿宋_GBK" w:cs="Times New Roman"/>
          <w:b w:val="0"/>
          <w:kern w:val="0"/>
          <w:sz w:val="32"/>
          <w:szCs w:val="32"/>
          <w:lang w:val="en-US" w:eastAsia="zh-CN" w:bidi="ar-SA"/>
        </w:rPr>
        <w:t>社会效益：本项目实施后，可以给政府管理职能部门、产业链的参与主体、社会化服务主体、金融服务机构等提供各自需要的信息化服务和大数据支撑，既是贯彻国家实施"互联网+农业"战略，也是推进重庆市"智慧农业"建设的具体实践，对于丰都全面提高农业现代化水平有重要意义。</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b w:val="0"/>
          <w:kern w:val="0"/>
          <w:sz w:val="32"/>
          <w:szCs w:val="32"/>
          <w:lang w:val="en-US" w:eastAsia="zh-CN" w:bidi="ar-SA"/>
        </w:rPr>
      </w:pPr>
      <w:r>
        <w:rPr>
          <w:rFonts w:hint="default" w:ascii="Times New Roman" w:hAnsi="Times New Roman" w:eastAsia="方正仿宋_GBK" w:cs="Times New Roman"/>
          <w:b w:val="0"/>
          <w:kern w:val="0"/>
          <w:sz w:val="32"/>
          <w:szCs w:val="32"/>
          <w:lang w:val="en-US" w:eastAsia="zh-CN" w:bidi="ar-SA"/>
        </w:rPr>
        <w:t>3.生态效益：一是重点突出丰都高山榨菜特早熟、特晚熟品种优势，从地理区位优势、土壤环境、气候环境、采收产量、初/精加工、农残检测、绿色有机认证、国际出口资质、产品成分/含量等方面进行溯源、检测认证以及品牌包装等，打造丰都高山榨菜品牌标签。二是从农业“四情”监测为导向，主要包括榨菜种植基地苗情监测、虫情监测、墒情监测以及灾情监测等多方面综合检测评价，促进榨菜作物化肥农药减量增效，推动榨菜绿色高质高效发展。</w:t>
      </w:r>
    </w:p>
    <w:p>
      <w:pPr>
        <w:keepNext w:val="0"/>
        <w:keepLines w:val="0"/>
        <w:pageBreakBefore w:val="0"/>
        <w:widowControl/>
        <w:kinsoku/>
        <w:wordWrap/>
        <w:overflowPunct/>
        <w:topLinePunct w:val="0"/>
        <w:autoSpaceDE/>
        <w:autoSpaceDN/>
        <w:bidi w:val="0"/>
        <w:adjustRightInd w:val="0"/>
        <w:snapToGrid/>
        <w:spacing w:line="600" w:lineRule="exact"/>
        <w:ind w:firstLine="640" w:firstLineChars="200"/>
        <w:jc w:val="both"/>
        <w:textAlignment w:val="auto"/>
        <w:rPr>
          <w:rFonts w:hint="default" w:ascii="Times New Roman" w:hAnsi="Times New Roman" w:eastAsia="方正黑体_GBK" w:cs="Times New Roman"/>
          <w:b w:val="0"/>
          <w:bCs w:val="0"/>
          <w:color w:val="auto"/>
          <w:sz w:val="32"/>
          <w:szCs w:val="24"/>
          <w:lang w:val="en-US" w:eastAsia="zh-CN"/>
        </w:rPr>
      </w:pPr>
      <w:r>
        <w:rPr>
          <w:rFonts w:hint="default" w:ascii="Times New Roman" w:hAnsi="Times New Roman" w:eastAsia="方正黑体_GBK" w:cs="Times New Roman"/>
          <w:b w:val="0"/>
          <w:bCs w:val="0"/>
          <w:color w:val="auto"/>
          <w:sz w:val="32"/>
          <w:szCs w:val="24"/>
          <w:lang w:val="en-US" w:eastAsia="zh-CN"/>
        </w:rPr>
        <w:t>三、资金投入概算</w:t>
      </w:r>
    </w:p>
    <w:p>
      <w:pPr>
        <w:keepNext w:val="0"/>
        <w:keepLines w:val="0"/>
        <w:pageBreakBefore w:val="0"/>
        <w:kinsoku/>
        <w:wordWrap/>
        <w:overflowPunct/>
        <w:topLinePunct w:val="0"/>
        <w:autoSpaceDE/>
        <w:autoSpaceDN/>
        <w:bidi w:val="0"/>
        <w:adjustRightInd/>
        <w:snapToGrid/>
        <w:spacing w:line="600" w:lineRule="exact"/>
        <w:ind w:firstLine="482"/>
        <w:rPr>
          <w:rFonts w:hint="default" w:ascii="Times New Roman" w:hAnsi="Times New Roman" w:eastAsia="方正仿宋_GBK" w:cs="Times New Roman"/>
          <w:b w:val="0"/>
          <w:kern w:val="0"/>
          <w:sz w:val="32"/>
          <w:szCs w:val="32"/>
          <w:lang w:val="en-US" w:eastAsia="zh-CN" w:bidi="ar-SA"/>
        </w:rPr>
      </w:pPr>
      <w:r>
        <w:rPr>
          <w:rFonts w:hint="default" w:ascii="Times New Roman" w:hAnsi="Times New Roman" w:eastAsia="方正楷体_GBK" w:cs="Times New Roman"/>
          <w:b w:val="0"/>
          <w:bCs w:val="0"/>
          <w:color w:val="auto"/>
          <w:kern w:val="2"/>
          <w:sz w:val="32"/>
          <w:szCs w:val="24"/>
          <w:lang w:val="en-US" w:eastAsia="zh-CN" w:bidi="ar-SA"/>
        </w:rPr>
        <w:t>（一）、</w:t>
      </w:r>
      <w:r>
        <w:rPr>
          <w:rFonts w:hint="eastAsia" w:ascii="Times New Roman" w:hAnsi="Times New Roman" w:eastAsia="方正楷体_GBK" w:cs="Times New Roman"/>
          <w:b w:val="0"/>
          <w:bCs w:val="0"/>
          <w:color w:val="auto"/>
          <w:kern w:val="2"/>
          <w:sz w:val="32"/>
          <w:szCs w:val="24"/>
          <w:lang w:val="en-US" w:eastAsia="zh-CN" w:bidi="ar-SA"/>
        </w:rPr>
        <w:t>项目投资。</w:t>
      </w:r>
      <w:r>
        <w:rPr>
          <w:rFonts w:hint="default" w:ascii="Times New Roman" w:hAnsi="Times New Roman" w:eastAsia="方正仿宋_GBK" w:cs="Times New Roman"/>
          <w:b w:val="0"/>
          <w:kern w:val="0"/>
          <w:sz w:val="32"/>
          <w:szCs w:val="32"/>
          <w:lang w:val="en-US" w:eastAsia="zh-CN" w:bidi="ar-SA"/>
        </w:rPr>
        <w:t>该项目总投资200万元，来源于县级财政资金。资金具体用途和投资标准：项目建设费200万元，主要用于数字榨菜分中心项目配套工程智能化硬件设备采购部署、软件应用系统开发服务采购。</w:t>
      </w:r>
    </w:p>
    <w:p>
      <w:pPr>
        <w:keepNext w:val="0"/>
        <w:keepLines w:val="0"/>
        <w:pageBreakBefore w:val="0"/>
        <w:kinsoku/>
        <w:wordWrap/>
        <w:overflowPunct/>
        <w:topLinePunct w:val="0"/>
        <w:autoSpaceDE/>
        <w:autoSpaceDN/>
        <w:bidi w:val="0"/>
        <w:adjustRightInd/>
        <w:snapToGrid/>
        <w:spacing w:line="600" w:lineRule="exact"/>
        <w:ind w:firstLine="482"/>
        <w:rPr>
          <w:rFonts w:hint="default" w:ascii="Times New Roman" w:hAnsi="Times New Roman" w:eastAsia="方正楷体_GBK" w:cs="Times New Roman"/>
          <w:b w:val="0"/>
          <w:bCs w:val="0"/>
          <w:color w:val="auto"/>
          <w:kern w:val="2"/>
          <w:sz w:val="32"/>
          <w:szCs w:val="24"/>
          <w:lang w:val="en-US" w:eastAsia="zh-CN" w:bidi="ar-SA"/>
        </w:rPr>
      </w:pPr>
      <w:r>
        <w:rPr>
          <w:rFonts w:hint="default" w:ascii="Times New Roman" w:hAnsi="Times New Roman" w:eastAsia="方正楷体_GBK" w:cs="Times New Roman"/>
          <w:b w:val="0"/>
          <w:bCs w:val="0"/>
          <w:color w:val="auto"/>
          <w:kern w:val="2"/>
          <w:sz w:val="32"/>
          <w:szCs w:val="24"/>
          <w:lang w:val="en-US" w:eastAsia="zh-CN" w:bidi="ar-SA"/>
        </w:rPr>
        <w:t>（二）、项目资金及资金使用环节</w:t>
      </w:r>
    </w:p>
    <w:tbl>
      <w:tblPr>
        <w:tblStyle w:val="25"/>
        <w:tblW w:w="4932" w:type="pct"/>
        <w:tblInd w:w="0" w:type="dxa"/>
        <w:tblLayout w:type="autofit"/>
        <w:tblCellMar>
          <w:top w:w="0" w:type="dxa"/>
          <w:left w:w="108" w:type="dxa"/>
          <w:bottom w:w="0" w:type="dxa"/>
          <w:right w:w="108" w:type="dxa"/>
        </w:tblCellMar>
      </w:tblPr>
      <w:tblGrid>
        <w:gridCol w:w="762"/>
        <w:gridCol w:w="1668"/>
        <w:gridCol w:w="4362"/>
        <w:gridCol w:w="1121"/>
        <w:gridCol w:w="1024"/>
      </w:tblGrid>
      <w:tr>
        <w:tblPrEx>
          <w:tblCellMar>
            <w:top w:w="0" w:type="dxa"/>
            <w:left w:w="108" w:type="dxa"/>
            <w:bottom w:w="0" w:type="dxa"/>
            <w:right w:w="108" w:type="dxa"/>
          </w:tblCellMar>
        </w:tblPrEx>
        <w:trPr>
          <w:trHeight w:val="684"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黑体_GBK" w:cs="Times New Roman"/>
                <w:kern w:val="0"/>
                <w:sz w:val="24"/>
                <w:szCs w:val="24"/>
                <w:lang w:val="en-US" w:eastAsia="zh-CN" w:bidi="ar-SA"/>
              </w:rPr>
            </w:pPr>
            <w:r>
              <w:rPr>
                <w:rFonts w:hint="default" w:ascii="Times New Roman" w:hAnsi="Times New Roman" w:eastAsia="方正黑体_GBK" w:cs="Times New Roman"/>
                <w:kern w:val="0"/>
                <w:sz w:val="24"/>
                <w:szCs w:val="24"/>
                <w:lang w:val="en-US" w:eastAsia="zh-CN" w:bidi="ar-SA"/>
              </w:rPr>
              <w:t>序号</w:t>
            </w:r>
          </w:p>
        </w:tc>
        <w:tc>
          <w:tcPr>
            <w:tcW w:w="33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黑体_GBK" w:cs="Times New Roman"/>
                <w:kern w:val="0"/>
                <w:sz w:val="24"/>
                <w:szCs w:val="24"/>
                <w:lang w:val="en-US" w:eastAsia="zh-CN" w:bidi="ar-SA"/>
              </w:rPr>
            </w:pPr>
            <w:r>
              <w:rPr>
                <w:rFonts w:hint="default" w:ascii="Times New Roman" w:hAnsi="Times New Roman" w:eastAsia="方正黑体_GBK" w:cs="Times New Roman"/>
                <w:kern w:val="0"/>
                <w:sz w:val="24"/>
                <w:szCs w:val="24"/>
                <w:lang w:val="en-US" w:eastAsia="zh-CN" w:bidi="ar-SA"/>
              </w:rPr>
              <w:t>财政资金使用环节</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黑体_GBK" w:cs="Times New Roman"/>
                <w:kern w:val="0"/>
                <w:sz w:val="24"/>
                <w:szCs w:val="24"/>
                <w:lang w:val="en-US" w:eastAsia="zh-CN" w:bidi="ar-SA"/>
              </w:rPr>
            </w:pPr>
            <w:r>
              <w:rPr>
                <w:rFonts w:hint="default" w:ascii="Times New Roman" w:hAnsi="Times New Roman" w:eastAsia="方正黑体_GBK" w:cs="Times New Roman"/>
                <w:kern w:val="0"/>
                <w:sz w:val="24"/>
                <w:szCs w:val="24"/>
                <w:lang w:val="en-US" w:eastAsia="zh-CN" w:bidi="ar-SA"/>
              </w:rPr>
              <w:t>金额</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黑体_GBK" w:cs="Times New Roman"/>
                <w:kern w:val="0"/>
                <w:sz w:val="24"/>
                <w:szCs w:val="24"/>
                <w:lang w:val="en-US" w:eastAsia="zh-CN" w:bidi="ar-SA"/>
              </w:rPr>
            </w:pPr>
            <w:r>
              <w:rPr>
                <w:rFonts w:hint="default" w:ascii="Times New Roman" w:hAnsi="Times New Roman" w:eastAsia="方正黑体_GBK" w:cs="Times New Roman"/>
                <w:kern w:val="0"/>
                <w:sz w:val="24"/>
                <w:szCs w:val="24"/>
                <w:lang w:val="en-US" w:eastAsia="zh-CN" w:bidi="ar-SA"/>
              </w:rPr>
              <w:t>（万元）</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黑体_GBK" w:cs="Times New Roman"/>
                <w:kern w:val="0"/>
                <w:sz w:val="24"/>
                <w:szCs w:val="24"/>
                <w:lang w:val="en-US" w:eastAsia="zh-CN" w:bidi="ar-SA"/>
              </w:rPr>
            </w:pPr>
            <w:r>
              <w:rPr>
                <w:rFonts w:hint="default" w:ascii="Times New Roman" w:hAnsi="Times New Roman" w:eastAsia="方正黑体_GBK" w:cs="Times New Roman"/>
                <w:kern w:val="0"/>
                <w:sz w:val="24"/>
                <w:szCs w:val="24"/>
                <w:lang w:val="en-US" w:eastAsia="zh-CN" w:bidi="ar-SA"/>
              </w:rPr>
              <w:t>备注</w:t>
            </w:r>
          </w:p>
        </w:tc>
      </w:tr>
      <w:tr>
        <w:tblPrEx>
          <w:tblCellMar>
            <w:top w:w="0" w:type="dxa"/>
            <w:left w:w="108" w:type="dxa"/>
            <w:bottom w:w="0" w:type="dxa"/>
            <w:right w:w="108" w:type="dxa"/>
          </w:tblCellMar>
        </w:tblPrEx>
        <w:trPr>
          <w:trHeight w:val="355"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1</w:t>
            </w:r>
          </w:p>
        </w:tc>
        <w:tc>
          <w:tcPr>
            <w:tcW w:w="9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PC端软件</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（115万元）</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数字榨菜支撑平台软件建设</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420"/>
              <w:jc w:val="center"/>
              <w:rPr>
                <w:rFonts w:hint="default" w:ascii="Times New Roman" w:hAnsi="Times New Roman" w:eastAsia="方正仿宋_GBK" w:cs="Times New Roman"/>
                <w:kern w:val="0"/>
                <w:sz w:val="24"/>
                <w:szCs w:val="24"/>
                <w:lang w:val="en-US" w:eastAsia="zh-CN" w:bidi="ar-SA"/>
              </w:rPr>
            </w:pPr>
          </w:p>
        </w:tc>
      </w:tr>
      <w:tr>
        <w:tblPrEx>
          <w:tblCellMar>
            <w:top w:w="0" w:type="dxa"/>
            <w:left w:w="108" w:type="dxa"/>
            <w:bottom w:w="0" w:type="dxa"/>
            <w:right w:w="108" w:type="dxa"/>
          </w:tblCellMar>
        </w:tblPrEx>
        <w:trPr>
          <w:trHeight w:val="355"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2</w:t>
            </w:r>
          </w:p>
        </w:tc>
        <w:tc>
          <w:tcPr>
            <w:tcW w:w="9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420"/>
              <w:jc w:val="center"/>
              <w:rPr>
                <w:rFonts w:hint="default" w:ascii="Times New Roman" w:hAnsi="Times New Roman" w:eastAsia="方正仿宋_GBK" w:cs="Times New Roman"/>
                <w:kern w:val="0"/>
                <w:sz w:val="24"/>
                <w:szCs w:val="24"/>
                <w:lang w:val="en-US" w:eastAsia="zh-CN" w:bidi="ar-SA"/>
              </w:rPr>
            </w:pP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榨菜智慧种植服务系统软件建设</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420"/>
              <w:jc w:val="center"/>
              <w:rPr>
                <w:rFonts w:hint="default" w:ascii="Times New Roman" w:hAnsi="Times New Roman" w:eastAsia="方正仿宋_GBK" w:cs="Times New Roman"/>
                <w:kern w:val="0"/>
                <w:sz w:val="24"/>
                <w:szCs w:val="24"/>
                <w:lang w:val="en-US" w:eastAsia="zh-CN" w:bidi="ar-SA"/>
              </w:rPr>
            </w:pPr>
          </w:p>
        </w:tc>
      </w:tr>
      <w:tr>
        <w:tblPrEx>
          <w:tblCellMar>
            <w:top w:w="0" w:type="dxa"/>
            <w:left w:w="108" w:type="dxa"/>
            <w:bottom w:w="0" w:type="dxa"/>
            <w:right w:w="108" w:type="dxa"/>
          </w:tblCellMar>
        </w:tblPrEx>
        <w:trPr>
          <w:trHeight w:val="355"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3</w:t>
            </w:r>
          </w:p>
        </w:tc>
        <w:tc>
          <w:tcPr>
            <w:tcW w:w="9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420"/>
              <w:jc w:val="center"/>
              <w:rPr>
                <w:rFonts w:hint="default" w:ascii="Times New Roman" w:hAnsi="Times New Roman" w:eastAsia="方正仿宋_GBK" w:cs="Times New Roman"/>
                <w:kern w:val="0"/>
                <w:sz w:val="24"/>
                <w:szCs w:val="24"/>
                <w:lang w:val="en-US" w:eastAsia="zh-CN" w:bidi="ar-SA"/>
              </w:rPr>
            </w:pP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榨菜产业综合服务系统软件建设</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420"/>
              <w:jc w:val="center"/>
              <w:rPr>
                <w:rFonts w:hint="default" w:ascii="Times New Roman" w:hAnsi="Times New Roman" w:eastAsia="方正仿宋_GBK" w:cs="Times New Roman"/>
                <w:kern w:val="0"/>
                <w:sz w:val="24"/>
                <w:szCs w:val="24"/>
                <w:lang w:val="en-US" w:eastAsia="zh-CN" w:bidi="ar-SA"/>
              </w:rPr>
            </w:pPr>
          </w:p>
        </w:tc>
      </w:tr>
      <w:tr>
        <w:tblPrEx>
          <w:tblCellMar>
            <w:top w:w="0" w:type="dxa"/>
            <w:left w:w="108" w:type="dxa"/>
            <w:bottom w:w="0" w:type="dxa"/>
            <w:right w:w="108" w:type="dxa"/>
          </w:tblCellMar>
        </w:tblPrEx>
        <w:trPr>
          <w:trHeight w:val="355"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4</w:t>
            </w:r>
          </w:p>
        </w:tc>
        <w:tc>
          <w:tcPr>
            <w:tcW w:w="9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420"/>
              <w:jc w:val="center"/>
              <w:rPr>
                <w:rFonts w:hint="default" w:ascii="Times New Roman" w:hAnsi="Times New Roman" w:eastAsia="方正仿宋_GBK" w:cs="Times New Roman"/>
                <w:kern w:val="0"/>
                <w:sz w:val="24"/>
                <w:szCs w:val="24"/>
                <w:lang w:val="en-US" w:eastAsia="zh-CN" w:bidi="ar-SA"/>
              </w:rPr>
            </w:pP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榨菜产业云图系统软件建设</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420"/>
              <w:jc w:val="center"/>
              <w:rPr>
                <w:rFonts w:hint="default" w:ascii="Times New Roman" w:hAnsi="Times New Roman" w:eastAsia="方正仿宋_GBK" w:cs="Times New Roman"/>
                <w:kern w:val="0"/>
                <w:sz w:val="24"/>
                <w:szCs w:val="24"/>
                <w:lang w:val="en-US" w:eastAsia="zh-CN" w:bidi="ar-SA"/>
              </w:rPr>
            </w:pPr>
          </w:p>
        </w:tc>
      </w:tr>
      <w:tr>
        <w:tblPrEx>
          <w:tblCellMar>
            <w:top w:w="0" w:type="dxa"/>
            <w:left w:w="108" w:type="dxa"/>
            <w:bottom w:w="0" w:type="dxa"/>
            <w:right w:w="108" w:type="dxa"/>
          </w:tblCellMar>
        </w:tblPrEx>
        <w:trPr>
          <w:trHeight w:val="355"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5</w:t>
            </w:r>
          </w:p>
        </w:tc>
        <w:tc>
          <w:tcPr>
            <w:tcW w:w="9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420"/>
              <w:jc w:val="center"/>
              <w:rPr>
                <w:rFonts w:hint="default" w:ascii="Times New Roman" w:hAnsi="Times New Roman" w:eastAsia="方正仿宋_GBK" w:cs="Times New Roman"/>
                <w:kern w:val="0"/>
                <w:sz w:val="24"/>
                <w:szCs w:val="24"/>
                <w:lang w:val="en-US" w:eastAsia="zh-CN" w:bidi="ar-SA"/>
              </w:rPr>
            </w:pP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高山榨菜特色应用系统软件建设</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420"/>
              <w:jc w:val="center"/>
              <w:rPr>
                <w:rFonts w:hint="default" w:ascii="Times New Roman" w:hAnsi="Times New Roman" w:eastAsia="方正仿宋_GBK" w:cs="Times New Roman"/>
                <w:kern w:val="0"/>
                <w:sz w:val="24"/>
                <w:szCs w:val="24"/>
                <w:lang w:val="en-US" w:eastAsia="zh-CN" w:bidi="ar-SA"/>
              </w:rPr>
            </w:pPr>
          </w:p>
        </w:tc>
      </w:tr>
      <w:tr>
        <w:tblPrEx>
          <w:tblCellMar>
            <w:top w:w="0" w:type="dxa"/>
            <w:left w:w="108" w:type="dxa"/>
            <w:bottom w:w="0" w:type="dxa"/>
            <w:right w:w="108" w:type="dxa"/>
          </w:tblCellMar>
        </w:tblPrEx>
        <w:trPr>
          <w:trHeight w:val="355"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6</w:t>
            </w:r>
          </w:p>
        </w:tc>
        <w:tc>
          <w:tcPr>
            <w:tcW w:w="9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420"/>
              <w:jc w:val="center"/>
              <w:rPr>
                <w:rFonts w:hint="default" w:ascii="Times New Roman" w:hAnsi="Times New Roman" w:eastAsia="方正仿宋_GBK" w:cs="Times New Roman"/>
                <w:kern w:val="0"/>
                <w:sz w:val="24"/>
                <w:szCs w:val="24"/>
                <w:lang w:val="en-US" w:eastAsia="zh-CN" w:bidi="ar-SA"/>
              </w:rPr>
            </w:pP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数字榨菜运管服务系统软件建设</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420"/>
              <w:jc w:val="center"/>
              <w:rPr>
                <w:rFonts w:hint="default" w:ascii="Times New Roman" w:hAnsi="Times New Roman" w:eastAsia="方正仿宋_GBK" w:cs="Times New Roman"/>
                <w:kern w:val="0"/>
                <w:sz w:val="24"/>
                <w:szCs w:val="24"/>
                <w:lang w:val="en-US" w:eastAsia="zh-CN" w:bidi="ar-SA"/>
              </w:rPr>
            </w:pPr>
          </w:p>
        </w:tc>
      </w:tr>
      <w:tr>
        <w:tblPrEx>
          <w:tblCellMar>
            <w:top w:w="0" w:type="dxa"/>
            <w:left w:w="108" w:type="dxa"/>
            <w:bottom w:w="0" w:type="dxa"/>
            <w:right w:w="108" w:type="dxa"/>
          </w:tblCellMar>
        </w:tblPrEx>
        <w:trPr>
          <w:trHeight w:val="355"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7</w:t>
            </w:r>
          </w:p>
        </w:tc>
        <w:tc>
          <w:tcPr>
            <w:tcW w:w="9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移动端软件</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（25万元）</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榨菜智慧种植服务系统软件建设</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420"/>
              <w:jc w:val="center"/>
              <w:rPr>
                <w:rFonts w:hint="default" w:ascii="Times New Roman" w:hAnsi="Times New Roman" w:eastAsia="方正仿宋_GBK" w:cs="Times New Roman"/>
                <w:kern w:val="0"/>
                <w:sz w:val="24"/>
                <w:szCs w:val="24"/>
                <w:lang w:val="en-US" w:eastAsia="zh-CN" w:bidi="ar-SA"/>
              </w:rPr>
            </w:pPr>
          </w:p>
        </w:tc>
      </w:tr>
      <w:tr>
        <w:tblPrEx>
          <w:tblCellMar>
            <w:top w:w="0" w:type="dxa"/>
            <w:left w:w="108" w:type="dxa"/>
            <w:bottom w:w="0" w:type="dxa"/>
            <w:right w:w="108" w:type="dxa"/>
          </w:tblCellMar>
        </w:tblPrEx>
        <w:trPr>
          <w:trHeight w:val="355"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8</w:t>
            </w:r>
          </w:p>
        </w:tc>
        <w:tc>
          <w:tcPr>
            <w:tcW w:w="9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420"/>
              <w:jc w:val="center"/>
              <w:rPr>
                <w:rFonts w:hint="default" w:ascii="Times New Roman" w:hAnsi="Times New Roman" w:eastAsia="方正仿宋_GBK" w:cs="Times New Roman"/>
                <w:kern w:val="0"/>
                <w:sz w:val="24"/>
                <w:szCs w:val="24"/>
                <w:lang w:val="en-US" w:eastAsia="zh-CN" w:bidi="ar-SA"/>
              </w:rPr>
            </w:pP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榨菜产业综合服务系统软件建设</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420"/>
              <w:jc w:val="center"/>
              <w:rPr>
                <w:rFonts w:hint="default" w:ascii="Times New Roman" w:hAnsi="Times New Roman" w:eastAsia="方正仿宋_GBK" w:cs="Times New Roman"/>
                <w:kern w:val="0"/>
                <w:sz w:val="24"/>
                <w:szCs w:val="24"/>
                <w:lang w:val="en-US" w:eastAsia="zh-CN" w:bidi="ar-SA"/>
              </w:rPr>
            </w:pPr>
          </w:p>
        </w:tc>
      </w:tr>
      <w:tr>
        <w:tblPrEx>
          <w:tblCellMar>
            <w:top w:w="0" w:type="dxa"/>
            <w:left w:w="108" w:type="dxa"/>
            <w:bottom w:w="0" w:type="dxa"/>
            <w:right w:w="108" w:type="dxa"/>
          </w:tblCellMar>
        </w:tblPrEx>
        <w:trPr>
          <w:trHeight w:val="355"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9</w:t>
            </w:r>
          </w:p>
        </w:tc>
        <w:tc>
          <w:tcPr>
            <w:tcW w:w="9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420"/>
              <w:jc w:val="center"/>
              <w:rPr>
                <w:rFonts w:hint="default" w:ascii="Times New Roman" w:hAnsi="Times New Roman" w:eastAsia="方正仿宋_GBK" w:cs="Times New Roman"/>
                <w:kern w:val="0"/>
                <w:sz w:val="24"/>
                <w:szCs w:val="24"/>
                <w:lang w:val="en-US" w:eastAsia="zh-CN" w:bidi="ar-SA"/>
              </w:rPr>
            </w:pP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高山榨菜特色应用系统软件建设</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420"/>
              <w:jc w:val="center"/>
              <w:rPr>
                <w:rFonts w:hint="default" w:ascii="Times New Roman" w:hAnsi="Times New Roman" w:eastAsia="方正仿宋_GBK" w:cs="Times New Roman"/>
                <w:kern w:val="0"/>
                <w:sz w:val="24"/>
                <w:szCs w:val="24"/>
                <w:lang w:val="en-US" w:eastAsia="zh-CN" w:bidi="ar-SA"/>
              </w:rPr>
            </w:pPr>
          </w:p>
        </w:tc>
      </w:tr>
      <w:tr>
        <w:tblPrEx>
          <w:tblCellMar>
            <w:top w:w="0" w:type="dxa"/>
            <w:left w:w="108" w:type="dxa"/>
            <w:bottom w:w="0" w:type="dxa"/>
            <w:right w:w="108" w:type="dxa"/>
          </w:tblCellMar>
        </w:tblPrEx>
        <w:trPr>
          <w:trHeight w:val="355"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10</w:t>
            </w:r>
          </w:p>
        </w:tc>
        <w:tc>
          <w:tcPr>
            <w:tcW w:w="9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420"/>
              <w:jc w:val="center"/>
              <w:rPr>
                <w:rFonts w:hint="default" w:ascii="Times New Roman" w:hAnsi="Times New Roman" w:eastAsia="方正仿宋_GBK" w:cs="Times New Roman"/>
                <w:kern w:val="0"/>
                <w:sz w:val="24"/>
                <w:szCs w:val="24"/>
                <w:lang w:val="en-US" w:eastAsia="zh-CN" w:bidi="ar-SA"/>
              </w:rPr>
            </w:pP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数字榨菜运管服务系统软件建设</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420"/>
              <w:jc w:val="center"/>
              <w:rPr>
                <w:rFonts w:hint="default" w:ascii="Times New Roman" w:hAnsi="Times New Roman" w:eastAsia="方正仿宋_GBK" w:cs="Times New Roman"/>
                <w:kern w:val="0"/>
                <w:sz w:val="24"/>
                <w:szCs w:val="24"/>
                <w:lang w:val="en-US" w:eastAsia="zh-CN" w:bidi="ar-SA"/>
              </w:rPr>
            </w:pPr>
          </w:p>
        </w:tc>
      </w:tr>
      <w:tr>
        <w:tblPrEx>
          <w:tblCellMar>
            <w:top w:w="0" w:type="dxa"/>
            <w:left w:w="108" w:type="dxa"/>
            <w:bottom w:w="0" w:type="dxa"/>
            <w:right w:w="108" w:type="dxa"/>
          </w:tblCellMar>
        </w:tblPrEx>
        <w:trPr>
          <w:trHeight w:val="684"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11</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硬件</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（60万元）</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墒情监测设备、气象设备、病虫害监测设备、中心基站、供电系统等</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60</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kern w:val="0"/>
                <w:sz w:val="24"/>
                <w:szCs w:val="24"/>
                <w:lang w:val="en-US" w:eastAsia="zh-CN" w:bidi="ar-SA"/>
              </w:rPr>
            </w:pPr>
          </w:p>
        </w:tc>
      </w:tr>
      <w:tr>
        <w:tblPrEx>
          <w:tblCellMar>
            <w:top w:w="0" w:type="dxa"/>
            <w:left w:w="108" w:type="dxa"/>
            <w:bottom w:w="0" w:type="dxa"/>
            <w:right w:w="108" w:type="dxa"/>
          </w:tblCellMar>
        </w:tblPrEx>
        <w:trPr>
          <w:trHeight w:val="37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cs="Times New Roman"/>
                <w:kern w:val="0"/>
                <w:sz w:val="24"/>
                <w:szCs w:val="24"/>
                <w:lang w:val="en-US" w:eastAsia="zh-CN" w:bidi="ar-SA"/>
              </w:rPr>
              <w:t>12</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420"/>
              <w:jc w:val="center"/>
              <w:rPr>
                <w:rFonts w:hint="default" w:ascii="Times New Roman" w:hAnsi="Times New Roman" w:eastAsia="方正仿宋_GBK" w:cs="Times New Roman"/>
                <w:kern w:val="0"/>
                <w:sz w:val="24"/>
                <w:szCs w:val="24"/>
                <w:lang w:val="en-US" w:eastAsia="zh-CN" w:bidi="ar-SA"/>
              </w:rPr>
            </w:pP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480" w:firstLineChars="200"/>
              <w:jc w:val="center"/>
              <w:textAlignment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合计</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200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420"/>
              <w:jc w:val="center"/>
              <w:rPr>
                <w:rFonts w:hint="default" w:ascii="Times New Roman" w:hAnsi="Times New Roman" w:eastAsia="方正仿宋_GBK" w:cs="Times New Roman"/>
                <w:kern w:val="0"/>
                <w:sz w:val="24"/>
                <w:szCs w:val="24"/>
                <w:lang w:val="en-US" w:eastAsia="zh-CN" w:bidi="ar-SA"/>
              </w:rPr>
            </w:pPr>
          </w:p>
        </w:tc>
      </w:tr>
    </w:tbl>
    <w:p>
      <w:pPr>
        <w:keepNext w:val="0"/>
        <w:keepLines w:val="0"/>
        <w:pageBreakBefore w:val="0"/>
        <w:widowControl/>
        <w:kinsoku/>
        <w:wordWrap/>
        <w:overflowPunct/>
        <w:topLinePunct w:val="0"/>
        <w:autoSpaceDE/>
        <w:autoSpaceDN/>
        <w:bidi w:val="0"/>
        <w:adjustRightInd w:val="0"/>
        <w:snapToGrid/>
        <w:spacing w:line="600" w:lineRule="exact"/>
        <w:ind w:firstLine="640" w:firstLineChars="200"/>
        <w:jc w:val="both"/>
        <w:textAlignment w:val="auto"/>
        <w:rPr>
          <w:rFonts w:hint="default" w:ascii="Times New Roman" w:hAnsi="Times New Roman" w:eastAsia="方正黑体_GBK" w:cs="Times New Roman"/>
          <w:b w:val="0"/>
          <w:bCs w:val="0"/>
          <w:color w:val="auto"/>
          <w:sz w:val="32"/>
          <w:szCs w:val="24"/>
          <w:lang w:val="en-US" w:eastAsia="zh-CN"/>
        </w:rPr>
      </w:pPr>
      <w:r>
        <w:rPr>
          <w:rFonts w:hint="default" w:ascii="Times New Roman" w:hAnsi="Times New Roman" w:eastAsia="方正黑体_GBK" w:cs="Times New Roman"/>
          <w:b w:val="0"/>
          <w:bCs w:val="0"/>
          <w:color w:val="auto"/>
          <w:sz w:val="32"/>
          <w:szCs w:val="24"/>
          <w:lang w:val="en-US" w:eastAsia="zh-CN"/>
        </w:rPr>
        <w:t>四、组织保障措施</w:t>
      </w:r>
    </w:p>
    <w:p>
      <w:pPr>
        <w:keepNext w:val="0"/>
        <w:keepLines w:val="0"/>
        <w:pageBreakBefore w:val="0"/>
        <w:kinsoku/>
        <w:wordWrap/>
        <w:overflowPunct/>
        <w:topLinePunct w:val="0"/>
        <w:autoSpaceDE/>
        <w:autoSpaceDN/>
        <w:bidi w:val="0"/>
        <w:adjustRightInd/>
        <w:snapToGrid/>
        <w:spacing w:line="600" w:lineRule="exact"/>
        <w:ind w:firstLine="480"/>
        <w:textAlignment w:val="auto"/>
        <w:rPr>
          <w:rFonts w:hint="default" w:ascii="Times New Roman" w:hAnsi="Times New Roman" w:eastAsia="方正仿宋_GBK" w:cs="Times New Roman"/>
          <w:b w:val="0"/>
          <w:kern w:val="0"/>
          <w:sz w:val="32"/>
          <w:szCs w:val="32"/>
          <w:lang w:val="en-US" w:eastAsia="zh-CN" w:bidi="ar-SA"/>
        </w:rPr>
      </w:pPr>
      <w:r>
        <w:rPr>
          <w:rFonts w:hint="default" w:ascii="Times New Roman" w:hAnsi="Times New Roman" w:eastAsia="方正楷体_GBK" w:cs="Times New Roman"/>
          <w:b w:val="0"/>
          <w:bCs w:val="0"/>
          <w:color w:val="auto"/>
          <w:kern w:val="2"/>
          <w:sz w:val="32"/>
          <w:szCs w:val="24"/>
          <w:lang w:val="en-US" w:eastAsia="zh-CN" w:bidi="ar-SA"/>
        </w:rPr>
        <w:t>（一）成立工作专班。</w:t>
      </w:r>
      <w:r>
        <w:rPr>
          <w:rFonts w:hint="default" w:ascii="Times New Roman" w:hAnsi="Times New Roman" w:eastAsia="方正仿宋_GBK" w:cs="Times New Roman"/>
          <w:b w:val="0"/>
          <w:kern w:val="0"/>
          <w:sz w:val="32"/>
          <w:szCs w:val="32"/>
          <w:lang w:val="en-US" w:eastAsia="zh-CN" w:bidi="ar-SA"/>
        </w:rPr>
        <w:t>成立由项目负责人为组长的项目工作组，落实项目现场管理人员、技术人员、财务人员以及收运经纪人的工作职责，确保项目有序推进。</w:t>
      </w:r>
    </w:p>
    <w:p>
      <w:pPr>
        <w:keepNext w:val="0"/>
        <w:keepLines w:val="0"/>
        <w:pageBreakBefore w:val="0"/>
        <w:kinsoku/>
        <w:wordWrap/>
        <w:overflowPunct/>
        <w:topLinePunct w:val="0"/>
        <w:autoSpaceDE/>
        <w:autoSpaceDN/>
        <w:bidi w:val="0"/>
        <w:adjustRightInd/>
        <w:snapToGrid/>
        <w:spacing w:line="600" w:lineRule="exact"/>
        <w:ind w:firstLine="480"/>
        <w:textAlignment w:val="auto"/>
        <w:rPr>
          <w:rFonts w:hint="default" w:ascii="Times New Roman" w:hAnsi="Times New Roman" w:eastAsia="方正仿宋_GBK" w:cs="Times New Roman"/>
          <w:b w:val="0"/>
          <w:kern w:val="0"/>
          <w:sz w:val="32"/>
          <w:szCs w:val="32"/>
          <w:lang w:val="en-US" w:eastAsia="zh-CN" w:bidi="ar-SA"/>
        </w:rPr>
      </w:pPr>
      <w:r>
        <w:rPr>
          <w:rFonts w:hint="default" w:ascii="Times New Roman" w:hAnsi="Times New Roman" w:eastAsia="方正楷体_GBK" w:cs="Times New Roman"/>
          <w:b w:val="0"/>
          <w:bCs w:val="0"/>
          <w:color w:val="auto"/>
          <w:kern w:val="2"/>
          <w:sz w:val="32"/>
          <w:szCs w:val="24"/>
          <w:lang w:val="en-US" w:eastAsia="zh-CN" w:bidi="ar-SA"/>
        </w:rPr>
        <w:t>（二）严格质量标准。</w:t>
      </w:r>
      <w:r>
        <w:rPr>
          <w:rFonts w:hint="default" w:ascii="Times New Roman" w:hAnsi="Times New Roman" w:eastAsia="方正仿宋_GBK" w:cs="Times New Roman"/>
          <w:b w:val="0"/>
          <w:kern w:val="0"/>
          <w:sz w:val="32"/>
          <w:szCs w:val="32"/>
          <w:lang w:val="en-US" w:eastAsia="zh-CN" w:bidi="ar-SA"/>
        </w:rPr>
        <w:t>对项目建设的每个环节制定详细、切实可行的方案和质量标准，严格按照国家和行业标准执行，保证工期和工程进度，保质保量完成本项目。</w:t>
      </w:r>
    </w:p>
    <w:p>
      <w:pPr>
        <w:keepNext w:val="0"/>
        <w:keepLines w:val="0"/>
        <w:pageBreakBefore w:val="0"/>
        <w:kinsoku/>
        <w:wordWrap/>
        <w:overflowPunct/>
        <w:topLinePunct w:val="0"/>
        <w:autoSpaceDE/>
        <w:autoSpaceDN/>
        <w:bidi w:val="0"/>
        <w:adjustRightInd/>
        <w:snapToGrid/>
        <w:spacing w:line="600" w:lineRule="exact"/>
        <w:ind w:firstLine="48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b w:val="0"/>
          <w:bCs w:val="0"/>
          <w:color w:val="auto"/>
          <w:kern w:val="2"/>
          <w:sz w:val="32"/>
          <w:szCs w:val="24"/>
          <w:lang w:val="en-US" w:eastAsia="zh-CN" w:bidi="ar-SA"/>
        </w:rPr>
        <w:t>（三）加强运行管理。</w:t>
      </w:r>
      <w:r>
        <w:rPr>
          <w:rFonts w:hint="default" w:ascii="Times New Roman" w:hAnsi="Times New Roman" w:eastAsia="方正仿宋_GBK" w:cs="Times New Roman"/>
          <w:kern w:val="0"/>
          <w:sz w:val="32"/>
          <w:szCs w:val="32"/>
          <w:lang w:val="en-US" w:eastAsia="zh-CN" w:bidi="ar-SA"/>
        </w:rPr>
        <w:t>本项目在实施和运行过程中将安排专业技术人员负责日常管理及维护，全程监控产品质量，确保项目发挥最大效益。项目在实施过程中聘请相关专家到现场进行指导，确保项目关键技术准确无误，保证项目质量和效果。</w:t>
      </w:r>
    </w:p>
    <w:p>
      <w:pPr>
        <w:keepNext w:val="0"/>
        <w:keepLines w:val="0"/>
        <w:pageBreakBefore w:val="0"/>
        <w:kinsoku/>
        <w:wordWrap/>
        <w:overflowPunct/>
        <w:topLinePunct w:val="0"/>
        <w:autoSpaceDE/>
        <w:autoSpaceDN/>
        <w:bidi w:val="0"/>
        <w:adjustRightInd/>
        <w:snapToGrid/>
        <w:spacing w:line="600" w:lineRule="exact"/>
        <w:ind w:firstLine="480"/>
        <w:textAlignment w:val="auto"/>
        <w:rPr>
          <w:rFonts w:hint="default" w:ascii="Times New Roman" w:hAnsi="Times New Roman" w:eastAsia="方正仿宋_GBK" w:cs="Times New Roman"/>
          <w:b w:val="0"/>
          <w:kern w:val="0"/>
          <w:sz w:val="32"/>
          <w:szCs w:val="32"/>
          <w:lang w:val="en-US" w:eastAsia="zh-CN" w:bidi="ar-SA"/>
        </w:rPr>
      </w:pPr>
      <w:r>
        <w:rPr>
          <w:rFonts w:hint="default" w:ascii="Times New Roman" w:hAnsi="Times New Roman" w:eastAsia="方正楷体_GBK" w:cs="Times New Roman"/>
          <w:b w:val="0"/>
          <w:bCs w:val="0"/>
          <w:color w:val="auto"/>
          <w:kern w:val="2"/>
          <w:sz w:val="32"/>
          <w:szCs w:val="24"/>
          <w:lang w:val="en-US" w:eastAsia="zh-CN" w:bidi="ar-SA"/>
        </w:rPr>
        <w:t>（四）严格财务管理。</w:t>
      </w:r>
      <w:r>
        <w:rPr>
          <w:rFonts w:hint="default" w:ascii="Times New Roman" w:hAnsi="Times New Roman" w:eastAsia="方正仿宋_GBK" w:cs="Times New Roman"/>
          <w:b w:val="0"/>
          <w:kern w:val="0"/>
          <w:sz w:val="32"/>
          <w:szCs w:val="32"/>
          <w:lang w:val="en-US" w:eastAsia="zh-CN" w:bidi="ar-SA"/>
        </w:rPr>
        <w:t>严格执行项目管理有关规定和要求，设立项目专账，安排专业财务人员对项目的资金进行专项管理，保证专款专用，确保资金的合理使用。自觉接受相关等项目管理部门的监督和管理。</w:t>
      </w:r>
    </w:p>
    <w:p>
      <w:pPr>
        <w:keepNext w:val="0"/>
        <w:keepLines w:val="0"/>
        <w:pageBreakBefore w:val="0"/>
        <w:widowControl/>
        <w:kinsoku/>
        <w:wordWrap/>
        <w:overflowPunct/>
        <w:topLinePunct w:val="0"/>
        <w:autoSpaceDE/>
        <w:autoSpaceDN/>
        <w:bidi w:val="0"/>
        <w:adjustRightInd w:val="0"/>
        <w:snapToGrid/>
        <w:spacing w:line="600" w:lineRule="exact"/>
        <w:ind w:firstLine="640" w:firstLineChars="200"/>
        <w:jc w:val="both"/>
        <w:textAlignment w:val="auto"/>
        <w:rPr>
          <w:rFonts w:hint="default" w:ascii="Times New Roman" w:hAnsi="Times New Roman" w:eastAsia="方正黑体_GBK" w:cs="Times New Roman"/>
          <w:b w:val="0"/>
          <w:bCs w:val="0"/>
          <w:color w:val="auto"/>
          <w:sz w:val="32"/>
          <w:szCs w:val="24"/>
          <w:lang w:val="en-US" w:eastAsia="zh-CN"/>
        </w:rPr>
      </w:pPr>
      <w:r>
        <w:rPr>
          <w:rFonts w:hint="default" w:ascii="Times New Roman" w:hAnsi="Times New Roman" w:eastAsia="方正黑体_GBK" w:cs="Times New Roman"/>
          <w:b w:val="0"/>
          <w:bCs w:val="0"/>
          <w:color w:val="auto"/>
          <w:sz w:val="32"/>
          <w:szCs w:val="24"/>
          <w:lang w:val="en-US" w:eastAsia="zh-CN"/>
        </w:rPr>
        <w:t>五、项目实施单位情况</w:t>
      </w:r>
    </w:p>
    <w:p>
      <w:pPr>
        <w:keepNext w:val="0"/>
        <w:keepLines w:val="0"/>
        <w:pageBreakBefore w:val="0"/>
        <w:kinsoku/>
        <w:wordWrap/>
        <w:overflowPunct/>
        <w:topLinePunct w:val="0"/>
        <w:autoSpaceDE/>
        <w:autoSpaceDN/>
        <w:bidi w:val="0"/>
        <w:adjustRightInd/>
        <w:snapToGrid/>
        <w:spacing w:line="600" w:lineRule="exact"/>
        <w:ind w:firstLine="480"/>
        <w:textAlignment w:val="auto"/>
        <w:rPr>
          <w:rFonts w:hint="default" w:ascii="Times New Roman" w:hAnsi="Times New Roman" w:eastAsia="方正楷体_GBK" w:cs="Times New Roman"/>
          <w:b w:val="0"/>
          <w:bCs w:val="0"/>
          <w:color w:val="auto"/>
          <w:kern w:val="2"/>
          <w:sz w:val="32"/>
          <w:szCs w:val="24"/>
          <w:lang w:val="en-US" w:eastAsia="zh-CN" w:bidi="ar-SA"/>
        </w:rPr>
      </w:pPr>
      <w:r>
        <w:rPr>
          <w:rFonts w:hint="default" w:ascii="Times New Roman" w:hAnsi="Times New Roman" w:eastAsia="方正楷体_GBK" w:cs="Times New Roman"/>
          <w:b w:val="0"/>
          <w:bCs w:val="0"/>
          <w:color w:val="auto"/>
          <w:kern w:val="2"/>
          <w:sz w:val="32"/>
          <w:szCs w:val="24"/>
          <w:lang w:val="en-US" w:eastAsia="zh-CN" w:bidi="ar-SA"/>
        </w:rPr>
        <w:t>（一）单位性质、隶属关系、职能（业务）范围</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b w:val="0"/>
          <w:kern w:val="0"/>
          <w:sz w:val="32"/>
          <w:szCs w:val="32"/>
          <w:lang w:val="en-US" w:eastAsia="zh-CN" w:bidi="ar-SA"/>
        </w:rPr>
      </w:pPr>
      <w:r>
        <w:rPr>
          <w:rFonts w:hint="default" w:ascii="Times New Roman" w:hAnsi="Times New Roman" w:eastAsia="方正仿宋_GBK" w:cs="Times New Roman"/>
          <w:b w:val="0"/>
          <w:kern w:val="0"/>
          <w:sz w:val="32"/>
          <w:szCs w:val="32"/>
          <w:lang w:val="en-US" w:eastAsia="zh-CN" w:bidi="ar-SA"/>
        </w:rPr>
        <w:t>丰都县农业技术服务中心隶属于丰都农业农村委员会，负责拟定并组织实施农业技术推广计划、技术措施；负责种植业技术引进、试验、示范、推广、技术培训；制定、组织实施农作物栽培耕作制度改革做事；组织农业机械抗旱救灾；负责农机社会化服务体系建设；承担全县农业机械化技术推广及职业技能培训、农机职业技能鉴定工作。</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楷体_GBK" w:cs="Times New Roman"/>
          <w:b w:val="0"/>
          <w:bCs w:val="0"/>
          <w:color w:val="auto"/>
          <w:kern w:val="2"/>
          <w:sz w:val="32"/>
          <w:szCs w:val="24"/>
          <w:lang w:val="en-US" w:eastAsia="zh-CN" w:bidi="ar-SA"/>
        </w:rPr>
      </w:pPr>
      <w:r>
        <w:rPr>
          <w:rFonts w:hint="default" w:ascii="Times New Roman" w:hAnsi="Times New Roman" w:eastAsia="方正楷体_GBK" w:cs="Times New Roman"/>
          <w:b w:val="0"/>
          <w:bCs w:val="0"/>
          <w:color w:val="auto"/>
          <w:kern w:val="2"/>
          <w:sz w:val="32"/>
          <w:szCs w:val="24"/>
          <w:lang w:val="en-US" w:eastAsia="zh-CN" w:bidi="ar-SA"/>
        </w:rPr>
        <w:t>（二）财务收支和资产状况：</w:t>
      </w:r>
      <w:r>
        <w:rPr>
          <w:rFonts w:hint="default" w:ascii="Times New Roman" w:hAnsi="Times New Roman" w:eastAsia="方正仿宋_GBK" w:cs="Times New Roman"/>
          <w:kern w:val="0"/>
          <w:sz w:val="32"/>
          <w:szCs w:val="32"/>
          <w:lang w:val="en-US" w:eastAsia="zh-CN" w:bidi="ar-SA"/>
        </w:rPr>
        <w:t>良好</w:t>
      </w:r>
      <w:r>
        <w:rPr>
          <w:rFonts w:hint="default" w:ascii="Times New Roman" w:hAnsi="Times New Roman" w:cs="Times New Roman"/>
          <w:kern w:val="0"/>
          <w:sz w:val="32"/>
          <w:szCs w:val="32"/>
          <w:lang w:val="en-US" w:eastAsia="zh-CN" w:bidi="ar-SA"/>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b w:val="0"/>
          <w:bCs w:val="0"/>
          <w:color w:val="auto"/>
          <w:kern w:val="2"/>
          <w:sz w:val="32"/>
          <w:szCs w:val="24"/>
          <w:lang w:val="en-US" w:eastAsia="zh-CN" w:bidi="ar-SA"/>
        </w:rPr>
        <w:t>（三）有无不良记录：</w:t>
      </w:r>
      <w:r>
        <w:rPr>
          <w:rFonts w:hint="default" w:ascii="Times New Roman" w:hAnsi="Times New Roman" w:eastAsia="方正仿宋_GBK" w:cs="Times New Roman"/>
          <w:kern w:val="0"/>
          <w:sz w:val="32"/>
          <w:szCs w:val="32"/>
          <w:lang w:val="en-US" w:eastAsia="zh-CN" w:bidi="ar-SA"/>
        </w:rPr>
        <w:t>无。</w:t>
      </w:r>
    </w:p>
    <w:p>
      <w:pPr>
        <w:pStyle w:val="2"/>
        <w:rPr>
          <w:rFonts w:hint="default" w:ascii="Times New Roman" w:hAnsi="Times New Roman" w:eastAsia="方正仿宋_GBK" w:cs="Times New Roman"/>
          <w:kern w:val="0"/>
          <w:sz w:val="32"/>
          <w:szCs w:val="32"/>
          <w:lang w:val="en-US" w:eastAsia="zh-CN" w:bidi="ar-SA"/>
        </w:rPr>
      </w:pPr>
    </w:p>
    <w:p>
      <w:pPr>
        <w:pStyle w:val="2"/>
        <w:rPr>
          <w:rFonts w:hint="default" w:ascii="Times New Roman" w:hAnsi="Times New Roman" w:eastAsia="方正黑体_GBK" w:cs="Times New Roman"/>
          <w:kern w:val="2"/>
          <w:sz w:val="32"/>
          <w:szCs w:val="32"/>
          <w:lang w:val="en-US" w:eastAsia="zh-CN" w:bidi="ar-SA"/>
        </w:rPr>
      </w:pPr>
    </w:p>
    <w:p>
      <w:pPr>
        <w:pStyle w:val="2"/>
        <w:rPr>
          <w:rFonts w:hint="default" w:ascii="Times New Roman" w:hAnsi="Times New Roman" w:eastAsia="方正黑体_GBK" w:cs="Times New Roman"/>
          <w:kern w:val="2"/>
          <w:sz w:val="32"/>
          <w:szCs w:val="32"/>
          <w:lang w:val="en-US" w:eastAsia="zh-CN" w:bidi="ar-SA"/>
        </w:rPr>
      </w:pPr>
    </w:p>
    <w:p>
      <w:pPr>
        <w:pStyle w:val="2"/>
        <w:rPr>
          <w:rFonts w:hint="default" w:ascii="Times New Roman" w:hAnsi="Times New Roman" w:eastAsia="方正黑体_GBK" w:cs="Times New Roman"/>
          <w:kern w:val="2"/>
          <w:sz w:val="32"/>
          <w:szCs w:val="32"/>
          <w:lang w:val="en-US" w:eastAsia="zh-CN" w:bidi="ar-SA"/>
        </w:rPr>
      </w:pPr>
    </w:p>
    <w:p>
      <w:pPr>
        <w:pStyle w:val="2"/>
        <w:rPr>
          <w:rFonts w:hint="default" w:ascii="Times New Roman" w:hAnsi="Times New Roman" w:eastAsia="方正黑体_GBK" w:cs="Times New Roman"/>
          <w:kern w:val="2"/>
          <w:sz w:val="32"/>
          <w:szCs w:val="32"/>
          <w:lang w:val="en-US" w:eastAsia="zh-CN" w:bidi="ar-SA"/>
        </w:rPr>
      </w:pPr>
    </w:p>
    <w:p>
      <w:pPr>
        <w:pStyle w:val="2"/>
        <w:rPr>
          <w:rFonts w:hint="default" w:ascii="Times New Roman" w:hAnsi="Times New Roman" w:eastAsia="方正黑体_GBK" w:cs="Times New Roman"/>
          <w:kern w:val="2"/>
          <w:sz w:val="32"/>
          <w:szCs w:val="32"/>
          <w:lang w:val="en-US" w:eastAsia="zh-CN" w:bidi="ar-SA"/>
        </w:rPr>
      </w:pPr>
    </w:p>
    <w:p>
      <w:pPr>
        <w:pStyle w:val="2"/>
        <w:rPr>
          <w:rFonts w:hint="default" w:ascii="Times New Roman" w:hAnsi="Times New Roman" w:eastAsia="方正黑体_GBK" w:cs="Times New Roman"/>
          <w:kern w:val="2"/>
          <w:sz w:val="32"/>
          <w:szCs w:val="32"/>
          <w:lang w:val="en-US" w:eastAsia="zh-CN" w:bidi="ar-SA"/>
        </w:rPr>
      </w:pPr>
    </w:p>
    <w:p>
      <w:pPr>
        <w:pStyle w:val="2"/>
        <w:rPr>
          <w:rFonts w:hint="default" w:ascii="Times New Roman" w:hAnsi="Times New Roman" w:eastAsia="方正黑体_GBK" w:cs="Times New Roman"/>
          <w:kern w:val="2"/>
          <w:sz w:val="32"/>
          <w:szCs w:val="32"/>
          <w:lang w:val="en-US" w:eastAsia="zh-CN" w:bidi="ar-SA"/>
        </w:rPr>
      </w:pPr>
    </w:p>
    <w:p>
      <w:pPr>
        <w:pStyle w:val="2"/>
        <w:rPr>
          <w:rFonts w:hint="default" w:ascii="Times New Roman" w:hAnsi="Times New Roman" w:eastAsia="方正黑体_GBK" w:cs="Times New Roman"/>
          <w:kern w:val="2"/>
          <w:sz w:val="32"/>
          <w:szCs w:val="32"/>
          <w:lang w:val="en-US" w:eastAsia="zh-CN" w:bidi="ar-SA"/>
        </w:rPr>
      </w:pPr>
    </w:p>
    <w:tbl>
      <w:tblPr>
        <w:tblStyle w:val="25"/>
        <w:tblW w:w="8840" w:type="dxa"/>
        <w:tblInd w:w="94" w:type="dxa"/>
        <w:tblLayout w:type="fixed"/>
        <w:tblCellMar>
          <w:top w:w="0" w:type="dxa"/>
          <w:left w:w="108" w:type="dxa"/>
          <w:bottom w:w="0" w:type="dxa"/>
          <w:right w:w="108" w:type="dxa"/>
        </w:tblCellMar>
      </w:tblPr>
      <w:tblGrid>
        <w:gridCol w:w="1514"/>
        <w:gridCol w:w="334"/>
        <w:gridCol w:w="782"/>
        <w:gridCol w:w="634"/>
        <w:gridCol w:w="1294"/>
        <w:gridCol w:w="1053"/>
        <w:gridCol w:w="658"/>
        <w:gridCol w:w="1077"/>
        <w:gridCol w:w="1494"/>
      </w:tblGrid>
      <w:tr>
        <w:tblPrEx>
          <w:tblCellMar>
            <w:top w:w="0" w:type="dxa"/>
            <w:left w:w="108" w:type="dxa"/>
            <w:bottom w:w="0" w:type="dxa"/>
            <w:right w:w="108" w:type="dxa"/>
          </w:tblCellMar>
        </w:tblPrEx>
        <w:trPr>
          <w:trHeight w:val="641" w:hRule="atLeast"/>
        </w:trPr>
        <w:tc>
          <w:tcPr>
            <w:tcW w:w="8840" w:type="dxa"/>
            <w:gridSpan w:val="9"/>
            <w:tcBorders>
              <w:top w:val="nil"/>
              <w:left w:val="nil"/>
              <w:bottom w:val="nil"/>
              <w:right w:val="nil"/>
            </w:tcBorders>
            <w:vAlign w:val="center"/>
          </w:tcPr>
          <w:p>
            <w:pPr>
              <w:widowControl/>
              <w:jc w:val="center"/>
              <w:rPr>
                <w:rFonts w:hint="default" w:ascii="Times New Roman" w:hAnsi="Times New Roman" w:eastAsia="方正小标宋_GBK" w:cs="Times New Roman"/>
                <w:kern w:val="0"/>
                <w:sz w:val="40"/>
                <w:szCs w:val="40"/>
              </w:rPr>
            </w:pPr>
            <w:r>
              <w:rPr>
                <w:rFonts w:hint="default" w:ascii="Times New Roman" w:hAnsi="Times New Roman" w:eastAsia="方正小标宋_GBK" w:cs="Times New Roman"/>
                <w:kern w:val="0"/>
                <w:sz w:val="40"/>
                <w:szCs w:val="40"/>
              </w:rPr>
              <w:t>丰都县项目预算绩效目标表</w:t>
            </w:r>
          </w:p>
        </w:tc>
      </w:tr>
      <w:tr>
        <w:tblPrEx>
          <w:tblCellMar>
            <w:top w:w="0" w:type="dxa"/>
            <w:left w:w="108" w:type="dxa"/>
            <w:bottom w:w="0" w:type="dxa"/>
            <w:right w:w="108" w:type="dxa"/>
          </w:tblCellMar>
        </w:tblPrEx>
        <w:trPr>
          <w:trHeight w:val="536" w:hRule="exact"/>
        </w:trPr>
        <w:tc>
          <w:tcPr>
            <w:tcW w:w="1848" w:type="dxa"/>
            <w:gridSpan w:val="2"/>
            <w:tcBorders>
              <w:top w:val="single" w:color="auto" w:sz="4" w:space="0"/>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rPr>
                <w:rFonts w:hint="eastAsia" w:ascii="方正黑体_GBK" w:hAnsi="方正黑体_GBK" w:eastAsia="方正黑体_GBK" w:cs="方正黑体_GBK"/>
                <w:kern w:val="0"/>
                <w:sz w:val="21"/>
                <w:szCs w:val="36"/>
              </w:rPr>
            </w:pPr>
            <w:r>
              <w:rPr>
                <w:rFonts w:hint="eastAsia" w:ascii="方正黑体_GBK" w:hAnsi="方正黑体_GBK" w:eastAsia="方正黑体_GBK" w:cs="方正黑体_GBK"/>
                <w:kern w:val="0"/>
                <w:sz w:val="21"/>
                <w:szCs w:val="36"/>
              </w:rPr>
              <w:t>项目名称</w:t>
            </w:r>
          </w:p>
        </w:tc>
        <w:tc>
          <w:tcPr>
            <w:tcW w:w="6992" w:type="dxa"/>
            <w:gridSpan w:val="7"/>
            <w:tcBorders>
              <w:top w:val="single" w:color="auto" w:sz="4" w:space="0"/>
              <w:left w:val="single" w:color="auto"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rPr>
                <w:rFonts w:hint="default" w:ascii="Times New Roman" w:hAnsi="Times New Roman" w:cs="Times New Roman"/>
                <w:kern w:val="0"/>
                <w:sz w:val="21"/>
                <w:szCs w:val="36"/>
              </w:rPr>
            </w:pPr>
            <w:r>
              <w:rPr>
                <w:rFonts w:hint="default" w:ascii="Times New Roman" w:hAnsi="Times New Roman" w:eastAsia="方正仿宋_GBK" w:cs="Times New Roman"/>
                <w:color w:val="000000"/>
                <w:sz w:val="20"/>
                <w:szCs w:val="20"/>
                <w:lang w:val="en-US" w:eastAsia="zh-CN"/>
              </w:rPr>
              <w:t>丰都县</w:t>
            </w:r>
            <w:r>
              <w:rPr>
                <w:rFonts w:hint="default" w:ascii="Times New Roman" w:hAnsi="Times New Roman" w:eastAsia="方正仿宋_GBK" w:cs="Times New Roman"/>
                <w:color w:val="000000"/>
                <w:sz w:val="20"/>
                <w:szCs w:val="20"/>
              </w:rPr>
              <w:t>数字榨菜分中心建设项目</w:t>
            </w:r>
          </w:p>
        </w:tc>
      </w:tr>
      <w:tr>
        <w:tblPrEx>
          <w:tblCellMar>
            <w:top w:w="0" w:type="dxa"/>
            <w:left w:w="108" w:type="dxa"/>
            <w:bottom w:w="0" w:type="dxa"/>
            <w:right w:w="108" w:type="dxa"/>
          </w:tblCellMar>
        </w:tblPrEx>
        <w:trPr>
          <w:trHeight w:val="635" w:hRule="exact"/>
        </w:trPr>
        <w:tc>
          <w:tcPr>
            <w:tcW w:w="18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rPr>
                <w:rFonts w:hint="eastAsia" w:ascii="方正黑体_GBK" w:hAnsi="方正黑体_GBK" w:eastAsia="方正黑体_GBK" w:cs="方正黑体_GBK"/>
                <w:kern w:val="0"/>
                <w:sz w:val="21"/>
                <w:szCs w:val="36"/>
              </w:rPr>
            </w:pPr>
            <w:r>
              <w:rPr>
                <w:rFonts w:hint="eastAsia" w:ascii="方正黑体_GBK" w:hAnsi="方正黑体_GBK" w:eastAsia="方正黑体_GBK" w:cs="方正黑体_GBK"/>
                <w:kern w:val="0"/>
                <w:sz w:val="21"/>
                <w:szCs w:val="36"/>
              </w:rPr>
              <w:t>主管部门及代码</w:t>
            </w:r>
          </w:p>
        </w:tc>
        <w:tc>
          <w:tcPr>
            <w:tcW w:w="271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丰都县农业农村委员会</w:t>
            </w:r>
          </w:p>
        </w:tc>
        <w:tc>
          <w:tcPr>
            <w:tcW w:w="10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rPr>
                <w:rFonts w:hint="eastAsia" w:ascii="方正黑体_GBK" w:hAnsi="方正黑体_GBK" w:eastAsia="方正黑体_GBK" w:cs="方正黑体_GBK"/>
                <w:kern w:val="0"/>
                <w:sz w:val="21"/>
                <w:szCs w:val="36"/>
              </w:rPr>
            </w:pPr>
            <w:r>
              <w:rPr>
                <w:rFonts w:hint="eastAsia" w:ascii="方正黑体_GBK" w:hAnsi="方正黑体_GBK" w:eastAsia="方正黑体_GBK" w:cs="方正黑体_GBK"/>
                <w:kern w:val="0"/>
                <w:sz w:val="21"/>
                <w:szCs w:val="36"/>
              </w:rPr>
              <w:t>实施</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rPr>
                <w:rFonts w:hint="eastAsia" w:ascii="方正黑体_GBK" w:hAnsi="方正黑体_GBK" w:eastAsia="方正黑体_GBK" w:cs="方正黑体_GBK"/>
                <w:kern w:val="0"/>
                <w:sz w:val="21"/>
                <w:szCs w:val="36"/>
              </w:rPr>
            </w:pPr>
            <w:r>
              <w:rPr>
                <w:rFonts w:hint="eastAsia" w:ascii="方正黑体_GBK" w:hAnsi="方正黑体_GBK" w:eastAsia="方正黑体_GBK" w:cs="方正黑体_GBK"/>
                <w:kern w:val="0"/>
                <w:sz w:val="21"/>
                <w:szCs w:val="36"/>
              </w:rPr>
              <w:t>单位</w:t>
            </w:r>
          </w:p>
        </w:tc>
        <w:tc>
          <w:tcPr>
            <w:tcW w:w="3229"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丰都县农业技术服务中心</w:t>
            </w:r>
          </w:p>
        </w:tc>
      </w:tr>
      <w:tr>
        <w:tblPrEx>
          <w:tblCellMar>
            <w:top w:w="0" w:type="dxa"/>
            <w:left w:w="108" w:type="dxa"/>
            <w:bottom w:w="0" w:type="dxa"/>
            <w:right w:w="108" w:type="dxa"/>
          </w:tblCellMar>
        </w:tblPrEx>
        <w:trPr>
          <w:trHeight w:val="552" w:hRule="exact"/>
        </w:trPr>
        <w:tc>
          <w:tcPr>
            <w:tcW w:w="18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rPr>
                <w:rFonts w:hint="eastAsia" w:ascii="方正黑体_GBK" w:hAnsi="方正黑体_GBK" w:eastAsia="方正黑体_GBK" w:cs="方正黑体_GBK"/>
                <w:kern w:val="0"/>
                <w:sz w:val="21"/>
                <w:szCs w:val="36"/>
              </w:rPr>
            </w:pPr>
            <w:r>
              <w:rPr>
                <w:rFonts w:hint="eastAsia" w:ascii="方正黑体_GBK" w:hAnsi="方正黑体_GBK" w:eastAsia="方正黑体_GBK" w:cs="方正黑体_GBK"/>
                <w:kern w:val="0"/>
                <w:sz w:val="21"/>
                <w:szCs w:val="36"/>
              </w:rPr>
              <w:t>项目属性</w:t>
            </w:r>
          </w:p>
        </w:tc>
        <w:tc>
          <w:tcPr>
            <w:tcW w:w="271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rPr>
                <w:rFonts w:hint="default" w:ascii="Times New Roman" w:hAnsi="Times New Roman" w:cs="Times New Roman"/>
                <w:color w:val="000000"/>
                <w:sz w:val="20"/>
                <w:szCs w:val="20"/>
              </w:rPr>
            </w:pPr>
            <w:r>
              <w:rPr>
                <w:rFonts w:hint="default" w:ascii="Times New Roman" w:hAnsi="Times New Roman" w:eastAsia="方正仿宋_GBK" w:cs="Times New Roman"/>
                <w:color w:val="000000"/>
                <w:sz w:val="20"/>
                <w:szCs w:val="20"/>
                <w:lang w:val="en-US" w:eastAsia="zh-CN"/>
              </w:rPr>
              <w:t>新建</w:t>
            </w:r>
          </w:p>
        </w:tc>
        <w:tc>
          <w:tcPr>
            <w:tcW w:w="10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rPr>
                <w:rFonts w:hint="eastAsia" w:ascii="方正黑体_GBK" w:hAnsi="方正黑体_GBK" w:eastAsia="方正黑体_GBK" w:cs="方正黑体_GBK"/>
                <w:kern w:val="0"/>
                <w:sz w:val="21"/>
                <w:szCs w:val="36"/>
              </w:rPr>
            </w:pPr>
            <w:r>
              <w:rPr>
                <w:rFonts w:hint="eastAsia" w:ascii="方正黑体_GBK" w:hAnsi="方正黑体_GBK" w:eastAsia="方正黑体_GBK" w:cs="方正黑体_GBK"/>
                <w:kern w:val="0"/>
                <w:sz w:val="21"/>
                <w:szCs w:val="36"/>
              </w:rPr>
              <w:t>项目期</w:t>
            </w:r>
          </w:p>
        </w:tc>
        <w:tc>
          <w:tcPr>
            <w:tcW w:w="3229" w:type="dxa"/>
            <w:gridSpan w:val="3"/>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2024.9-2025.2</w:t>
            </w:r>
          </w:p>
        </w:tc>
      </w:tr>
      <w:tr>
        <w:tblPrEx>
          <w:tblCellMar>
            <w:top w:w="0" w:type="dxa"/>
            <w:left w:w="108" w:type="dxa"/>
            <w:bottom w:w="0" w:type="dxa"/>
            <w:right w:w="108" w:type="dxa"/>
          </w:tblCellMar>
        </w:tblPrEx>
        <w:trPr>
          <w:trHeight w:val="540" w:hRule="exact"/>
        </w:trPr>
        <w:tc>
          <w:tcPr>
            <w:tcW w:w="1514" w:type="dxa"/>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rPr>
                <w:rFonts w:hint="eastAsia" w:ascii="方正黑体_GBK" w:hAnsi="方正黑体_GBK" w:eastAsia="方正黑体_GBK" w:cs="方正黑体_GBK"/>
                <w:kern w:val="0"/>
                <w:sz w:val="21"/>
                <w:szCs w:val="36"/>
              </w:rPr>
            </w:pPr>
            <w:r>
              <w:rPr>
                <w:rFonts w:hint="eastAsia" w:ascii="方正黑体_GBK" w:hAnsi="方正黑体_GBK" w:eastAsia="方正黑体_GBK" w:cs="方正黑体_GBK"/>
                <w:kern w:val="0"/>
                <w:sz w:val="21"/>
                <w:szCs w:val="36"/>
              </w:rPr>
              <w:t>项目资金</w:t>
            </w:r>
            <w:r>
              <w:rPr>
                <w:rFonts w:hint="eastAsia" w:ascii="方正黑体_GBK" w:hAnsi="方正黑体_GBK" w:eastAsia="方正黑体_GBK" w:cs="方正黑体_GBK"/>
                <w:kern w:val="0"/>
                <w:sz w:val="21"/>
                <w:szCs w:val="36"/>
              </w:rPr>
              <w:br w:type="textWrapping"/>
            </w:r>
            <w:r>
              <w:rPr>
                <w:rFonts w:hint="eastAsia" w:ascii="方正黑体_GBK" w:hAnsi="方正黑体_GBK" w:eastAsia="方正黑体_GBK" w:cs="方正黑体_GBK"/>
                <w:kern w:val="0"/>
                <w:sz w:val="21"/>
                <w:szCs w:val="36"/>
              </w:rPr>
              <w:t>（万元）</w:t>
            </w:r>
          </w:p>
        </w:tc>
        <w:tc>
          <w:tcPr>
            <w:tcW w:w="175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年度资金总额：</w:t>
            </w:r>
          </w:p>
        </w:tc>
        <w:tc>
          <w:tcPr>
            <w:tcW w:w="5576"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200</w:t>
            </w:r>
          </w:p>
        </w:tc>
      </w:tr>
      <w:tr>
        <w:tblPrEx>
          <w:tblCellMar>
            <w:top w:w="0" w:type="dxa"/>
            <w:left w:w="108" w:type="dxa"/>
            <w:bottom w:w="0" w:type="dxa"/>
            <w:right w:w="108" w:type="dxa"/>
          </w:tblCellMar>
        </w:tblPrEx>
        <w:trPr>
          <w:trHeight w:val="563" w:hRule="exact"/>
        </w:trPr>
        <w:tc>
          <w:tcPr>
            <w:tcW w:w="1514"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rPr>
                <w:rFonts w:hint="eastAsia" w:ascii="方正黑体_GBK" w:hAnsi="方正黑体_GBK" w:eastAsia="方正黑体_GBK" w:cs="方正黑体_GBK"/>
                <w:kern w:val="0"/>
                <w:sz w:val="21"/>
                <w:szCs w:val="36"/>
              </w:rPr>
            </w:pPr>
          </w:p>
        </w:tc>
        <w:tc>
          <w:tcPr>
            <w:tcW w:w="175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其中：财政拨款</w:t>
            </w:r>
          </w:p>
        </w:tc>
        <w:tc>
          <w:tcPr>
            <w:tcW w:w="5576"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200</w:t>
            </w:r>
          </w:p>
        </w:tc>
      </w:tr>
      <w:tr>
        <w:tblPrEx>
          <w:tblCellMar>
            <w:top w:w="0" w:type="dxa"/>
            <w:left w:w="108" w:type="dxa"/>
            <w:bottom w:w="0" w:type="dxa"/>
            <w:right w:w="108" w:type="dxa"/>
          </w:tblCellMar>
        </w:tblPrEx>
        <w:trPr>
          <w:trHeight w:val="432" w:hRule="exact"/>
        </w:trPr>
        <w:tc>
          <w:tcPr>
            <w:tcW w:w="1514"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rPr>
                <w:rFonts w:hint="eastAsia" w:ascii="方正黑体_GBK" w:hAnsi="方正黑体_GBK" w:eastAsia="方正黑体_GBK" w:cs="方正黑体_GBK"/>
                <w:kern w:val="0"/>
                <w:sz w:val="21"/>
                <w:szCs w:val="36"/>
              </w:rPr>
            </w:pPr>
          </w:p>
        </w:tc>
        <w:tc>
          <w:tcPr>
            <w:tcW w:w="175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其他资金</w:t>
            </w:r>
          </w:p>
        </w:tc>
        <w:tc>
          <w:tcPr>
            <w:tcW w:w="5576"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0</w:t>
            </w:r>
          </w:p>
        </w:tc>
      </w:tr>
      <w:tr>
        <w:tblPrEx>
          <w:tblCellMar>
            <w:top w:w="0" w:type="dxa"/>
            <w:left w:w="108" w:type="dxa"/>
            <w:bottom w:w="0" w:type="dxa"/>
            <w:right w:w="108" w:type="dxa"/>
          </w:tblCellMar>
        </w:tblPrEx>
        <w:trPr>
          <w:trHeight w:val="766" w:hRule="atLeast"/>
        </w:trPr>
        <w:tc>
          <w:tcPr>
            <w:tcW w:w="15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rPr>
                <w:rFonts w:hint="eastAsia" w:ascii="方正黑体_GBK" w:hAnsi="方正黑体_GBK" w:eastAsia="方正黑体_GBK" w:cs="方正黑体_GBK"/>
                <w:kern w:val="0"/>
                <w:sz w:val="21"/>
                <w:szCs w:val="36"/>
              </w:rPr>
            </w:pPr>
            <w:r>
              <w:rPr>
                <w:rFonts w:hint="eastAsia" w:ascii="方正黑体_GBK" w:hAnsi="方正黑体_GBK" w:eastAsia="方正黑体_GBK" w:cs="方正黑体_GBK"/>
                <w:kern w:val="0"/>
                <w:sz w:val="21"/>
                <w:szCs w:val="36"/>
              </w:rPr>
              <w:t>年度总体目标</w:t>
            </w:r>
          </w:p>
        </w:tc>
        <w:tc>
          <w:tcPr>
            <w:tcW w:w="7326" w:type="dxa"/>
            <w:gridSpan w:val="8"/>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建设数字榨菜产业分中心，搭建榨菜数字化科研创新平台，推动榨菜产业高质量发展。</w:t>
            </w:r>
          </w:p>
        </w:tc>
      </w:tr>
      <w:tr>
        <w:tblPrEx>
          <w:tblCellMar>
            <w:top w:w="0" w:type="dxa"/>
            <w:left w:w="108" w:type="dxa"/>
            <w:bottom w:w="0" w:type="dxa"/>
            <w:right w:w="108" w:type="dxa"/>
          </w:tblCellMar>
        </w:tblPrEx>
        <w:trPr>
          <w:trHeight w:val="621" w:hRule="atLeast"/>
        </w:trPr>
        <w:tc>
          <w:tcPr>
            <w:tcW w:w="1514"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rPr>
                <w:rFonts w:hint="default" w:ascii="Times New Roman" w:hAnsi="Times New Roman" w:cs="Times New Roman"/>
                <w:kern w:val="0"/>
                <w:sz w:val="21"/>
                <w:szCs w:val="36"/>
              </w:rPr>
            </w:pPr>
            <w:r>
              <w:rPr>
                <w:rFonts w:hint="eastAsia" w:ascii="方正黑体_GBK" w:hAnsi="方正黑体_GBK" w:eastAsia="方正黑体_GBK" w:cs="方正黑体_GBK"/>
                <w:kern w:val="0"/>
                <w:sz w:val="21"/>
                <w:szCs w:val="36"/>
              </w:rPr>
              <w:t>绩</w:t>
            </w:r>
            <w:r>
              <w:rPr>
                <w:rFonts w:hint="eastAsia" w:ascii="方正黑体_GBK" w:hAnsi="方正黑体_GBK" w:eastAsia="方正黑体_GBK" w:cs="方正黑体_GBK"/>
                <w:kern w:val="0"/>
                <w:sz w:val="21"/>
                <w:szCs w:val="36"/>
              </w:rPr>
              <w:br w:type="textWrapping"/>
            </w:r>
            <w:r>
              <w:rPr>
                <w:rFonts w:hint="eastAsia" w:ascii="方正黑体_GBK" w:hAnsi="方正黑体_GBK" w:eastAsia="方正黑体_GBK" w:cs="方正黑体_GBK"/>
                <w:kern w:val="0"/>
                <w:sz w:val="21"/>
                <w:szCs w:val="36"/>
              </w:rPr>
              <w:t>效</w:t>
            </w:r>
            <w:r>
              <w:rPr>
                <w:rFonts w:hint="eastAsia" w:ascii="方正黑体_GBK" w:hAnsi="方正黑体_GBK" w:eastAsia="方正黑体_GBK" w:cs="方正黑体_GBK"/>
                <w:kern w:val="0"/>
                <w:sz w:val="21"/>
                <w:szCs w:val="36"/>
              </w:rPr>
              <w:br w:type="textWrapping"/>
            </w:r>
            <w:r>
              <w:rPr>
                <w:rFonts w:hint="eastAsia" w:ascii="方正黑体_GBK" w:hAnsi="方正黑体_GBK" w:eastAsia="方正黑体_GBK" w:cs="方正黑体_GBK"/>
                <w:kern w:val="0"/>
                <w:sz w:val="21"/>
                <w:szCs w:val="36"/>
              </w:rPr>
              <w:t>指</w:t>
            </w:r>
            <w:r>
              <w:rPr>
                <w:rFonts w:hint="eastAsia" w:ascii="方正黑体_GBK" w:hAnsi="方正黑体_GBK" w:eastAsia="方正黑体_GBK" w:cs="方正黑体_GBK"/>
                <w:kern w:val="0"/>
                <w:sz w:val="21"/>
                <w:szCs w:val="36"/>
              </w:rPr>
              <w:br w:type="textWrapping"/>
            </w:r>
            <w:r>
              <w:rPr>
                <w:rFonts w:hint="eastAsia" w:ascii="方正黑体_GBK" w:hAnsi="方正黑体_GBK" w:eastAsia="方正黑体_GBK" w:cs="方正黑体_GBK"/>
                <w:kern w:val="0"/>
                <w:sz w:val="21"/>
                <w:szCs w:val="36"/>
              </w:rPr>
              <w:t>标</w:t>
            </w:r>
          </w:p>
        </w:tc>
        <w:tc>
          <w:tcPr>
            <w:tcW w:w="1116"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rPr>
                <w:rFonts w:hint="eastAsia" w:ascii="方正黑体_GBK" w:hAnsi="方正黑体_GBK" w:eastAsia="方正黑体_GBK" w:cs="方正黑体_GBK"/>
                <w:kern w:val="0"/>
                <w:sz w:val="21"/>
                <w:szCs w:val="36"/>
              </w:rPr>
            </w:pPr>
            <w:r>
              <w:rPr>
                <w:rFonts w:hint="eastAsia" w:ascii="方正黑体_GBK" w:hAnsi="方正黑体_GBK" w:eastAsia="方正黑体_GBK" w:cs="方正黑体_GBK"/>
                <w:kern w:val="0"/>
                <w:sz w:val="21"/>
                <w:szCs w:val="36"/>
              </w:rPr>
              <w:t>一级指标</w:t>
            </w:r>
          </w:p>
        </w:tc>
        <w:tc>
          <w:tcPr>
            <w:tcW w:w="192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rPr>
                <w:rFonts w:hint="eastAsia" w:ascii="方正黑体_GBK" w:hAnsi="方正黑体_GBK" w:eastAsia="方正黑体_GBK" w:cs="方正黑体_GBK"/>
                <w:kern w:val="0"/>
                <w:sz w:val="21"/>
                <w:szCs w:val="36"/>
              </w:rPr>
            </w:pPr>
            <w:r>
              <w:rPr>
                <w:rFonts w:hint="eastAsia" w:ascii="方正黑体_GBK" w:hAnsi="方正黑体_GBK" w:eastAsia="方正黑体_GBK" w:cs="方正黑体_GBK"/>
                <w:kern w:val="0"/>
                <w:sz w:val="21"/>
                <w:szCs w:val="36"/>
              </w:rPr>
              <w:t>二级指标</w:t>
            </w:r>
          </w:p>
        </w:tc>
        <w:tc>
          <w:tcPr>
            <w:tcW w:w="171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rPr>
                <w:rFonts w:hint="eastAsia" w:ascii="方正黑体_GBK" w:hAnsi="方正黑体_GBK" w:eastAsia="方正黑体_GBK" w:cs="方正黑体_GBK"/>
                <w:kern w:val="0"/>
                <w:sz w:val="21"/>
                <w:szCs w:val="36"/>
              </w:rPr>
            </w:pPr>
            <w:r>
              <w:rPr>
                <w:rFonts w:hint="eastAsia" w:ascii="方正黑体_GBK" w:hAnsi="方正黑体_GBK" w:eastAsia="方正黑体_GBK" w:cs="方正黑体_GBK"/>
                <w:kern w:val="0"/>
                <w:sz w:val="21"/>
                <w:szCs w:val="36"/>
              </w:rPr>
              <w:t>三级指标</w:t>
            </w:r>
          </w:p>
        </w:tc>
        <w:tc>
          <w:tcPr>
            <w:tcW w:w="1077"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rPr>
                <w:rFonts w:hint="eastAsia" w:ascii="方正黑体_GBK" w:hAnsi="方正黑体_GBK" w:eastAsia="方正黑体_GBK" w:cs="方正黑体_GBK"/>
                <w:kern w:val="0"/>
                <w:sz w:val="21"/>
                <w:szCs w:val="36"/>
              </w:rPr>
            </w:pPr>
            <w:r>
              <w:rPr>
                <w:rFonts w:hint="eastAsia" w:ascii="方正黑体_GBK" w:hAnsi="方正黑体_GBK" w:eastAsia="方正黑体_GBK" w:cs="方正黑体_GBK"/>
                <w:kern w:val="0"/>
                <w:sz w:val="21"/>
                <w:szCs w:val="36"/>
              </w:rPr>
              <w:t>计量单位</w:t>
            </w:r>
          </w:p>
        </w:tc>
        <w:tc>
          <w:tcPr>
            <w:tcW w:w="14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rPr>
                <w:rFonts w:hint="eastAsia" w:ascii="方正黑体_GBK" w:hAnsi="方正黑体_GBK" w:eastAsia="方正黑体_GBK" w:cs="方正黑体_GBK"/>
                <w:kern w:val="0"/>
                <w:sz w:val="21"/>
                <w:szCs w:val="36"/>
              </w:rPr>
            </w:pPr>
            <w:r>
              <w:rPr>
                <w:rFonts w:hint="eastAsia" w:ascii="方正黑体_GBK" w:hAnsi="方正黑体_GBK" w:eastAsia="方正黑体_GBK" w:cs="方正黑体_GBK"/>
                <w:kern w:val="0"/>
                <w:sz w:val="21"/>
                <w:szCs w:val="36"/>
              </w:rPr>
              <w:t>指标值</w:t>
            </w:r>
          </w:p>
        </w:tc>
      </w:tr>
      <w:tr>
        <w:tblPrEx>
          <w:tblCellMar>
            <w:top w:w="0" w:type="dxa"/>
            <w:left w:w="108" w:type="dxa"/>
            <w:bottom w:w="0" w:type="dxa"/>
            <w:right w:w="108" w:type="dxa"/>
          </w:tblCellMar>
        </w:tblPrEx>
        <w:trPr>
          <w:trHeight w:val="804" w:hRule="exact"/>
        </w:trPr>
        <w:tc>
          <w:tcPr>
            <w:tcW w:w="15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cs="Times New Roman"/>
                <w:kern w:val="0"/>
                <w:sz w:val="21"/>
                <w:szCs w:val="36"/>
              </w:rPr>
            </w:pPr>
          </w:p>
        </w:tc>
        <w:tc>
          <w:tcPr>
            <w:tcW w:w="1116" w:type="dxa"/>
            <w:gridSpan w:val="2"/>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rPr>
                <w:rFonts w:hint="default" w:ascii="Times New Roman" w:hAnsi="Times New Roman" w:eastAsia="方正仿宋_GBK" w:cs="Times New Roman"/>
                <w:kern w:val="0"/>
                <w:sz w:val="21"/>
                <w:szCs w:val="36"/>
              </w:rPr>
            </w:pPr>
            <w:r>
              <w:rPr>
                <w:rFonts w:hint="default" w:ascii="Times New Roman" w:hAnsi="Times New Roman" w:eastAsia="方正仿宋_GBK" w:cs="Times New Roman"/>
                <w:kern w:val="0"/>
                <w:sz w:val="21"/>
                <w:szCs w:val="36"/>
              </w:rPr>
              <w:t>产出指标</w:t>
            </w:r>
          </w:p>
        </w:tc>
        <w:tc>
          <w:tcPr>
            <w:tcW w:w="1928" w:type="dxa"/>
            <w:gridSpan w:val="2"/>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rPr>
                <w:rFonts w:hint="default" w:ascii="Times New Roman" w:hAnsi="Times New Roman" w:eastAsia="方正仿宋_GBK" w:cs="Times New Roman"/>
                <w:kern w:val="0"/>
                <w:sz w:val="21"/>
                <w:szCs w:val="36"/>
              </w:rPr>
            </w:pPr>
            <w:r>
              <w:rPr>
                <w:rFonts w:hint="default" w:ascii="Times New Roman" w:hAnsi="Times New Roman" w:eastAsia="方正仿宋_GBK" w:cs="Times New Roman"/>
                <w:kern w:val="0"/>
                <w:sz w:val="21"/>
                <w:szCs w:val="36"/>
              </w:rPr>
              <w:t>数量指标</w:t>
            </w:r>
          </w:p>
        </w:tc>
        <w:tc>
          <w:tcPr>
            <w:tcW w:w="171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rPr>
                <w:rFonts w:hint="default" w:ascii="Times New Roman" w:hAnsi="Times New Roman" w:eastAsia="方正仿宋_GBK" w:cs="Times New Roman"/>
                <w:kern w:val="0"/>
                <w:sz w:val="21"/>
                <w:szCs w:val="36"/>
              </w:rPr>
            </w:pPr>
            <w:r>
              <w:rPr>
                <w:rFonts w:hint="default" w:ascii="Times New Roman" w:hAnsi="Times New Roman" w:eastAsia="方正仿宋_GBK" w:cs="Times New Roman"/>
                <w:kern w:val="0"/>
                <w:sz w:val="21"/>
                <w:szCs w:val="36"/>
              </w:rPr>
              <w:t>榨菜产业数据平台</w:t>
            </w:r>
          </w:p>
        </w:tc>
        <w:tc>
          <w:tcPr>
            <w:tcW w:w="1077"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kern w:val="0"/>
                <w:sz w:val="21"/>
                <w:szCs w:val="36"/>
              </w:rPr>
            </w:pPr>
            <w:r>
              <w:rPr>
                <w:rFonts w:hint="default" w:ascii="Times New Roman" w:hAnsi="Times New Roman" w:eastAsia="方正仿宋_GBK" w:cs="Times New Roman"/>
                <w:kern w:val="0"/>
                <w:sz w:val="21"/>
                <w:szCs w:val="36"/>
              </w:rPr>
              <w:t>个</w:t>
            </w:r>
          </w:p>
        </w:tc>
        <w:tc>
          <w:tcPr>
            <w:tcW w:w="14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kern w:val="0"/>
                <w:sz w:val="21"/>
                <w:szCs w:val="36"/>
              </w:rPr>
            </w:pPr>
            <w:r>
              <w:rPr>
                <w:rFonts w:hint="default" w:ascii="Times New Roman" w:hAnsi="Times New Roman" w:eastAsia="方正仿宋_GBK" w:cs="Times New Roman"/>
                <w:kern w:val="0"/>
                <w:sz w:val="21"/>
                <w:szCs w:val="36"/>
              </w:rPr>
              <w:t>1</w:t>
            </w:r>
          </w:p>
        </w:tc>
      </w:tr>
      <w:tr>
        <w:tblPrEx>
          <w:tblCellMar>
            <w:top w:w="0" w:type="dxa"/>
            <w:left w:w="108" w:type="dxa"/>
            <w:bottom w:w="0" w:type="dxa"/>
            <w:right w:w="108" w:type="dxa"/>
          </w:tblCellMar>
        </w:tblPrEx>
        <w:trPr>
          <w:trHeight w:val="603" w:hRule="exact"/>
        </w:trPr>
        <w:tc>
          <w:tcPr>
            <w:tcW w:w="15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cs="Times New Roman"/>
                <w:kern w:val="0"/>
                <w:sz w:val="21"/>
                <w:szCs w:val="36"/>
              </w:rPr>
            </w:pPr>
          </w:p>
        </w:tc>
        <w:tc>
          <w:tcPr>
            <w:tcW w:w="1116"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kern w:val="0"/>
                <w:sz w:val="21"/>
                <w:szCs w:val="36"/>
              </w:rPr>
            </w:pPr>
          </w:p>
        </w:tc>
        <w:tc>
          <w:tcPr>
            <w:tcW w:w="1928"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kern w:val="0"/>
                <w:sz w:val="21"/>
                <w:szCs w:val="36"/>
              </w:rPr>
            </w:pPr>
          </w:p>
        </w:tc>
        <w:tc>
          <w:tcPr>
            <w:tcW w:w="171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rPr>
                <w:rFonts w:hint="default" w:ascii="Times New Roman" w:hAnsi="Times New Roman" w:eastAsia="方正仿宋_GBK" w:cs="Times New Roman"/>
                <w:kern w:val="0"/>
                <w:sz w:val="21"/>
                <w:szCs w:val="36"/>
              </w:rPr>
            </w:pPr>
            <w:r>
              <w:rPr>
                <w:rFonts w:hint="default" w:ascii="Times New Roman" w:hAnsi="Times New Roman" w:eastAsia="方正仿宋_GBK" w:cs="Times New Roman"/>
                <w:kern w:val="0"/>
                <w:sz w:val="21"/>
                <w:szCs w:val="36"/>
              </w:rPr>
              <w:t>涵盖乡镇</w:t>
            </w:r>
          </w:p>
        </w:tc>
        <w:tc>
          <w:tcPr>
            <w:tcW w:w="1077"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rPr>
                <w:rFonts w:hint="default" w:ascii="Times New Roman" w:hAnsi="Times New Roman" w:eastAsia="方正仿宋_GBK" w:cs="Times New Roman"/>
                <w:kern w:val="0"/>
                <w:sz w:val="21"/>
                <w:szCs w:val="36"/>
              </w:rPr>
            </w:pPr>
            <w:r>
              <w:rPr>
                <w:rFonts w:hint="default" w:ascii="Times New Roman" w:hAnsi="Times New Roman" w:eastAsia="方正仿宋_GBK" w:cs="Times New Roman"/>
                <w:kern w:val="0"/>
                <w:sz w:val="21"/>
                <w:szCs w:val="36"/>
              </w:rPr>
              <w:t>个</w:t>
            </w:r>
          </w:p>
        </w:tc>
        <w:tc>
          <w:tcPr>
            <w:tcW w:w="14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kern w:val="0"/>
                <w:sz w:val="21"/>
                <w:szCs w:val="36"/>
              </w:rPr>
            </w:pPr>
            <w:r>
              <w:rPr>
                <w:rFonts w:hint="default" w:ascii="Times New Roman" w:hAnsi="Times New Roman" w:eastAsia="方正仿宋_GBK" w:cs="Times New Roman"/>
                <w:kern w:val="0"/>
                <w:sz w:val="21"/>
                <w:szCs w:val="36"/>
              </w:rPr>
              <w:t>≥10</w:t>
            </w:r>
          </w:p>
        </w:tc>
      </w:tr>
      <w:tr>
        <w:tblPrEx>
          <w:tblCellMar>
            <w:top w:w="0" w:type="dxa"/>
            <w:left w:w="108" w:type="dxa"/>
            <w:bottom w:w="0" w:type="dxa"/>
            <w:right w:w="108" w:type="dxa"/>
          </w:tblCellMar>
        </w:tblPrEx>
        <w:trPr>
          <w:trHeight w:val="502" w:hRule="exact"/>
        </w:trPr>
        <w:tc>
          <w:tcPr>
            <w:tcW w:w="15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cs="Times New Roman"/>
                <w:kern w:val="0"/>
                <w:sz w:val="21"/>
                <w:szCs w:val="36"/>
              </w:rPr>
            </w:pPr>
          </w:p>
        </w:tc>
        <w:tc>
          <w:tcPr>
            <w:tcW w:w="1116"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kern w:val="0"/>
                <w:sz w:val="21"/>
                <w:szCs w:val="36"/>
              </w:rPr>
            </w:pPr>
          </w:p>
        </w:tc>
        <w:tc>
          <w:tcPr>
            <w:tcW w:w="1928"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kern w:val="0"/>
                <w:sz w:val="21"/>
                <w:szCs w:val="36"/>
              </w:rPr>
            </w:pPr>
          </w:p>
        </w:tc>
        <w:tc>
          <w:tcPr>
            <w:tcW w:w="171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rPr>
                <w:rFonts w:hint="default" w:ascii="Times New Roman" w:hAnsi="Times New Roman" w:eastAsia="方正仿宋_GBK" w:cs="Times New Roman"/>
                <w:kern w:val="0"/>
                <w:sz w:val="21"/>
                <w:szCs w:val="36"/>
              </w:rPr>
            </w:pPr>
            <w:r>
              <w:rPr>
                <w:rFonts w:hint="default" w:ascii="Times New Roman" w:hAnsi="Times New Roman" w:eastAsia="方正仿宋_GBK" w:cs="Times New Roman"/>
                <w:kern w:val="0"/>
                <w:sz w:val="21"/>
                <w:szCs w:val="36"/>
              </w:rPr>
              <w:t>涵盖面积</w:t>
            </w:r>
          </w:p>
        </w:tc>
        <w:tc>
          <w:tcPr>
            <w:tcW w:w="1077"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210" w:firstLineChars="100"/>
              <w:jc w:val="center"/>
              <w:rPr>
                <w:rFonts w:hint="default" w:ascii="Times New Roman" w:hAnsi="Times New Roman" w:eastAsia="方正仿宋_GBK" w:cs="Times New Roman"/>
                <w:kern w:val="0"/>
                <w:sz w:val="21"/>
                <w:szCs w:val="36"/>
              </w:rPr>
            </w:pPr>
            <w:r>
              <w:rPr>
                <w:rFonts w:hint="default" w:ascii="Times New Roman" w:hAnsi="Times New Roman" w:eastAsia="方正仿宋_GBK" w:cs="Times New Roman"/>
                <w:kern w:val="0"/>
                <w:sz w:val="21"/>
                <w:szCs w:val="36"/>
              </w:rPr>
              <w:t>万亩</w:t>
            </w:r>
          </w:p>
        </w:tc>
        <w:tc>
          <w:tcPr>
            <w:tcW w:w="14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kern w:val="0"/>
                <w:sz w:val="21"/>
                <w:szCs w:val="36"/>
              </w:rPr>
            </w:pPr>
            <w:r>
              <w:rPr>
                <w:rFonts w:hint="default" w:ascii="Times New Roman" w:hAnsi="Times New Roman" w:eastAsia="方正仿宋_GBK" w:cs="Times New Roman"/>
                <w:kern w:val="0"/>
                <w:sz w:val="21"/>
                <w:szCs w:val="36"/>
              </w:rPr>
              <w:t>≥20</w:t>
            </w:r>
          </w:p>
        </w:tc>
      </w:tr>
      <w:tr>
        <w:tblPrEx>
          <w:tblCellMar>
            <w:top w:w="0" w:type="dxa"/>
            <w:left w:w="108" w:type="dxa"/>
            <w:bottom w:w="0" w:type="dxa"/>
            <w:right w:w="108" w:type="dxa"/>
          </w:tblCellMar>
        </w:tblPrEx>
        <w:trPr>
          <w:trHeight w:val="761" w:hRule="exact"/>
        </w:trPr>
        <w:tc>
          <w:tcPr>
            <w:tcW w:w="15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cs="Times New Roman"/>
                <w:kern w:val="0"/>
                <w:sz w:val="21"/>
                <w:szCs w:val="36"/>
              </w:rPr>
            </w:pPr>
          </w:p>
        </w:tc>
        <w:tc>
          <w:tcPr>
            <w:tcW w:w="1116"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kern w:val="0"/>
                <w:sz w:val="21"/>
                <w:szCs w:val="36"/>
              </w:rPr>
            </w:pPr>
          </w:p>
        </w:tc>
        <w:tc>
          <w:tcPr>
            <w:tcW w:w="1928"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rPr>
                <w:rFonts w:hint="default" w:ascii="Times New Roman" w:hAnsi="Times New Roman" w:eastAsia="方正仿宋_GBK" w:cs="Times New Roman"/>
                <w:kern w:val="0"/>
                <w:sz w:val="21"/>
                <w:szCs w:val="36"/>
              </w:rPr>
            </w:pPr>
            <w:r>
              <w:rPr>
                <w:rFonts w:hint="default" w:ascii="Times New Roman" w:hAnsi="Times New Roman" w:eastAsia="方正仿宋_GBK" w:cs="Times New Roman"/>
                <w:kern w:val="0"/>
                <w:sz w:val="21"/>
                <w:szCs w:val="36"/>
              </w:rPr>
              <w:t>质量指标</w:t>
            </w:r>
          </w:p>
        </w:tc>
        <w:tc>
          <w:tcPr>
            <w:tcW w:w="171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rPr>
                <w:rFonts w:hint="default" w:ascii="Times New Roman" w:hAnsi="Times New Roman" w:eastAsia="方正仿宋_GBK" w:cs="Times New Roman"/>
                <w:kern w:val="0"/>
                <w:sz w:val="21"/>
                <w:szCs w:val="36"/>
              </w:rPr>
            </w:pPr>
            <w:r>
              <w:rPr>
                <w:rFonts w:hint="default" w:ascii="Times New Roman" w:hAnsi="Times New Roman" w:eastAsia="方正仿宋_GBK" w:cs="Times New Roman"/>
                <w:kern w:val="0"/>
                <w:sz w:val="21"/>
                <w:szCs w:val="36"/>
              </w:rPr>
              <w:t>项目验收</w:t>
            </w:r>
          </w:p>
        </w:tc>
        <w:tc>
          <w:tcPr>
            <w:tcW w:w="1077"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kern w:val="0"/>
                <w:sz w:val="21"/>
                <w:szCs w:val="36"/>
              </w:rPr>
            </w:pPr>
            <w:r>
              <w:rPr>
                <w:rFonts w:hint="default" w:ascii="Times New Roman" w:hAnsi="Times New Roman" w:eastAsia="方正仿宋_GBK" w:cs="Times New Roman"/>
                <w:kern w:val="0"/>
                <w:sz w:val="21"/>
                <w:szCs w:val="36"/>
              </w:rPr>
              <w:t>/</w:t>
            </w:r>
          </w:p>
        </w:tc>
        <w:tc>
          <w:tcPr>
            <w:tcW w:w="14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kern w:val="0"/>
                <w:sz w:val="21"/>
                <w:szCs w:val="36"/>
              </w:rPr>
            </w:pPr>
            <w:r>
              <w:rPr>
                <w:rFonts w:hint="default" w:ascii="Times New Roman" w:hAnsi="Times New Roman" w:eastAsia="方正仿宋_GBK" w:cs="Times New Roman"/>
                <w:kern w:val="0"/>
                <w:sz w:val="21"/>
                <w:szCs w:val="36"/>
              </w:rPr>
              <w:t>合格</w:t>
            </w:r>
          </w:p>
        </w:tc>
      </w:tr>
      <w:tr>
        <w:tblPrEx>
          <w:tblCellMar>
            <w:top w:w="0" w:type="dxa"/>
            <w:left w:w="108" w:type="dxa"/>
            <w:bottom w:w="0" w:type="dxa"/>
            <w:right w:w="108" w:type="dxa"/>
          </w:tblCellMar>
        </w:tblPrEx>
        <w:trPr>
          <w:trHeight w:val="650" w:hRule="exact"/>
        </w:trPr>
        <w:tc>
          <w:tcPr>
            <w:tcW w:w="15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cs="Times New Roman"/>
                <w:kern w:val="0"/>
                <w:sz w:val="21"/>
                <w:szCs w:val="36"/>
              </w:rPr>
            </w:pPr>
          </w:p>
        </w:tc>
        <w:tc>
          <w:tcPr>
            <w:tcW w:w="1116"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kern w:val="0"/>
                <w:sz w:val="21"/>
                <w:szCs w:val="36"/>
              </w:rPr>
            </w:pPr>
          </w:p>
        </w:tc>
        <w:tc>
          <w:tcPr>
            <w:tcW w:w="1928" w:type="dxa"/>
            <w:gridSpan w:val="2"/>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rPr>
                <w:rFonts w:hint="default" w:ascii="Times New Roman" w:hAnsi="Times New Roman" w:eastAsia="方正仿宋_GBK" w:cs="Times New Roman"/>
                <w:kern w:val="0"/>
                <w:sz w:val="21"/>
                <w:szCs w:val="36"/>
              </w:rPr>
            </w:pPr>
            <w:r>
              <w:rPr>
                <w:rFonts w:hint="default" w:ascii="Times New Roman" w:hAnsi="Times New Roman" w:eastAsia="方正仿宋_GBK" w:cs="Times New Roman"/>
                <w:kern w:val="0"/>
                <w:sz w:val="21"/>
                <w:szCs w:val="36"/>
              </w:rPr>
              <w:t>时效指标</w:t>
            </w:r>
          </w:p>
        </w:tc>
        <w:tc>
          <w:tcPr>
            <w:tcW w:w="171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rPr>
                <w:rFonts w:hint="default" w:ascii="Times New Roman" w:hAnsi="Times New Roman" w:eastAsia="方正仿宋_GBK" w:cs="Times New Roman"/>
                <w:kern w:val="0"/>
                <w:sz w:val="21"/>
                <w:szCs w:val="36"/>
              </w:rPr>
            </w:pPr>
            <w:r>
              <w:rPr>
                <w:rFonts w:hint="default" w:ascii="Times New Roman" w:hAnsi="Times New Roman" w:eastAsia="方正仿宋_GBK" w:cs="Times New Roman"/>
                <w:kern w:val="0"/>
                <w:sz w:val="21"/>
                <w:szCs w:val="36"/>
              </w:rPr>
              <w:t>项目完工时间</w:t>
            </w:r>
          </w:p>
        </w:tc>
        <w:tc>
          <w:tcPr>
            <w:tcW w:w="1077"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rPr>
                <w:rFonts w:hint="default" w:ascii="Times New Roman" w:hAnsi="Times New Roman" w:eastAsia="方正仿宋_GBK" w:cs="Times New Roman"/>
                <w:kern w:val="0"/>
                <w:sz w:val="21"/>
                <w:szCs w:val="36"/>
              </w:rPr>
            </w:pPr>
            <w:r>
              <w:rPr>
                <w:rFonts w:hint="default" w:ascii="Times New Roman" w:hAnsi="Times New Roman" w:eastAsia="方正仿宋_GBK" w:cs="Times New Roman"/>
                <w:kern w:val="0"/>
                <w:sz w:val="21"/>
                <w:szCs w:val="36"/>
              </w:rPr>
              <w:t>年/月</w:t>
            </w:r>
          </w:p>
        </w:tc>
        <w:tc>
          <w:tcPr>
            <w:tcW w:w="14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rPr>
                <w:rFonts w:hint="default" w:ascii="Times New Roman" w:hAnsi="Times New Roman" w:eastAsia="方正仿宋_GBK" w:cs="Times New Roman"/>
                <w:kern w:val="0"/>
                <w:sz w:val="21"/>
                <w:szCs w:val="36"/>
              </w:rPr>
            </w:pPr>
            <w:r>
              <w:rPr>
                <w:rFonts w:hint="default" w:ascii="Times New Roman" w:hAnsi="Times New Roman" w:eastAsia="方正仿宋_GBK" w:cs="Times New Roman"/>
                <w:kern w:val="0"/>
                <w:sz w:val="21"/>
                <w:szCs w:val="36"/>
              </w:rPr>
              <w:t>202</w:t>
            </w:r>
            <w:r>
              <w:rPr>
                <w:rFonts w:hint="default" w:ascii="Times New Roman" w:hAnsi="Times New Roman" w:eastAsia="方正仿宋_GBK" w:cs="Times New Roman"/>
                <w:kern w:val="0"/>
                <w:sz w:val="21"/>
                <w:szCs w:val="36"/>
                <w:lang w:val="en-US" w:eastAsia="zh-CN"/>
              </w:rPr>
              <w:t>5</w:t>
            </w:r>
            <w:r>
              <w:rPr>
                <w:rFonts w:hint="default" w:ascii="Times New Roman" w:hAnsi="Times New Roman" w:eastAsia="方正仿宋_GBK" w:cs="Times New Roman"/>
                <w:kern w:val="0"/>
                <w:sz w:val="21"/>
                <w:szCs w:val="36"/>
              </w:rPr>
              <w:t>年</w:t>
            </w:r>
            <w:r>
              <w:rPr>
                <w:rFonts w:hint="default" w:ascii="Times New Roman" w:hAnsi="Times New Roman" w:eastAsia="方正仿宋_GBK" w:cs="Times New Roman"/>
                <w:kern w:val="0"/>
                <w:sz w:val="21"/>
                <w:szCs w:val="36"/>
                <w:lang w:val="en-US" w:eastAsia="zh-CN"/>
              </w:rPr>
              <w:t>2</w:t>
            </w:r>
            <w:r>
              <w:rPr>
                <w:rFonts w:hint="default" w:ascii="Times New Roman" w:hAnsi="Times New Roman" w:eastAsia="方正仿宋_GBK" w:cs="Times New Roman"/>
                <w:kern w:val="0"/>
                <w:sz w:val="21"/>
                <w:szCs w:val="36"/>
              </w:rPr>
              <w:t>月</w:t>
            </w:r>
          </w:p>
        </w:tc>
      </w:tr>
      <w:tr>
        <w:tblPrEx>
          <w:tblCellMar>
            <w:top w:w="0" w:type="dxa"/>
            <w:left w:w="108" w:type="dxa"/>
            <w:bottom w:w="0" w:type="dxa"/>
            <w:right w:w="108" w:type="dxa"/>
          </w:tblCellMar>
        </w:tblPrEx>
        <w:trPr>
          <w:trHeight w:val="572" w:hRule="exact"/>
        </w:trPr>
        <w:tc>
          <w:tcPr>
            <w:tcW w:w="15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cs="Times New Roman"/>
                <w:kern w:val="0"/>
                <w:sz w:val="21"/>
                <w:szCs w:val="36"/>
              </w:rPr>
            </w:pPr>
          </w:p>
        </w:tc>
        <w:tc>
          <w:tcPr>
            <w:tcW w:w="1116"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kern w:val="0"/>
                <w:sz w:val="21"/>
                <w:szCs w:val="36"/>
              </w:rPr>
            </w:pPr>
          </w:p>
        </w:tc>
        <w:tc>
          <w:tcPr>
            <w:tcW w:w="1928"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rPr>
                <w:rFonts w:hint="default" w:ascii="Times New Roman" w:hAnsi="Times New Roman" w:eastAsia="方正仿宋_GBK" w:cs="Times New Roman"/>
                <w:kern w:val="0"/>
                <w:sz w:val="21"/>
                <w:szCs w:val="36"/>
              </w:rPr>
            </w:pPr>
            <w:r>
              <w:rPr>
                <w:rFonts w:hint="default" w:ascii="Times New Roman" w:hAnsi="Times New Roman" w:eastAsia="方正仿宋_GBK" w:cs="Times New Roman"/>
                <w:kern w:val="0"/>
                <w:sz w:val="21"/>
                <w:szCs w:val="36"/>
              </w:rPr>
              <w:t>成本指标</w:t>
            </w:r>
          </w:p>
        </w:tc>
        <w:tc>
          <w:tcPr>
            <w:tcW w:w="171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rPr>
                <w:rFonts w:hint="default" w:ascii="Times New Roman" w:hAnsi="Times New Roman" w:eastAsia="方正仿宋_GBK" w:cs="Times New Roman"/>
                <w:kern w:val="0"/>
                <w:sz w:val="21"/>
                <w:szCs w:val="36"/>
              </w:rPr>
            </w:pPr>
            <w:r>
              <w:rPr>
                <w:rFonts w:hint="default" w:ascii="Times New Roman" w:hAnsi="Times New Roman" w:eastAsia="方正仿宋_GBK" w:cs="Times New Roman"/>
                <w:kern w:val="0"/>
                <w:sz w:val="21"/>
                <w:szCs w:val="36"/>
              </w:rPr>
              <w:t>财政资金</w:t>
            </w:r>
          </w:p>
        </w:tc>
        <w:tc>
          <w:tcPr>
            <w:tcW w:w="1077"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210" w:firstLineChars="100"/>
              <w:jc w:val="center"/>
              <w:rPr>
                <w:rFonts w:hint="default" w:ascii="Times New Roman" w:hAnsi="Times New Roman" w:eastAsia="方正仿宋_GBK" w:cs="Times New Roman"/>
                <w:kern w:val="0"/>
                <w:sz w:val="21"/>
                <w:szCs w:val="36"/>
              </w:rPr>
            </w:pPr>
            <w:r>
              <w:rPr>
                <w:rFonts w:hint="default" w:ascii="Times New Roman" w:hAnsi="Times New Roman" w:eastAsia="方正仿宋_GBK" w:cs="Times New Roman"/>
                <w:kern w:val="0"/>
                <w:sz w:val="21"/>
                <w:szCs w:val="36"/>
              </w:rPr>
              <w:t>万元</w:t>
            </w:r>
          </w:p>
        </w:tc>
        <w:tc>
          <w:tcPr>
            <w:tcW w:w="14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kern w:val="0"/>
                <w:sz w:val="21"/>
                <w:szCs w:val="36"/>
                <w:lang w:val="en-US" w:eastAsia="zh-CN"/>
              </w:rPr>
            </w:pPr>
            <w:r>
              <w:rPr>
                <w:rFonts w:hint="default" w:ascii="Times New Roman" w:hAnsi="Times New Roman" w:eastAsia="方正仿宋_GBK" w:cs="Times New Roman"/>
                <w:kern w:val="0"/>
                <w:sz w:val="21"/>
                <w:szCs w:val="36"/>
              </w:rPr>
              <w:t>≤</w:t>
            </w:r>
            <w:r>
              <w:rPr>
                <w:rFonts w:hint="default" w:ascii="Times New Roman" w:hAnsi="Times New Roman" w:eastAsia="方正仿宋_GBK" w:cs="Times New Roman"/>
                <w:kern w:val="0"/>
                <w:sz w:val="21"/>
                <w:szCs w:val="36"/>
                <w:lang w:val="en-US" w:eastAsia="zh-CN"/>
              </w:rPr>
              <w:t>200</w:t>
            </w:r>
          </w:p>
        </w:tc>
      </w:tr>
      <w:tr>
        <w:tblPrEx>
          <w:tblCellMar>
            <w:top w:w="0" w:type="dxa"/>
            <w:left w:w="108" w:type="dxa"/>
            <w:bottom w:w="0" w:type="dxa"/>
            <w:right w:w="108" w:type="dxa"/>
          </w:tblCellMar>
        </w:tblPrEx>
        <w:trPr>
          <w:trHeight w:val="813" w:hRule="exact"/>
        </w:trPr>
        <w:tc>
          <w:tcPr>
            <w:tcW w:w="15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cs="Times New Roman"/>
                <w:kern w:val="0"/>
                <w:sz w:val="21"/>
                <w:szCs w:val="36"/>
              </w:rPr>
            </w:pPr>
          </w:p>
        </w:tc>
        <w:tc>
          <w:tcPr>
            <w:tcW w:w="1116"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rPr>
                <w:rFonts w:hint="default" w:ascii="Times New Roman" w:hAnsi="Times New Roman" w:eastAsia="方正仿宋_GBK" w:cs="Times New Roman"/>
                <w:kern w:val="0"/>
                <w:sz w:val="21"/>
                <w:szCs w:val="36"/>
              </w:rPr>
            </w:pPr>
            <w:r>
              <w:rPr>
                <w:rFonts w:hint="default" w:ascii="Times New Roman" w:hAnsi="Times New Roman" w:eastAsia="方正仿宋_GBK" w:cs="Times New Roman"/>
                <w:kern w:val="0"/>
                <w:sz w:val="21"/>
                <w:szCs w:val="36"/>
              </w:rPr>
              <w:t>效益指标</w:t>
            </w:r>
          </w:p>
        </w:tc>
        <w:tc>
          <w:tcPr>
            <w:tcW w:w="192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rPr>
                <w:rFonts w:hint="default" w:ascii="Times New Roman" w:hAnsi="Times New Roman" w:eastAsia="方正仿宋_GBK" w:cs="Times New Roman"/>
                <w:kern w:val="0"/>
                <w:sz w:val="21"/>
                <w:szCs w:val="36"/>
              </w:rPr>
            </w:pPr>
            <w:r>
              <w:rPr>
                <w:rFonts w:hint="default" w:ascii="Times New Roman" w:hAnsi="Times New Roman" w:eastAsia="方正仿宋_GBK" w:cs="Times New Roman"/>
                <w:kern w:val="0"/>
                <w:sz w:val="21"/>
                <w:szCs w:val="36"/>
              </w:rPr>
              <w:t>社会效益指标</w:t>
            </w:r>
          </w:p>
        </w:tc>
        <w:tc>
          <w:tcPr>
            <w:tcW w:w="171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rPr>
                <w:rFonts w:hint="default" w:ascii="Times New Roman" w:hAnsi="Times New Roman" w:eastAsia="方正仿宋_GBK" w:cs="Times New Roman"/>
                <w:kern w:val="0"/>
                <w:sz w:val="21"/>
                <w:szCs w:val="36"/>
              </w:rPr>
            </w:pPr>
            <w:r>
              <w:rPr>
                <w:rFonts w:hint="default" w:ascii="Times New Roman" w:hAnsi="Times New Roman" w:eastAsia="方正仿宋_GBK" w:cs="Times New Roman"/>
                <w:kern w:val="0"/>
                <w:sz w:val="21"/>
                <w:szCs w:val="36"/>
              </w:rPr>
              <w:t>榨菜产业信息覆盖率增长</w:t>
            </w:r>
          </w:p>
        </w:tc>
        <w:tc>
          <w:tcPr>
            <w:tcW w:w="1077"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kern w:val="0"/>
                <w:sz w:val="21"/>
                <w:szCs w:val="36"/>
              </w:rPr>
            </w:pPr>
            <w:r>
              <w:rPr>
                <w:rFonts w:hint="default" w:ascii="Times New Roman" w:hAnsi="Times New Roman" w:eastAsia="方正仿宋_GBK" w:cs="Times New Roman"/>
                <w:kern w:val="0"/>
                <w:sz w:val="21"/>
                <w:szCs w:val="36"/>
              </w:rPr>
              <w:t>%</w:t>
            </w:r>
          </w:p>
        </w:tc>
        <w:tc>
          <w:tcPr>
            <w:tcW w:w="14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kern w:val="0"/>
                <w:sz w:val="21"/>
                <w:szCs w:val="36"/>
              </w:rPr>
            </w:pPr>
            <w:r>
              <w:rPr>
                <w:rFonts w:hint="default" w:ascii="Times New Roman" w:hAnsi="Times New Roman" w:eastAsia="方正仿宋_GBK" w:cs="Times New Roman"/>
                <w:kern w:val="0"/>
                <w:sz w:val="21"/>
                <w:szCs w:val="36"/>
              </w:rPr>
              <w:t>≥10</w:t>
            </w:r>
          </w:p>
        </w:tc>
      </w:tr>
      <w:tr>
        <w:tblPrEx>
          <w:tblCellMar>
            <w:top w:w="0" w:type="dxa"/>
            <w:left w:w="108" w:type="dxa"/>
            <w:bottom w:w="0" w:type="dxa"/>
            <w:right w:w="108" w:type="dxa"/>
          </w:tblCellMar>
        </w:tblPrEx>
        <w:trPr>
          <w:trHeight w:val="810" w:hRule="exact"/>
        </w:trPr>
        <w:tc>
          <w:tcPr>
            <w:tcW w:w="15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cs="Times New Roman"/>
                <w:kern w:val="0"/>
                <w:sz w:val="21"/>
                <w:szCs w:val="36"/>
              </w:rPr>
            </w:pPr>
          </w:p>
        </w:tc>
        <w:tc>
          <w:tcPr>
            <w:tcW w:w="1116"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kern w:val="0"/>
                <w:sz w:val="21"/>
                <w:szCs w:val="36"/>
              </w:rPr>
            </w:pPr>
          </w:p>
        </w:tc>
        <w:tc>
          <w:tcPr>
            <w:tcW w:w="1928"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rPr>
                <w:rFonts w:hint="default" w:ascii="Times New Roman" w:hAnsi="Times New Roman" w:eastAsia="方正仿宋_GBK" w:cs="Times New Roman"/>
                <w:kern w:val="0"/>
                <w:sz w:val="21"/>
                <w:szCs w:val="36"/>
              </w:rPr>
            </w:pPr>
            <w:r>
              <w:rPr>
                <w:rFonts w:hint="default" w:ascii="Times New Roman" w:hAnsi="Times New Roman" w:eastAsia="方正仿宋_GBK" w:cs="Times New Roman"/>
                <w:kern w:val="0"/>
                <w:sz w:val="21"/>
                <w:szCs w:val="36"/>
              </w:rPr>
              <w:t>可持续影响指标</w:t>
            </w:r>
          </w:p>
        </w:tc>
        <w:tc>
          <w:tcPr>
            <w:tcW w:w="171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rPr>
                <w:rFonts w:hint="default" w:ascii="Times New Roman" w:hAnsi="Times New Roman" w:eastAsia="方正仿宋_GBK" w:cs="Times New Roman"/>
                <w:kern w:val="0"/>
                <w:sz w:val="21"/>
                <w:szCs w:val="36"/>
              </w:rPr>
            </w:pPr>
            <w:r>
              <w:rPr>
                <w:rFonts w:hint="default" w:ascii="Times New Roman" w:hAnsi="Times New Roman" w:eastAsia="方正仿宋_GBK" w:cs="Times New Roman"/>
                <w:kern w:val="0"/>
                <w:sz w:val="21"/>
                <w:szCs w:val="36"/>
              </w:rPr>
              <w:t>项目可持续</w:t>
            </w:r>
          </w:p>
        </w:tc>
        <w:tc>
          <w:tcPr>
            <w:tcW w:w="1077"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kern w:val="0"/>
                <w:sz w:val="21"/>
                <w:szCs w:val="36"/>
              </w:rPr>
            </w:pPr>
            <w:r>
              <w:rPr>
                <w:rFonts w:hint="default" w:ascii="Times New Roman" w:hAnsi="Times New Roman" w:eastAsia="方正仿宋_GBK" w:cs="Times New Roman"/>
                <w:kern w:val="0"/>
                <w:sz w:val="21"/>
                <w:szCs w:val="36"/>
              </w:rPr>
              <w:t>年</w:t>
            </w:r>
          </w:p>
        </w:tc>
        <w:tc>
          <w:tcPr>
            <w:tcW w:w="14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kern w:val="0"/>
                <w:sz w:val="21"/>
                <w:szCs w:val="36"/>
              </w:rPr>
            </w:pPr>
            <w:r>
              <w:rPr>
                <w:rFonts w:hint="default" w:ascii="Times New Roman" w:hAnsi="Times New Roman" w:eastAsia="方正仿宋_GBK" w:cs="Times New Roman"/>
                <w:kern w:val="0"/>
                <w:sz w:val="21"/>
                <w:szCs w:val="36"/>
              </w:rPr>
              <w:t>≥5</w:t>
            </w:r>
          </w:p>
        </w:tc>
      </w:tr>
      <w:tr>
        <w:tblPrEx>
          <w:tblCellMar>
            <w:top w:w="0" w:type="dxa"/>
            <w:left w:w="108" w:type="dxa"/>
            <w:bottom w:w="0" w:type="dxa"/>
            <w:right w:w="108" w:type="dxa"/>
          </w:tblCellMar>
        </w:tblPrEx>
        <w:trPr>
          <w:trHeight w:val="791" w:hRule="exact"/>
        </w:trPr>
        <w:tc>
          <w:tcPr>
            <w:tcW w:w="15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cs="Times New Roman"/>
                <w:kern w:val="0"/>
                <w:sz w:val="21"/>
                <w:szCs w:val="36"/>
              </w:rPr>
            </w:pPr>
          </w:p>
        </w:tc>
        <w:tc>
          <w:tcPr>
            <w:tcW w:w="1116"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kern w:val="0"/>
                <w:sz w:val="21"/>
                <w:szCs w:val="36"/>
              </w:rPr>
            </w:pPr>
          </w:p>
        </w:tc>
        <w:tc>
          <w:tcPr>
            <w:tcW w:w="1928" w:type="dxa"/>
            <w:gridSpan w:val="2"/>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kern w:val="0"/>
                <w:sz w:val="21"/>
                <w:szCs w:val="21"/>
              </w:rPr>
              <w:t>生态效益指标</w:t>
            </w:r>
          </w:p>
        </w:tc>
        <w:tc>
          <w:tcPr>
            <w:tcW w:w="171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rPr>
                <w:rFonts w:hint="default" w:ascii="Times New Roman" w:hAnsi="Times New Roman" w:eastAsia="方正仿宋_GBK" w:cs="Times New Roman"/>
                <w:kern w:val="0"/>
                <w:sz w:val="21"/>
                <w:szCs w:val="36"/>
              </w:rPr>
            </w:pPr>
            <w:r>
              <w:rPr>
                <w:rFonts w:hint="default" w:ascii="Times New Roman" w:hAnsi="Times New Roman" w:eastAsia="方正仿宋_GBK" w:cs="Times New Roman"/>
                <w:kern w:val="0"/>
                <w:sz w:val="21"/>
                <w:szCs w:val="36"/>
              </w:rPr>
              <w:t>对环境有无不良影响</w:t>
            </w:r>
          </w:p>
        </w:tc>
        <w:tc>
          <w:tcPr>
            <w:tcW w:w="1077"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kern w:val="0"/>
                <w:sz w:val="21"/>
                <w:szCs w:val="36"/>
              </w:rPr>
            </w:pPr>
            <w:r>
              <w:rPr>
                <w:rFonts w:hint="default" w:ascii="Times New Roman" w:hAnsi="Times New Roman" w:eastAsia="方正仿宋_GBK" w:cs="Times New Roman"/>
                <w:kern w:val="0"/>
                <w:sz w:val="21"/>
                <w:szCs w:val="36"/>
              </w:rPr>
              <w:t>/</w:t>
            </w:r>
          </w:p>
        </w:tc>
        <w:tc>
          <w:tcPr>
            <w:tcW w:w="14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kern w:val="0"/>
                <w:sz w:val="21"/>
                <w:szCs w:val="36"/>
              </w:rPr>
            </w:pPr>
            <w:r>
              <w:rPr>
                <w:rFonts w:hint="default" w:ascii="Times New Roman" w:hAnsi="Times New Roman" w:eastAsia="方正仿宋_GBK" w:cs="Times New Roman"/>
                <w:kern w:val="0"/>
                <w:sz w:val="21"/>
                <w:szCs w:val="36"/>
              </w:rPr>
              <w:t>无</w:t>
            </w:r>
          </w:p>
        </w:tc>
      </w:tr>
      <w:tr>
        <w:tblPrEx>
          <w:tblCellMar>
            <w:top w:w="0" w:type="dxa"/>
            <w:left w:w="108" w:type="dxa"/>
            <w:bottom w:w="0" w:type="dxa"/>
            <w:right w:w="108" w:type="dxa"/>
          </w:tblCellMar>
        </w:tblPrEx>
        <w:trPr>
          <w:trHeight w:val="812" w:hRule="exact"/>
        </w:trPr>
        <w:tc>
          <w:tcPr>
            <w:tcW w:w="15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cs="Times New Roman"/>
                <w:kern w:val="0"/>
                <w:sz w:val="21"/>
                <w:szCs w:val="36"/>
              </w:rPr>
            </w:pPr>
          </w:p>
        </w:tc>
        <w:tc>
          <w:tcPr>
            <w:tcW w:w="1116"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rPr>
                <w:rFonts w:hint="default" w:ascii="Times New Roman" w:hAnsi="Times New Roman" w:eastAsia="方正仿宋_GBK" w:cs="Times New Roman"/>
                <w:kern w:val="0"/>
                <w:sz w:val="21"/>
                <w:szCs w:val="36"/>
              </w:rPr>
            </w:pPr>
            <w:r>
              <w:rPr>
                <w:rFonts w:hint="default" w:ascii="Times New Roman" w:hAnsi="Times New Roman" w:eastAsia="方正仿宋_GBK" w:cs="Times New Roman"/>
                <w:kern w:val="0"/>
                <w:sz w:val="21"/>
                <w:szCs w:val="36"/>
              </w:rPr>
              <w:t>满意度指标</w:t>
            </w:r>
          </w:p>
        </w:tc>
        <w:tc>
          <w:tcPr>
            <w:tcW w:w="1928" w:type="dxa"/>
            <w:gridSpan w:val="2"/>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eastAsia="方正仿宋_GBK" w:cs="Times New Roman"/>
                <w:kern w:val="0"/>
                <w:sz w:val="21"/>
                <w:szCs w:val="36"/>
              </w:rPr>
            </w:pPr>
            <w:r>
              <w:rPr>
                <w:rFonts w:hint="default" w:ascii="Times New Roman" w:hAnsi="Times New Roman" w:eastAsia="方正仿宋_GBK" w:cs="Times New Roman"/>
                <w:kern w:val="0"/>
                <w:sz w:val="21"/>
                <w:szCs w:val="36"/>
              </w:rPr>
              <w:t>服务对象满意度</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eastAsia="方正仿宋_GBK" w:cs="Times New Roman"/>
                <w:kern w:val="0"/>
                <w:sz w:val="21"/>
                <w:szCs w:val="36"/>
              </w:rPr>
            </w:pPr>
            <w:r>
              <w:rPr>
                <w:rFonts w:hint="default" w:ascii="Times New Roman" w:hAnsi="Times New Roman" w:eastAsia="方正仿宋_GBK" w:cs="Times New Roman"/>
                <w:kern w:val="0"/>
                <w:sz w:val="21"/>
                <w:szCs w:val="36"/>
              </w:rPr>
              <w:t>指标</w:t>
            </w:r>
          </w:p>
        </w:tc>
        <w:tc>
          <w:tcPr>
            <w:tcW w:w="171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rPr>
                <w:rFonts w:hint="default" w:ascii="Times New Roman" w:hAnsi="Times New Roman" w:eastAsia="方正仿宋_GBK" w:cs="Times New Roman"/>
                <w:kern w:val="0"/>
                <w:sz w:val="21"/>
                <w:szCs w:val="36"/>
              </w:rPr>
            </w:pPr>
            <w:r>
              <w:rPr>
                <w:rFonts w:hint="default" w:ascii="Times New Roman" w:hAnsi="Times New Roman" w:eastAsia="方正仿宋_GBK" w:cs="Times New Roman"/>
                <w:kern w:val="0"/>
                <w:sz w:val="21"/>
                <w:szCs w:val="36"/>
              </w:rPr>
              <w:t>满意度</w:t>
            </w:r>
          </w:p>
        </w:tc>
        <w:tc>
          <w:tcPr>
            <w:tcW w:w="1077"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kern w:val="0"/>
                <w:sz w:val="21"/>
                <w:szCs w:val="36"/>
              </w:rPr>
            </w:pPr>
            <w:r>
              <w:rPr>
                <w:rFonts w:hint="default" w:ascii="Times New Roman" w:hAnsi="Times New Roman" w:eastAsia="方正仿宋_GBK" w:cs="Times New Roman"/>
                <w:kern w:val="0"/>
                <w:sz w:val="21"/>
                <w:szCs w:val="36"/>
              </w:rPr>
              <w:t>%</w:t>
            </w:r>
          </w:p>
        </w:tc>
        <w:tc>
          <w:tcPr>
            <w:tcW w:w="14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kern w:val="0"/>
                <w:sz w:val="21"/>
                <w:szCs w:val="36"/>
              </w:rPr>
            </w:pPr>
            <w:r>
              <w:rPr>
                <w:rFonts w:hint="default" w:ascii="Times New Roman" w:hAnsi="Times New Roman" w:eastAsia="方正仿宋_GBK" w:cs="Times New Roman"/>
                <w:kern w:val="0"/>
                <w:sz w:val="21"/>
                <w:szCs w:val="36"/>
              </w:rPr>
              <w:t>≥90</w:t>
            </w:r>
          </w:p>
        </w:tc>
      </w:tr>
    </w:tbl>
    <w:p>
      <w:pPr>
        <w:widowControl w:val="0"/>
        <w:autoSpaceDE w:val="0"/>
        <w:autoSpaceDN w:val="0"/>
        <w:adjustRightInd w:val="0"/>
        <w:rPr>
          <w:rFonts w:hint="default" w:ascii="Times New Roman" w:hAnsi="Times New Roman" w:eastAsia="楷体à.ā" w:cs="Times New Roman"/>
          <w:color w:val="000000"/>
          <w:sz w:val="24"/>
          <w:szCs w:val="22"/>
          <w:lang w:val="en-US" w:eastAsia="zh-CN" w:bidi="ar-SA"/>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adjustRightInd w:val="0"/>
        <w:spacing w:line="360" w:lineRule="exact"/>
        <w:textAlignment w:val="baseline"/>
        <w:rPr>
          <w:rFonts w:hint="default" w:ascii="Times New Roman" w:hAnsi="Times New Roman" w:cs="Times New Roman"/>
          <w:highlight w:val="none"/>
        </w:rPr>
      </w:pPr>
    </w:p>
    <w:sectPr>
      <w:headerReference r:id="rId3" w:type="default"/>
      <w:footerReference r:id="rId4" w:type="default"/>
      <w:pgSz w:w="11906" w:h="16838"/>
      <w:pgMar w:top="2098" w:right="1474" w:bottom="1985" w:left="1588" w:header="851" w:footer="1474"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2000000" w:usb3="00000000" w:csb0="2000019F"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Arial Narrow">
    <w:altName w:val="Times New Roman"/>
    <w:panose1 w:val="020B0606020202030204"/>
    <w:charset w:val="00"/>
    <w:family w:val="swiss"/>
    <w:pitch w:val="default"/>
    <w:sig w:usb0="00000000" w:usb1="00000000" w:usb2="00000000" w:usb3="00000000" w:csb0="2000009F" w:csb1="DFD70000"/>
  </w:font>
  <w:font w:name="??_GB2312??alt">
    <w:altName w:val="Times New Roman"/>
    <w:panose1 w:val="00000000000000000000"/>
    <w:charset w:val="00"/>
    <w:family w:val="auto"/>
    <w:pitch w:val="default"/>
    <w:sig w:usb0="00000000" w:usb1="00000000" w:usb2="00000000" w:usb3="00000000" w:csb0="00000001" w:csb1="00000000"/>
  </w:font>
  <w:font w:name="华文仿宋">
    <w:altName w:val="汉仪仿宋简"/>
    <w:panose1 w:val="02010600040101010101"/>
    <w:charset w:val="86"/>
    <w:family w:val="auto"/>
    <w:pitch w:val="default"/>
    <w:sig w:usb0="00000000" w:usb1="00000000" w:usb2="00000010" w:usb3="00000000" w:csb0="0004009F"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楷体à.ā">
    <w:altName w:val="方正楷体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2"/>
      <w:rPr>
        <w:rStyle w:val="29"/>
        <w:sz w:val="28"/>
      </w:rPr>
    </w:pPr>
    <w:r>
      <w:rPr>
        <w:rStyle w:val="29"/>
        <w:sz w:val="28"/>
      </w:rPr>
      <w:fldChar w:fldCharType="begin"/>
    </w:r>
    <w:r>
      <w:rPr>
        <w:rStyle w:val="29"/>
        <w:sz w:val="28"/>
      </w:rPr>
      <w:instrText xml:space="preserve">PAGE  </w:instrText>
    </w:r>
    <w:r>
      <w:rPr>
        <w:rStyle w:val="29"/>
        <w:sz w:val="28"/>
      </w:rPr>
      <w:fldChar w:fldCharType="separate"/>
    </w:r>
    <w:r>
      <w:rPr>
        <w:rStyle w:val="29"/>
        <w:sz w:val="28"/>
      </w:rPr>
      <w:t>- 1 -</w:t>
    </w:r>
    <w:r>
      <w:rPr>
        <w:rStyle w:val="29"/>
        <w:sz w:val="28"/>
      </w:rPr>
      <w:fldChar w:fldCharType="end"/>
    </w:r>
  </w:p>
  <w:p>
    <w:pPr>
      <w:pStyle w:val="18"/>
      <w:ind w:right="360" w:firstLine="360"/>
      <w:jc w:val="right"/>
      <w:rPr>
        <w:rFonts w:eastAsia="Times New Roman"/>
        <w:b/>
        <w:sz w:val="28"/>
      </w:rPr>
    </w:pPr>
    <w:r>
      <w:rPr>
        <w:rFonts w:eastAsia="Times New Roma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4C2D8"/>
    <w:multiLevelType w:val="multilevel"/>
    <w:tmpl w:val="9544C2D8"/>
    <w:lvl w:ilvl="0" w:tentative="0">
      <w:start w:val="2"/>
      <w:numFmt w:val="chineseCounting"/>
      <w:suff w:val="nothing"/>
      <w:lvlText w:val="（%1）"/>
      <w:lvlJc w:val="left"/>
      <w:rPr>
        <w:rFonts w:ascii="Times New Roman" w:hAnsi="Times New Roman" w:eastAsia="宋体" w:cs="Times New Roman"/>
      </w:rPr>
    </w:lvl>
    <w:lvl w:ilvl="1" w:tentative="0">
      <w:start w:val="1"/>
      <w:numFmt w:val="decimal"/>
      <w:lvlText w:val="（）"/>
      <w:lvlJc w:val="left"/>
      <w:rPr>
        <w:rFonts w:cs="Times New Roman"/>
      </w:rPr>
    </w:lvl>
    <w:lvl w:ilvl="2" w:tentative="0">
      <w:start w:val="1"/>
      <w:numFmt w:val="decimal"/>
      <w:pStyle w:val="5"/>
      <w:lvlText w:val="（）"/>
      <w:lvlJc w:val="left"/>
      <w:rPr>
        <w:rFonts w:cs="Times New Roman"/>
      </w:rPr>
    </w:lvl>
    <w:lvl w:ilvl="3" w:tentative="0">
      <w:start w:val="1"/>
      <w:numFmt w:val="decimal"/>
      <w:pStyle w:val="6"/>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1">
    <w:nsid w:val="157792E5"/>
    <w:multiLevelType w:val="multilevel"/>
    <w:tmpl w:val="157792E5"/>
    <w:lvl w:ilvl="0" w:tentative="0">
      <w:start w:val="2"/>
      <w:numFmt w:val="chineseCounting"/>
      <w:suff w:val="nothing"/>
      <w:lvlText w:val="（%1）"/>
      <w:lvlJc w:val="left"/>
      <w:rPr>
        <w:rFonts w:ascii="Times New Roman" w:hAnsi="Times New Roman" w:eastAsia="宋体" w:cs="Times New Roman"/>
      </w:rPr>
    </w:lvl>
    <w:lvl w:ilvl="1" w:tentative="0">
      <w:start w:val="1"/>
      <w:numFmt w:val="decimal"/>
      <w:pStyle w:val="4"/>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2">
    <w:nsid w:val="5AFD6283"/>
    <w:multiLevelType w:val="singleLevel"/>
    <w:tmpl w:val="5AFD6283"/>
    <w:lvl w:ilvl="0" w:tentative="0">
      <w:start w:val="2"/>
      <w:numFmt w:val="chineseCounting"/>
      <w:suff w:val="nothing"/>
      <w:lvlText w:val="（%1）"/>
      <w:lvlJc w:val="left"/>
      <w:rPr>
        <w:rFonts w:hint="eastAsia"/>
      </w:rPr>
    </w:lvl>
  </w:abstractNum>
  <w:abstractNum w:abstractNumId="3">
    <w:nsid w:val="7F2F9A8F"/>
    <w:multiLevelType w:val="multilevel"/>
    <w:tmpl w:val="7F2F9A8F"/>
    <w:lvl w:ilvl="0" w:tentative="0">
      <w:start w:val="4"/>
      <w:numFmt w:val="chineseCounting"/>
      <w:pStyle w:val="3"/>
      <w:suff w:val="nothing"/>
      <w:lvlText w:val="（%1）"/>
      <w:lvlJc w:val="left"/>
      <w:rPr>
        <w:rFonts w:ascii="Times New Roman" w:hAnsi="Times New Roman" w:eastAsia="宋体"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wNWFjZjFhM2ZlMTQ0MTU1NGJlMTE1ODY0YmNjYTUifQ=="/>
  </w:docVars>
  <w:rsids>
    <w:rsidRoot w:val="00D44A3F"/>
    <w:rsid w:val="00010CFA"/>
    <w:rsid w:val="00027331"/>
    <w:rsid w:val="000477D5"/>
    <w:rsid w:val="0006726C"/>
    <w:rsid w:val="000857C8"/>
    <w:rsid w:val="000B21F4"/>
    <w:rsid w:val="000B3431"/>
    <w:rsid w:val="000B756A"/>
    <w:rsid w:val="000D0E6E"/>
    <w:rsid w:val="0012662B"/>
    <w:rsid w:val="0016346F"/>
    <w:rsid w:val="001703F1"/>
    <w:rsid w:val="00190754"/>
    <w:rsid w:val="00190858"/>
    <w:rsid w:val="001F7311"/>
    <w:rsid w:val="00213827"/>
    <w:rsid w:val="0023600F"/>
    <w:rsid w:val="0025594E"/>
    <w:rsid w:val="0027030A"/>
    <w:rsid w:val="00270DC9"/>
    <w:rsid w:val="002713CF"/>
    <w:rsid w:val="00282CF5"/>
    <w:rsid w:val="002844FF"/>
    <w:rsid w:val="00287DE2"/>
    <w:rsid w:val="002A227B"/>
    <w:rsid w:val="002B0EE6"/>
    <w:rsid w:val="002D2507"/>
    <w:rsid w:val="002D537D"/>
    <w:rsid w:val="002E1168"/>
    <w:rsid w:val="00302B28"/>
    <w:rsid w:val="003546C3"/>
    <w:rsid w:val="0038126C"/>
    <w:rsid w:val="003849CD"/>
    <w:rsid w:val="00390718"/>
    <w:rsid w:val="003B600A"/>
    <w:rsid w:val="003C34D1"/>
    <w:rsid w:val="003F587F"/>
    <w:rsid w:val="0040028B"/>
    <w:rsid w:val="004121E8"/>
    <w:rsid w:val="004123F3"/>
    <w:rsid w:val="00425161"/>
    <w:rsid w:val="00425825"/>
    <w:rsid w:val="004314BE"/>
    <w:rsid w:val="00446DB2"/>
    <w:rsid w:val="00447034"/>
    <w:rsid w:val="00467B55"/>
    <w:rsid w:val="00473128"/>
    <w:rsid w:val="00491C86"/>
    <w:rsid w:val="00493CD8"/>
    <w:rsid w:val="004B443B"/>
    <w:rsid w:val="004C4E63"/>
    <w:rsid w:val="004C70C3"/>
    <w:rsid w:val="004D4C49"/>
    <w:rsid w:val="00507248"/>
    <w:rsid w:val="00532C43"/>
    <w:rsid w:val="00535B71"/>
    <w:rsid w:val="0055292F"/>
    <w:rsid w:val="0055371D"/>
    <w:rsid w:val="00562E75"/>
    <w:rsid w:val="0057204D"/>
    <w:rsid w:val="005B2C96"/>
    <w:rsid w:val="005E08C8"/>
    <w:rsid w:val="005E0BB9"/>
    <w:rsid w:val="005F6093"/>
    <w:rsid w:val="005F7842"/>
    <w:rsid w:val="00632FB6"/>
    <w:rsid w:val="00633786"/>
    <w:rsid w:val="006613E1"/>
    <w:rsid w:val="00680080"/>
    <w:rsid w:val="00687F42"/>
    <w:rsid w:val="006B1C09"/>
    <w:rsid w:val="006C3AA4"/>
    <w:rsid w:val="006D2898"/>
    <w:rsid w:val="006E645D"/>
    <w:rsid w:val="006E6F20"/>
    <w:rsid w:val="00711361"/>
    <w:rsid w:val="00711D5F"/>
    <w:rsid w:val="00720FC8"/>
    <w:rsid w:val="00780B2F"/>
    <w:rsid w:val="007A3CDD"/>
    <w:rsid w:val="007B0A8E"/>
    <w:rsid w:val="007B3AF1"/>
    <w:rsid w:val="007B4A11"/>
    <w:rsid w:val="007B5F85"/>
    <w:rsid w:val="007C0B46"/>
    <w:rsid w:val="007D0A2C"/>
    <w:rsid w:val="007E1494"/>
    <w:rsid w:val="007E2CBE"/>
    <w:rsid w:val="008119CF"/>
    <w:rsid w:val="00816845"/>
    <w:rsid w:val="00835F89"/>
    <w:rsid w:val="00836092"/>
    <w:rsid w:val="00836414"/>
    <w:rsid w:val="00847A8E"/>
    <w:rsid w:val="008738BF"/>
    <w:rsid w:val="008D4CE1"/>
    <w:rsid w:val="008F0CF8"/>
    <w:rsid w:val="00905285"/>
    <w:rsid w:val="00914C5D"/>
    <w:rsid w:val="00915D74"/>
    <w:rsid w:val="009258E8"/>
    <w:rsid w:val="0094424B"/>
    <w:rsid w:val="0094656E"/>
    <w:rsid w:val="009501D4"/>
    <w:rsid w:val="00956369"/>
    <w:rsid w:val="0095775F"/>
    <w:rsid w:val="00972D1C"/>
    <w:rsid w:val="009A19A6"/>
    <w:rsid w:val="009A3C0E"/>
    <w:rsid w:val="009B65A7"/>
    <w:rsid w:val="009D20CB"/>
    <w:rsid w:val="009D4538"/>
    <w:rsid w:val="009D6C42"/>
    <w:rsid w:val="009E47AC"/>
    <w:rsid w:val="009F5B75"/>
    <w:rsid w:val="009F7EA4"/>
    <w:rsid w:val="00A0316E"/>
    <w:rsid w:val="00A25D6F"/>
    <w:rsid w:val="00A43655"/>
    <w:rsid w:val="00A63C32"/>
    <w:rsid w:val="00A931DC"/>
    <w:rsid w:val="00AA025C"/>
    <w:rsid w:val="00AA4F02"/>
    <w:rsid w:val="00AE2404"/>
    <w:rsid w:val="00B11453"/>
    <w:rsid w:val="00B25AC0"/>
    <w:rsid w:val="00B32373"/>
    <w:rsid w:val="00B44948"/>
    <w:rsid w:val="00B769CE"/>
    <w:rsid w:val="00B93E3D"/>
    <w:rsid w:val="00B95748"/>
    <w:rsid w:val="00B964C2"/>
    <w:rsid w:val="00BA6000"/>
    <w:rsid w:val="00BB1CEC"/>
    <w:rsid w:val="00BD05D6"/>
    <w:rsid w:val="00BD4998"/>
    <w:rsid w:val="00BE272F"/>
    <w:rsid w:val="00BE39D0"/>
    <w:rsid w:val="00BF14AB"/>
    <w:rsid w:val="00C1662B"/>
    <w:rsid w:val="00C251D3"/>
    <w:rsid w:val="00C4155C"/>
    <w:rsid w:val="00C611EA"/>
    <w:rsid w:val="00C65CD8"/>
    <w:rsid w:val="00C75E5A"/>
    <w:rsid w:val="00CA0B3F"/>
    <w:rsid w:val="00CA34DB"/>
    <w:rsid w:val="00CA38E8"/>
    <w:rsid w:val="00CA49D5"/>
    <w:rsid w:val="00CA676C"/>
    <w:rsid w:val="00CC6FBA"/>
    <w:rsid w:val="00CD4842"/>
    <w:rsid w:val="00D06554"/>
    <w:rsid w:val="00D066C8"/>
    <w:rsid w:val="00D44A3F"/>
    <w:rsid w:val="00D87657"/>
    <w:rsid w:val="00D937DF"/>
    <w:rsid w:val="00DA7E0D"/>
    <w:rsid w:val="00DB077A"/>
    <w:rsid w:val="00DB48D6"/>
    <w:rsid w:val="00DC3985"/>
    <w:rsid w:val="00DC5398"/>
    <w:rsid w:val="00DD2FEC"/>
    <w:rsid w:val="00E31A5B"/>
    <w:rsid w:val="00E50AF5"/>
    <w:rsid w:val="00E549AD"/>
    <w:rsid w:val="00E62269"/>
    <w:rsid w:val="00E627ED"/>
    <w:rsid w:val="00E70B8D"/>
    <w:rsid w:val="00E74D5C"/>
    <w:rsid w:val="00E8234E"/>
    <w:rsid w:val="00E92E6B"/>
    <w:rsid w:val="00EB39AA"/>
    <w:rsid w:val="00ED1EF4"/>
    <w:rsid w:val="00EF0008"/>
    <w:rsid w:val="00F17EB7"/>
    <w:rsid w:val="00F33B8A"/>
    <w:rsid w:val="00F44026"/>
    <w:rsid w:val="00F5066E"/>
    <w:rsid w:val="00F75310"/>
    <w:rsid w:val="00F867DC"/>
    <w:rsid w:val="00F91B17"/>
    <w:rsid w:val="00FA1671"/>
    <w:rsid w:val="00FC74FC"/>
    <w:rsid w:val="00FE469D"/>
    <w:rsid w:val="01211102"/>
    <w:rsid w:val="01875B05"/>
    <w:rsid w:val="01AF2DA5"/>
    <w:rsid w:val="01C918F0"/>
    <w:rsid w:val="01F52BC6"/>
    <w:rsid w:val="020D6974"/>
    <w:rsid w:val="025D09FD"/>
    <w:rsid w:val="028530AA"/>
    <w:rsid w:val="02D31437"/>
    <w:rsid w:val="02D46D2B"/>
    <w:rsid w:val="02D779B2"/>
    <w:rsid w:val="03852BD3"/>
    <w:rsid w:val="03962702"/>
    <w:rsid w:val="03E017D2"/>
    <w:rsid w:val="03FD0D9A"/>
    <w:rsid w:val="04D31CDF"/>
    <w:rsid w:val="05671B1D"/>
    <w:rsid w:val="058E0CFA"/>
    <w:rsid w:val="05A1790B"/>
    <w:rsid w:val="05BB2E32"/>
    <w:rsid w:val="06085AFA"/>
    <w:rsid w:val="06387847"/>
    <w:rsid w:val="06CA293E"/>
    <w:rsid w:val="06E70C9B"/>
    <w:rsid w:val="0746727B"/>
    <w:rsid w:val="07537D3B"/>
    <w:rsid w:val="079E3506"/>
    <w:rsid w:val="07DD6F20"/>
    <w:rsid w:val="07E901AE"/>
    <w:rsid w:val="07F85C68"/>
    <w:rsid w:val="0802440D"/>
    <w:rsid w:val="08B46187"/>
    <w:rsid w:val="08F25B5E"/>
    <w:rsid w:val="09437F9D"/>
    <w:rsid w:val="09566186"/>
    <w:rsid w:val="096877F0"/>
    <w:rsid w:val="0999628D"/>
    <w:rsid w:val="09AB2883"/>
    <w:rsid w:val="09CA0F95"/>
    <w:rsid w:val="0A434235"/>
    <w:rsid w:val="0A4C1AA0"/>
    <w:rsid w:val="0A94243A"/>
    <w:rsid w:val="0AEA622A"/>
    <w:rsid w:val="0B3117B4"/>
    <w:rsid w:val="0B6D4294"/>
    <w:rsid w:val="0B825041"/>
    <w:rsid w:val="0BDB52AF"/>
    <w:rsid w:val="0C110089"/>
    <w:rsid w:val="0C215885"/>
    <w:rsid w:val="0CC071CF"/>
    <w:rsid w:val="0D0B61CE"/>
    <w:rsid w:val="0D2927D8"/>
    <w:rsid w:val="0D7D7DBB"/>
    <w:rsid w:val="0DB050F6"/>
    <w:rsid w:val="0DDE0750"/>
    <w:rsid w:val="0E0C6534"/>
    <w:rsid w:val="0E8B79F8"/>
    <w:rsid w:val="0E90691A"/>
    <w:rsid w:val="0EA10D54"/>
    <w:rsid w:val="0EA239B0"/>
    <w:rsid w:val="0EC425B2"/>
    <w:rsid w:val="0F035728"/>
    <w:rsid w:val="0F5B7ABC"/>
    <w:rsid w:val="0FD475C0"/>
    <w:rsid w:val="0FEC6D05"/>
    <w:rsid w:val="100F41DB"/>
    <w:rsid w:val="10104626"/>
    <w:rsid w:val="1036243B"/>
    <w:rsid w:val="1059756B"/>
    <w:rsid w:val="106410B1"/>
    <w:rsid w:val="10E53C6C"/>
    <w:rsid w:val="10E82BFF"/>
    <w:rsid w:val="1142587A"/>
    <w:rsid w:val="1145225A"/>
    <w:rsid w:val="11A269D6"/>
    <w:rsid w:val="11C0148E"/>
    <w:rsid w:val="12115857"/>
    <w:rsid w:val="12457FF6"/>
    <w:rsid w:val="12470A57"/>
    <w:rsid w:val="124746FC"/>
    <w:rsid w:val="124B55CD"/>
    <w:rsid w:val="129802C1"/>
    <w:rsid w:val="12A45B42"/>
    <w:rsid w:val="139A6F25"/>
    <w:rsid w:val="13B36E2B"/>
    <w:rsid w:val="13D1464C"/>
    <w:rsid w:val="13F066A7"/>
    <w:rsid w:val="14057A1D"/>
    <w:rsid w:val="14331F3D"/>
    <w:rsid w:val="1448764C"/>
    <w:rsid w:val="14813B13"/>
    <w:rsid w:val="15033573"/>
    <w:rsid w:val="15281895"/>
    <w:rsid w:val="158521DA"/>
    <w:rsid w:val="16076EB4"/>
    <w:rsid w:val="16254576"/>
    <w:rsid w:val="168102E6"/>
    <w:rsid w:val="16976668"/>
    <w:rsid w:val="16D00E04"/>
    <w:rsid w:val="16DD0761"/>
    <w:rsid w:val="16E50413"/>
    <w:rsid w:val="170F6026"/>
    <w:rsid w:val="17213954"/>
    <w:rsid w:val="176A786B"/>
    <w:rsid w:val="17A50477"/>
    <w:rsid w:val="17CE60BA"/>
    <w:rsid w:val="18025D1E"/>
    <w:rsid w:val="18B26208"/>
    <w:rsid w:val="18D251B9"/>
    <w:rsid w:val="18E9363B"/>
    <w:rsid w:val="19DA3AB5"/>
    <w:rsid w:val="1A164E2D"/>
    <w:rsid w:val="1A2C1798"/>
    <w:rsid w:val="1ABD056C"/>
    <w:rsid w:val="1AE00B28"/>
    <w:rsid w:val="1AF73798"/>
    <w:rsid w:val="1B314EEB"/>
    <w:rsid w:val="1BA9726A"/>
    <w:rsid w:val="1BAE5966"/>
    <w:rsid w:val="1BB01022"/>
    <w:rsid w:val="1BEA2707"/>
    <w:rsid w:val="1C197B20"/>
    <w:rsid w:val="1C752741"/>
    <w:rsid w:val="1C802C6F"/>
    <w:rsid w:val="1CB332CA"/>
    <w:rsid w:val="1CB74934"/>
    <w:rsid w:val="1D061E52"/>
    <w:rsid w:val="1D230C56"/>
    <w:rsid w:val="1D943DC7"/>
    <w:rsid w:val="1DA63635"/>
    <w:rsid w:val="1DC86B59"/>
    <w:rsid w:val="1DCF42FA"/>
    <w:rsid w:val="1DD70171"/>
    <w:rsid w:val="1E0718A4"/>
    <w:rsid w:val="1E461011"/>
    <w:rsid w:val="1EC8253F"/>
    <w:rsid w:val="1EEB57A3"/>
    <w:rsid w:val="1F6846AC"/>
    <w:rsid w:val="1F8743A1"/>
    <w:rsid w:val="1FC9248A"/>
    <w:rsid w:val="200F7270"/>
    <w:rsid w:val="201B7714"/>
    <w:rsid w:val="20256513"/>
    <w:rsid w:val="205B78CE"/>
    <w:rsid w:val="20722F14"/>
    <w:rsid w:val="208D0401"/>
    <w:rsid w:val="21110DC5"/>
    <w:rsid w:val="212C22EA"/>
    <w:rsid w:val="214C5241"/>
    <w:rsid w:val="21846635"/>
    <w:rsid w:val="218A6C1C"/>
    <w:rsid w:val="21954DB9"/>
    <w:rsid w:val="21B45112"/>
    <w:rsid w:val="221712A2"/>
    <w:rsid w:val="221E0023"/>
    <w:rsid w:val="223D4EF2"/>
    <w:rsid w:val="224505C4"/>
    <w:rsid w:val="22725284"/>
    <w:rsid w:val="2273325F"/>
    <w:rsid w:val="22AB59CB"/>
    <w:rsid w:val="22C959BE"/>
    <w:rsid w:val="23C10887"/>
    <w:rsid w:val="240C762A"/>
    <w:rsid w:val="244E0DD1"/>
    <w:rsid w:val="24D1352B"/>
    <w:rsid w:val="24F55947"/>
    <w:rsid w:val="25383828"/>
    <w:rsid w:val="254F6FDB"/>
    <w:rsid w:val="259167C1"/>
    <w:rsid w:val="259C6434"/>
    <w:rsid w:val="25F54094"/>
    <w:rsid w:val="263E3D23"/>
    <w:rsid w:val="264365B7"/>
    <w:rsid w:val="26634C22"/>
    <w:rsid w:val="26AD2E74"/>
    <w:rsid w:val="26D55B0D"/>
    <w:rsid w:val="275F3DDB"/>
    <w:rsid w:val="278D087C"/>
    <w:rsid w:val="278E1E20"/>
    <w:rsid w:val="28205224"/>
    <w:rsid w:val="283D6944"/>
    <w:rsid w:val="283E6D17"/>
    <w:rsid w:val="2883464B"/>
    <w:rsid w:val="29254B82"/>
    <w:rsid w:val="29717D68"/>
    <w:rsid w:val="297A6E46"/>
    <w:rsid w:val="29B60F47"/>
    <w:rsid w:val="29B973F4"/>
    <w:rsid w:val="29C15A7E"/>
    <w:rsid w:val="2A393860"/>
    <w:rsid w:val="2A681D05"/>
    <w:rsid w:val="2A7947CD"/>
    <w:rsid w:val="2B3A5055"/>
    <w:rsid w:val="2BA5606B"/>
    <w:rsid w:val="2BC6278C"/>
    <w:rsid w:val="2BD117B3"/>
    <w:rsid w:val="2BFB0CA8"/>
    <w:rsid w:val="2CC44B23"/>
    <w:rsid w:val="2CDF6CE9"/>
    <w:rsid w:val="2D371E00"/>
    <w:rsid w:val="2D40079E"/>
    <w:rsid w:val="2E245BFA"/>
    <w:rsid w:val="2E4922CB"/>
    <w:rsid w:val="2E513149"/>
    <w:rsid w:val="2E7910A2"/>
    <w:rsid w:val="2E931B03"/>
    <w:rsid w:val="2EED1CEA"/>
    <w:rsid w:val="2FBB4D1E"/>
    <w:rsid w:val="300C4EC2"/>
    <w:rsid w:val="30731BEF"/>
    <w:rsid w:val="30736262"/>
    <w:rsid w:val="308E41E1"/>
    <w:rsid w:val="30E26ADB"/>
    <w:rsid w:val="30E67761"/>
    <w:rsid w:val="31CE29E5"/>
    <w:rsid w:val="31F41585"/>
    <w:rsid w:val="31F95A98"/>
    <w:rsid w:val="320B3A4F"/>
    <w:rsid w:val="321667BA"/>
    <w:rsid w:val="321A7667"/>
    <w:rsid w:val="32254BD9"/>
    <w:rsid w:val="322E164C"/>
    <w:rsid w:val="32607DFF"/>
    <w:rsid w:val="329A6961"/>
    <w:rsid w:val="32A07E96"/>
    <w:rsid w:val="338E144D"/>
    <w:rsid w:val="34076784"/>
    <w:rsid w:val="343A0CE6"/>
    <w:rsid w:val="34480B4A"/>
    <w:rsid w:val="34CC3155"/>
    <w:rsid w:val="34F05F50"/>
    <w:rsid w:val="351E2F4C"/>
    <w:rsid w:val="354B2A17"/>
    <w:rsid w:val="35572951"/>
    <w:rsid w:val="3557773B"/>
    <w:rsid w:val="35F50FD6"/>
    <w:rsid w:val="363871BC"/>
    <w:rsid w:val="363B4909"/>
    <w:rsid w:val="3680281D"/>
    <w:rsid w:val="36AF2CD7"/>
    <w:rsid w:val="378E6CD5"/>
    <w:rsid w:val="37A040C6"/>
    <w:rsid w:val="37BD3798"/>
    <w:rsid w:val="37F539CB"/>
    <w:rsid w:val="3801173C"/>
    <w:rsid w:val="386E3E21"/>
    <w:rsid w:val="388C3695"/>
    <w:rsid w:val="38A93F19"/>
    <w:rsid w:val="38DC2536"/>
    <w:rsid w:val="39590D02"/>
    <w:rsid w:val="396764C9"/>
    <w:rsid w:val="39C83B7D"/>
    <w:rsid w:val="39F25AB9"/>
    <w:rsid w:val="39FD2EA0"/>
    <w:rsid w:val="3A0574FA"/>
    <w:rsid w:val="3A116BE6"/>
    <w:rsid w:val="3A3644F2"/>
    <w:rsid w:val="3A3C0D5A"/>
    <w:rsid w:val="3A501846"/>
    <w:rsid w:val="3A757B7A"/>
    <w:rsid w:val="3A985F13"/>
    <w:rsid w:val="3ABC0999"/>
    <w:rsid w:val="3AD54849"/>
    <w:rsid w:val="3B005BD0"/>
    <w:rsid w:val="3B024561"/>
    <w:rsid w:val="3B2122F1"/>
    <w:rsid w:val="3B4C7F5B"/>
    <w:rsid w:val="3BE25EB0"/>
    <w:rsid w:val="3C7F6576"/>
    <w:rsid w:val="3CEE5F6C"/>
    <w:rsid w:val="3D2A4758"/>
    <w:rsid w:val="3D6C0BDB"/>
    <w:rsid w:val="3D7C5159"/>
    <w:rsid w:val="3E28188D"/>
    <w:rsid w:val="3F2E67FD"/>
    <w:rsid w:val="3F42289D"/>
    <w:rsid w:val="3FEC243A"/>
    <w:rsid w:val="3FF2195C"/>
    <w:rsid w:val="40913B79"/>
    <w:rsid w:val="40980764"/>
    <w:rsid w:val="415E496A"/>
    <w:rsid w:val="42597CFB"/>
    <w:rsid w:val="42C412EE"/>
    <w:rsid w:val="42CD0251"/>
    <w:rsid w:val="42D1090C"/>
    <w:rsid w:val="43090F67"/>
    <w:rsid w:val="430B4641"/>
    <w:rsid w:val="437234EE"/>
    <w:rsid w:val="43B93396"/>
    <w:rsid w:val="44533EF1"/>
    <w:rsid w:val="447316C9"/>
    <w:rsid w:val="44E02024"/>
    <w:rsid w:val="44FC236A"/>
    <w:rsid w:val="45344629"/>
    <w:rsid w:val="45915F6D"/>
    <w:rsid w:val="462E5DF5"/>
    <w:rsid w:val="469C052C"/>
    <w:rsid w:val="469F57C6"/>
    <w:rsid w:val="47674BE3"/>
    <w:rsid w:val="47D66741"/>
    <w:rsid w:val="482F4571"/>
    <w:rsid w:val="488C32A4"/>
    <w:rsid w:val="48AB62F5"/>
    <w:rsid w:val="491A7673"/>
    <w:rsid w:val="4992734A"/>
    <w:rsid w:val="49934630"/>
    <w:rsid w:val="4A513FA0"/>
    <w:rsid w:val="4A636CA0"/>
    <w:rsid w:val="4A970D00"/>
    <w:rsid w:val="4AD1090A"/>
    <w:rsid w:val="4BD61390"/>
    <w:rsid w:val="4BEA37E3"/>
    <w:rsid w:val="4C0C2A92"/>
    <w:rsid w:val="4C123AC0"/>
    <w:rsid w:val="4C245747"/>
    <w:rsid w:val="4C6A66A0"/>
    <w:rsid w:val="4CEE1FAE"/>
    <w:rsid w:val="4CFE5988"/>
    <w:rsid w:val="4D2B30A8"/>
    <w:rsid w:val="4D6961C3"/>
    <w:rsid w:val="4D7E5D4B"/>
    <w:rsid w:val="4D9220BC"/>
    <w:rsid w:val="4D9C4D5F"/>
    <w:rsid w:val="4DC559F9"/>
    <w:rsid w:val="4DDC7B7A"/>
    <w:rsid w:val="4E4B32B9"/>
    <w:rsid w:val="4E5E2FD1"/>
    <w:rsid w:val="4ECF7406"/>
    <w:rsid w:val="4F25520B"/>
    <w:rsid w:val="4F262D6C"/>
    <w:rsid w:val="4F5C37B8"/>
    <w:rsid w:val="4FAB337D"/>
    <w:rsid w:val="4FE52A87"/>
    <w:rsid w:val="50151606"/>
    <w:rsid w:val="50400981"/>
    <w:rsid w:val="509269E4"/>
    <w:rsid w:val="50A36AB2"/>
    <w:rsid w:val="50C54933"/>
    <w:rsid w:val="51303D5C"/>
    <w:rsid w:val="5144412F"/>
    <w:rsid w:val="51813756"/>
    <w:rsid w:val="51A03E39"/>
    <w:rsid w:val="52660C6B"/>
    <w:rsid w:val="53591856"/>
    <w:rsid w:val="539666B8"/>
    <w:rsid w:val="53A705B1"/>
    <w:rsid w:val="53C9715A"/>
    <w:rsid w:val="53D82536"/>
    <w:rsid w:val="547D35BA"/>
    <w:rsid w:val="54D77655"/>
    <w:rsid w:val="55024E7F"/>
    <w:rsid w:val="55544733"/>
    <w:rsid w:val="557B371F"/>
    <w:rsid w:val="55931E09"/>
    <w:rsid w:val="56901021"/>
    <w:rsid w:val="572528F9"/>
    <w:rsid w:val="57395FE4"/>
    <w:rsid w:val="575C26A5"/>
    <w:rsid w:val="57CE1433"/>
    <w:rsid w:val="57D34F8E"/>
    <w:rsid w:val="57FB3827"/>
    <w:rsid w:val="58896BF1"/>
    <w:rsid w:val="589E630C"/>
    <w:rsid w:val="58DC3379"/>
    <w:rsid w:val="59561490"/>
    <w:rsid w:val="598D0B24"/>
    <w:rsid w:val="59C556FB"/>
    <w:rsid w:val="59E92D18"/>
    <w:rsid w:val="5A623115"/>
    <w:rsid w:val="5A7D3F6E"/>
    <w:rsid w:val="5AD63119"/>
    <w:rsid w:val="5AF879BB"/>
    <w:rsid w:val="5B1B6E81"/>
    <w:rsid w:val="5BCA78B1"/>
    <w:rsid w:val="5BEF4D2F"/>
    <w:rsid w:val="5C585DD7"/>
    <w:rsid w:val="5CB36BF9"/>
    <w:rsid w:val="5D120066"/>
    <w:rsid w:val="5DA82820"/>
    <w:rsid w:val="5E7B54F5"/>
    <w:rsid w:val="5EDB46C4"/>
    <w:rsid w:val="5EE23683"/>
    <w:rsid w:val="5F8844D1"/>
    <w:rsid w:val="5FC65260"/>
    <w:rsid w:val="5FF54B6C"/>
    <w:rsid w:val="60370B12"/>
    <w:rsid w:val="604636BB"/>
    <w:rsid w:val="60622F98"/>
    <w:rsid w:val="606A4DCB"/>
    <w:rsid w:val="608E7761"/>
    <w:rsid w:val="60A056E7"/>
    <w:rsid w:val="60BC7722"/>
    <w:rsid w:val="60E50EFF"/>
    <w:rsid w:val="61122CC6"/>
    <w:rsid w:val="61572CED"/>
    <w:rsid w:val="619571A0"/>
    <w:rsid w:val="61D668FF"/>
    <w:rsid w:val="61FD05BB"/>
    <w:rsid w:val="621D649C"/>
    <w:rsid w:val="623B3E39"/>
    <w:rsid w:val="62830E1C"/>
    <w:rsid w:val="62DE0F99"/>
    <w:rsid w:val="63146F70"/>
    <w:rsid w:val="6369763D"/>
    <w:rsid w:val="636E746E"/>
    <w:rsid w:val="63CB3A56"/>
    <w:rsid w:val="64336084"/>
    <w:rsid w:val="64550FB5"/>
    <w:rsid w:val="64591E34"/>
    <w:rsid w:val="64C756F0"/>
    <w:rsid w:val="652F2810"/>
    <w:rsid w:val="65940C5B"/>
    <w:rsid w:val="65C81DCC"/>
    <w:rsid w:val="6655005B"/>
    <w:rsid w:val="66651DFD"/>
    <w:rsid w:val="66A2095E"/>
    <w:rsid w:val="671305F6"/>
    <w:rsid w:val="680674A8"/>
    <w:rsid w:val="682C0E32"/>
    <w:rsid w:val="68437083"/>
    <w:rsid w:val="685F7160"/>
    <w:rsid w:val="68601B09"/>
    <w:rsid w:val="68A847D4"/>
    <w:rsid w:val="68B91B44"/>
    <w:rsid w:val="68C146F5"/>
    <w:rsid w:val="69166076"/>
    <w:rsid w:val="69472AF8"/>
    <w:rsid w:val="695629FC"/>
    <w:rsid w:val="696A6892"/>
    <w:rsid w:val="697F0A71"/>
    <w:rsid w:val="6982479D"/>
    <w:rsid w:val="6A104B2A"/>
    <w:rsid w:val="6AE97F9D"/>
    <w:rsid w:val="6AF05B5A"/>
    <w:rsid w:val="6AF1090E"/>
    <w:rsid w:val="6B107E53"/>
    <w:rsid w:val="6B420EC7"/>
    <w:rsid w:val="6C533EB7"/>
    <w:rsid w:val="6C5A755E"/>
    <w:rsid w:val="6CE94D8A"/>
    <w:rsid w:val="6D113997"/>
    <w:rsid w:val="6DDE22CB"/>
    <w:rsid w:val="6DE10864"/>
    <w:rsid w:val="6DE210F1"/>
    <w:rsid w:val="6E0B0A0A"/>
    <w:rsid w:val="6E3B4A1C"/>
    <w:rsid w:val="6E595FD3"/>
    <w:rsid w:val="6E840DC1"/>
    <w:rsid w:val="6EB7200D"/>
    <w:rsid w:val="6EB80790"/>
    <w:rsid w:val="6EFF6CF3"/>
    <w:rsid w:val="6F047809"/>
    <w:rsid w:val="6FD9651F"/>
    <w:rsid w:val="6FFB0FF5"/>
    <w:rsid w:val="703C015F"/>
    <w:rsid w:val="707A6B57"/>
    <w:rsid w:val="70812E3F"/>
    <w:rsid w:val="70D05D5A"/>
    <w:rsid w:val="71155335"/>
    <w:rsid w:val="7151624D"/>
    <w:rsid w:val="71800204"/>
    <w:rsid w:val="71C70BF6"/>
    <w:rsid w:val="71E1279E"/>
    <w:rsid w:val="71EF2594"/>
    <w:rsid w:val="71F7290B"/>
    <w:rsid w:val="71FD592B"/>
    <w:rsid w:val="720D7FE4"/>
    <w:rsid w:val="720F397A"/>
    <w:rsid w:val="72111FA0"/>
    <w:rsid w:val="72437D1F"/>
    <w:rsid w:val="726D04D3"/>
    <w:rsid w:val="727944A4"/>
    <w:rsid w:val="72CA1E65"/>
    <w:rsid w:val="72D134DE"/>
    <w:rsid w:val="73383D30"/>
    <w:rsid w:val="73816CB2"/>
    <w:rsid w:val="73DC0209"/>
    <w:rsid w:val="745927C5"/>
    <w:rsid w:val="747F6C13"/>
    <w:rsid w:val="75397FEA"/>
    <w:rsid w:val="75437FCE"/>
    <w:rsid w:val="75501F7A"/>
    <w:rsid w:val="75A82543"/>
    <w:rsid w:val="7628539E"/>
    <w:rsid w:val="762918BE"/>
    <w:rsid w:val="76440324"/>
    <w:rsid w:val="76B95246"/>
    <w:rsid w:val="77221836"/>
    <w:rsid w:val="774040A4"/>
    <w:rsid w:val="77526966"/>
    <w:rsid w:val="77770AF7"/>
    <w:rsid w:val="77A86B72"/>
    <w:rsid w:val="783F1A02"/>
    <w:rsid w:val="784018B9"/>
    <w:rsid w:val="78767D96"/>
    <w:rsid w:val="78ED20AF"/>
    <w:rsid w:val="79184336"/>
    <w:rsid w:val="791C2F15"/>
    <w:rsid w:val="7944746F"/>
    <w:rsid w:val="7A096224"/>
    <w:rsid w:val="7A0F3269"/>
    <w:rsid w:val="7BBA79BE"/>
    <w:rsid w:val="7BE443F5"/>
    <w:rsid w:val="7BEE0798"/>
    <w:rsid w:val="7BF71F17"/>
    <w:rsid w:val="7BFA5853"/>
    <w:rsid w:val="7CA812FD"/>
    <w:rsid w:val="7CAC4C2B"/>
    <w:rsid w:val="7CDA5125"/>
    <w:rsid w:val="7DA96753"/>
    <w:rsid w:val="7DB23D66"/>
    <w:rsid w:val="7DDC6A46"/>
    <w:rsid w:val="7E191D22"/>
    <w:rsid w:val="7E1C7D03"/>
    <w:rsid w:val="7E675848"/>
    <w:rsid w:val="7EBB55B0"/>
    <w:rsid w:val="7ED45DD0"/>
    <w:rsid w:val="7ED93D46"/>
    <w:rsid w:val="7EEF72D1"/>
    <w:rsid w:val="7F034577"/>
    <w:rsid w:val="7F084F80"/>
    <w:rsid w:val="7F7D197D"/>
    <w:rsid w:val="7F7E5110"/>
    <w:rsid w:val="7FE3732D"/>
    <w:rsid w:val="BFFFF23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99" w:semiHidden="0" w:name="toc 2" w:locked="1"/>
    <w:lsdException w:uiPriority="39" w:name="toc 3"/>
    <w:lsdException w:uiPriority="39" w:name="toc 4"/>
    <w:lsdException w:qFormat="1" w:unhideWhenUsed="0" w:uiPriority="99" w:semiHidden="0" w:name="toc 5" w:locked="1"/>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99" w:semiHidden="0" w:name="table of authorities" w:locked="1"/>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ocked="1"/>
    <w:lsdException w:qFormat="1" w:unhideWhenUsed="0" w:uiPriority="99" w:semiHidden="0" w:name="Body Text Indent" w:locked="1"/>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20" w:semiHidden="0" w:name="Emphasis"/>
    <w:lsdException w:qFormat="1" w:unhideWhenUsed="0" w:uiPriority="99" w:semiHidden="0" w:name="Document Map" w:locked="1"/>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ocked="1"/>
    <w:lsdException w:qFormat="1" w:unhideWhenUsed="0" w:uiPriority="99"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0"/>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7"/>
    <w:qFormat/>
    <w:locked/>
    <w:uiPriority w:val="99"/>
    <w:pPr>
      <w:keepNext/>
      <w:keepLines/>
      <w:pageBreakBefore/>
      <w:numPr>
        <w:ilvl w:val="0"/>
        <w:numId w:val="1"/>
      </w:numPr>
      <w:tabs>
        <w:tab w:val="left" w:pos="0"/>
      </w:tabs>
      <w:spacing w:before="340" w:after="330" w:line="576" w:lineRule="auto"/>
      <w:ind w:firstLine="200" w:firstLineChars="200"/>
      <w:jc w:val="left"/>
      <w:outlineLvl w:val="0"/>
    </w:pPr>
    <w:rPr>
      <w:b/>
      <w:kern w:val="44"/>
      <w:sz w:val="44"/>
      <w:szCs w:val="20"/>
    </w:rPr>
  </w:style>
  <w:style w:type="paragraph" w:styleId="4">
    <w:name w:val="heading 2"/>
    <w:basedOn w:val="1"/>
    <w:next w:val="1"/>
    <w:link w:val="48"/>
    <w:qFormat/>
    <w:locked/>
    <w:uiPriority w:val="99"/>
    <w:pPr>
      <w:keepNext/>
      <w:keepLines/>
      <w:numPr>
        <w:ilvl w:val="1"/>
        <w:numId w:val="2"/>
      </w:numPr>
      <w:tabs>
        <w:tab w:val="left" w:pos="420"/>
      </w:tabs>
      <w:spacing w:before="240" w:after="240" w:line="360" w:lineRule="auto"/>
      <w:jc w:val="left"/>
      <w:outlineLvl w:val="1"/>
    </w:pPr>
    <w:rPr>
      <w:rFonts w:ascii="Arial" w:hAnsi="Arial" w:eastAsia="黑体"/>
      <w:b/>
      <w:kern w:val="0"/>
      <w:sz w:val="28"/>
      <w:szCs w:val="20"/>
    </w:rPr>
  </w:style>
  <w:style w:type="paragraph" w:styleId="5">
    <w:name w:val="heading 3"/>
    <w:basedOn w:val="1"/>
    <w:next w:val="1"/>
    <w:link w:val="49"/>
    <w:qFormat/>
    <w:locked/>
    <w:uiPriority w:val="99"/>
    <w:pPr>
      <w:keepNext/>
      <w:keepLines/>
      <w:numPr>
        <w:ilvl w:val="2"/>
        <w:numId w:val="3"/>
      </w:numPr>
      <w:tabs>
        <w:tab w:val="left" w:pos="0"/>
      </w:tabs>
      <w:spacing w:before="40" w:after="40" w:line="360" w:lineRule="auto"/>
      <w:jc w:val="left"/>
      <w:outlineLvl w:val="2"/>
    </w:pPr>
    <w:rPr>
      <w:rFonts w:eastAsia="仿宋"/>
      <w:b/>
      <w:kern w:val="0"/>
      <w:sz w:val="28"/>
      <w:szCs w:val="20"/>
    </w:rPr>
  </w:style>
  <w:style w:type="paragraph" w:styleId="6">
    <w:name w:val="heading 4"/>
    <w:basedOn w:val="5"/>
    <w:next w:val="1"/>
    <w:link w:val="50"/>
    <w:qFormat/>
    <w:locked/>
    <w:uiPriority w:val="99"/>
    <w:pPr>
      <w:numPr>
        <w:ilvl w:val="3"/>
      </w:numPr>
      <w:outlineLvl w:val="3"/>
    </w:pPr>
    <w:rPr>
      <w:rFonts w:ascii="Cambria" w:hAnsi="Cambria" w:eastAsia="宋体"/>
    </w:rPr>
  </w:style>
  <w:style w:type="character" w:default="1" w:styleId="27">
    <w:name w:val="Default Paragraph Font"/>
    <w:semiHidden/>
    <w:qFormat/>
    <w:uiPriority w:val="99"/>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标书正文1"/>
    <w:basedOn w:val="1"/>
    <w:qFormat/>
    <w:uiPriority w:val="99"/>
    <w:pPr>
      <w:spacing w:line="520" w:lineRule="exact"/>
      <w:ind w:firstLine="640" w:firstLineChars="200"/>
    </w:pPr>
  </w:style>
  <w:style w:type="paragraph" w:styleId="7">
    <w:name w:val="table of authorities"/>
    <w:basedOn w:val="1"/>
    <w:next w:val="1"/>
    <w:qFormat/>
    <w:locked/>
    <w:uiPriority w:val="99"/>
    <w:pPr>
      <w:ind w:left="420" w:leftChars="200"/>
    </w:pPr>
    <w:rPr>
      <w:rFonts w:eastAsia="方正仿宋_GBK"/>
      <w:sz w:val="32"/>
      <w:szCs w:val="20"/>
    </w:rPr>
  </w:style>
  <w:style w:type="paragraph" w:styleId="8">
    <w:name w:val="Normal Indent"/>
    <w:basedOn w:val="1"/>
    <w:qFormat/>
    <w:uiPriority w:val="99"/>
    <w:pPr>
      <w:spacing w:line="360" w:lineRule="auto"/>
      <w:ind w:firstLine="567" w:firstLineChars="200"/>
      <w:jc w:val="left"/>
    </w:pPr>
    <w:rPr>
      <w:sz w:val="28"/>
      <w:szCs w:val="24"/>
    </w:rPr>
  </w:style>
  <w:style w:type="paragraph" w:styleId="9">
    <w:name w:val="Document Map"/>
    <w:basedOn w:val="1"/>
    <w:link w:val="51"/>
    <w:qFormat/>
    <w:locked/>
    <w:uiPriority w:val="99"/>
    <w:pPr>
      <w:shd w:val="clear" w:color="auto" w:fill="000080"/>
    </w:pPr>
    <w:rPr>
      <w:sz w:val="24"/>
      <w:szCs w:val="20"/>
    </w:rPr>
  </w:style>
  <w:style w:type="paragraph" w:styleId="10">
    <w:name w:val="annotation text"/>
    <w:basedOn w:val="1"/>
    <w:link w:val="52"/>
    <w:qFormat/>
    <w:locked/>
    <w:uiPriority w:val="99"/>
    <w:pPr>
      <w:adjustRightInd w:val="0"/>
      <w:jc w:val="left"/>
      <w:textAlignment w:val="baseline"/>
    </w:pPr>
    <w:rPr>
      <w:szCs w:val="20"/>
    </w:rPr>
  </w:style>
  <w:style w:type="paragraph" w:styleId="11">
    <w:name w:val="Body Text"/>
    <w:basedOn w:val="1"/>
    <w:link w:val="53"/>
    <w:qFormat/>
    <w:locked/>
    <w:uiPriority w:val="99"/>
    <w:pPr>
      <w:jc w:val="center"/>
    </w:pPr>
    <w:rPr>
      <w:rFonts w:eastAsia="方正仿宋_GBK"/>
      <w:b/>
      <w:kern w:val="0"/>
      <w:sz w:val="20"/>
      <w:szCs w:val="20"/>
    </w:rPr>
  </w:style>
  <w:style w:type="paragraph" w:styleId="12">
    <w:name w:val="Body Text Indent"/>
    <w:basedOn w:val="1"/>
    <w:link w:val="55"/>
    <w:qFormat/>
    <w:locked/>
    <w:uiPriority w:val="99"/>
    <w:pPr>
      <w:spacing w:after="120"/>
      <w:ind w:left="200" w:leftChars="200"/>
    </w:pPr>
    <w:rPr>
      <w:sz w:val="24"/>
      <w:szCs w:val="20"/>
    </w:rPr>
  </w:style>
  <w:style w:type="paragraph" w:styleId="13">
    <w:name w:val="toc 5"/>
    <w:basedOn w:val="1"/>
    <w:next w:val="1"/>
    <w:qFormat/>
    <w:locked/>
    <w:uiPriority w:val="99"/>
    <w:pPr>
      <w:ind w:left="1680" w:leftChars="800"/>
    </w:pPr>
    <w:rPr>
      <w:rFonts w:eastAsia="方正仿宋_GBK"/>
      <w:sz w:val="32"/>
      <w:szCs w:val="24"/>
    </w:rPr>
  </w:style>
  <w:style w:type="paragraph" w:styleId="14">
    <w:name w:val="Plain Text"/>
    <w:basedOn w:val="1"/>
    <w:link w:val="56"/>
    <w:qFormat/>
    <w:uiPriority w:val="99"/>
    <w:rPr>
      <w:rFonts w:ascii="宋体" w:hAnsi="Courier New"/>
      <w:kern w:val="0"/>
      <w:szCs w:val="20"/>
    </w:rPr>
  </w:style>
  <w:style w:type="paragraph" w:styleId="15">
    <w:name w:val="Date"/>
    <w:basedOn w:val="1"/>
    <w:next w:val="1"/>
    <w:link w:val="57"/>
    <w:qFormat/>
    <w:uiPriority w:val="99"/>
    <w:pPr>
      <w:ind w:left="100" w:leftChars="2500"/>
    </w:pPr>
    <w:rPr>
      <w:sz w:val="24"/>
      <w:szCs w:val="20"/>
    </w:rPr>
  </w:style>
  <w:style w:type="paragraph" w:styleId="16">
    <w:name w:val="Body Text Indent 2"/>
    <w:basedOn w:val="1"/>
    <w:link w:val="58"/>
    <w:qFormat/>
    <w:uiPriority w:val="99"/>
    <w:pPr>
      <w:spacing w:after="120" w:line="480" w:lineRule="auto"/>
      <w:ind w:left="420" w:leftChars="200" w:firstLine="960" w:firstLineChars="200"/>
      <w:jc w:val="left"/>
    </w:pPr>
    <w:rPr>
      <w:kern w:val="0"/>
      <w:szCs w:val="20"/>
    </w:rPr>
  </w:style>
  <w:style w:type="paragraph" w:styleId="17">
    <w:name w:val="Balloon Text"/>
    <w:basedOn w:val="1"/>
    <w:link w:val="59"/>
    <w:semiHidden/>
    <w:qFormat/>
    <w:locked/>
    <w:uiPriority w:val="99"/>
    <w:rPr>
      <w:rFonts w:eastAsia="方正仿宋_GBK"/>
      <w:kern w:val="0"/>
      <w:sz w:val="18"/>
      <w:szCs w:val="20"/>
    </w:rPr>
  </w:style>
  <w:style w:type="paragraph" w:styleId="18">
    <w:name w:val="footer"/>
    <w:basedOn w:val="1"/>
    <w:link w:val="60"/>
    <w:qFormat/>
    <w:uiPriority w:val="99"/>
    <w:pPr>
      <w:tabs>
        <w:tab w:val="center" w:pos="4153"/>
        <w:tab w:val="right" w:pos="8306"/>
      </w:tabs>
      <w:snapToGrid w:val="0"/>
      <w:jc w:val="left"/>
    </w:pPr>
    <w:rPr>
      <w:kern w:val="0"/>
      <w:sz w:val="18"/>
      <w:szCs w:val="20"/>
    </w:rPr>
  </w:style>
  <w:style w:type="paragraph" w:styleId="19">
    <w:name w:val="header"/>
    <w:basedOn w:val="1"/>
    <w:link w:val="61"/>
    <w:qFormat/>
    <w:uiPriority w:val="99"/>
    <w:pPr>
      <w:pBdr>
        <w:bottom w:val="single" w:color="auto" w:sz="6" w:space="1"/>
      </w:pBdr>
      <w:tabs>
        <w:tab w:val="center" w:pos="4153"/>
        <w:tab w:val="right" w:pos="8306"/>
      </w:tabs>
      <w:snapToGrid w:val="0"/>
      <w:jc w:val="center"/>
    </w:pPr>
    <w:rPr>
      <w:kern w:val="0"/>
      <w:sz w:val="18"/>
      <w:szCs w:val="20"/>
    </w:rPr>
  </w:style>
  <w:style w:type="paragraph" w:styleId="20">
    <w:name w:val="toc 1"/>
    <w:basedOn w:val="1"/>
    <w:next w:val="1"/>
    <w:qFormat/>
    <w:locked/>
    <w:uiPriority w:val="99"/>
    <w:pPr>
      <w:spacing w:line="360" w:lineRule="auto"/>
      <w:ind w:firstLine="960" w:firstLineChars="200"/>
      <w:jc w:val="left"/>
    </w:pPr>
    <w:rPr>
      <w:sz w:val="28"/>
      <w:szCs w:val="24"/>
    </w:rPr>
  </w:style>
  <w:style w:type="paragraph" w:styleId="21">
    <w:name w:val="List"/>
    <w:basedOn w:val="1"/>
    <w:qFormat/>
    <w:uiPriority w:val="99"/>
    <w:pPr>
      <w:spacing w:line="360" w:lineRule="auto"/>
      <w:ind w:left="200" w:hanging="200" w:hangingChars="200"/>
      <w:jc w:val="center"/>
    </w:pPr>
    <w:rPr>
      <w:sz w:val="24"/>
      <w:szCs w:val="24"/>
    </w:rPr>
  </w:style>
  <w:style w:type="paragraph" w:styleId="22">
    <w:name w:val="toc 2"/>
    <w:basedOn w:val="1"/>
    <w:next w:val="1"/>
    <w:qFormat/>
    <w:locked/>
    <w:uiPriority w:val="99"/>
    <w:pPr>
      <w:ind w:left="210"/>
      <w:jc w:val="left"/>
    </w:pPr>
    <w:rPr>
      <w:smallCaps/>
      <w:sz w:val="20"/>
      <w:szCs w:val="24"/>
    </w:rPr>
  </w:style>
  <w:style w:type="paragraph" w:styleId="23">
    <w:name w:val="Normal (Web)"/>
    <w:basedOn w:val="1"/>
    <w:qFormat/>
    <w:uiPriority w:val="99"/>
    <w:pPr>
      <w:widowControl/>
      <w:spacing w:before="100" w:beforeAutospacing="1" w:after="100" w:afterAutospacing="1" w:line="360" w:lineRule="auto"/>
      <w:ind w:firstLine="960" w:firstLineChars="200"/>
      <w:jc w:val="left"/>
    </w:pPr>
    <w:rPr>
      <w:rFonts w:ascii="宋体" w:eastAsia="Times New Roman"/>
      <w:sz w:val="24"/>
      <w:szCs w:val="24"/>
    </w:rPr>
  </w:style>
  <w:style w:type="paragraph" w:styleId="24">
    <w:name w:val="Title"/>
    <w:basedOn w:val="1"/>
    <w:link w:val="62"/>
    <w:qFormat/>
    <w:locked/>
    <w:uiPriority w:val="99"/>
    <w:pPr>
      <w:spacing w:before="240" w:after="60"/>
      <w:jc w:val="center"/>
      <w:outlineLvl w:val="0"/>
    </w:pPr>
    <w:rPr>
      <w:rFonts w:ascii="Arial" w:hAnsi="Arial" w:eastAsia="方正仿宋_GBK"/>
      <w:b/>
      <w:kern w:val="0"/>
      <w:sz w:val="32"/>
      <w:szCs w:val="20"/>
    </w:rPr>
  </w:style>
  <w:style w:type="table" w:styleId="26">
    <w:name w:val="Table Grid"/>
    <w:basedOn w:val="25"/>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locked/>
    <w:uiPriority w:val="99"/>
    <w:rPr>
      <w:rFonts w:cs="Times New Roman"/>
      <w:b/>
    </w:rPr>
  </w:style>
  <w:style w:type="character" w:styleId="29">
    <w:name w:val="page number"/>
    <w:basedOn w:val="27"/>
    <w:qFormat/>
    <w:uiPriority w:val="99"/>
    <w:rPr>
      <w:rFonts w:cs="Times New Roman"/>
    </w:rPr>
  </w:style>
  <w:style w:type="character" w:styleId="30">
    <w:name w:val="Hyperlink"/>
    <w:basedOn w:val="27"/>
    <w:qFormat/>
    <w:uiPriority w:val="99"/>
    <w:rPr>
      <w:rFonts w:cs="Times New Roman"/>
      <w:color w:val="0000FF"/>
      <w:u w:val="single"/>
    </w:rPr>
  </w:style>
  <w:style w:type="paragraph" w:customStyle="1" w:styleId="31">
    <w:name w:val="Default"/>
    <w:qFormat/>
    <w:uiPriority w:val="99"/>
    <w:pPr>
      <w:widowControl w:val="0"/>
      <w:autoSpaceDE w:val="0"/>
      <w:autoSpaceDN w:val="0"/>
      <w:adjustRightInd w:val="0"/>
    </w:pPr>
    <w:rPr>
      <w:rFonts w:ascii="方正小标宋简体" w:hAnsi="Calibri" w:eastAsia="方正小标宋简体" w:cs="Times New Roman"/>
      <w:color w:val="000000"/>
      <w:kern w:val="0"/>
      <w:sz w:val="24"/>
      <w:szCs w:val="20"/>
      <w:lang w:val="en-US" w:eastAsia="zh-CN" w:bidi="ar-SA"/>
    </w:rPr>
  </w:style>
  <w:style w:type="character" w:customStyle="1" w:styleId="32">
    <w:name w:val="Heading 1 Char"/>
    <w:basedOn w:val="27"/>
    <w:link w:val="3"/>
    <w:qFormat/>
    <w:locked/>
    <w:uiPriority w:val="99"/>
    <w:rPr>
      <w:rFonts w:cs="Times New Roman"/>
      <w:b/>
      <w:bCs/>
      <w:kern w:val="44"/>
      <w:sz w:val="44"/>
      <w:szCs w:val="44"/>
    </w:rPr>
  </w:style>
  <w:style w:type="character" w:customStyle="1" w:styleId="33">
    <w:name w:val="Heading 2 Char"/>
    <w:basedOn w:val="27"/>
    <w:link w:val="4"/>
    <w:semiHidden/>
    <w:qFormat/>
    <w:locked/>
    <w:uiPriority w:val="99"/>
    <w:rPr>
      <w:rFonts w:ascii="Cambria" w:hAnsi="Cambria" w:eastAsia="宋体" w:cs="Times New Roman"/>
      <w:b/>
      <w:sz w:val="32"/>
    </w:rPr>
  </w:style>
  <w:style w:type="character" w:customStyle="1" w:styleId="34">
    <w:name w:val="Heading 3 Char"/>
    <w:basedOn w:val="27"/>
    <w:link w:val="5"/>
    <w:qFormat/>
    <w:locked/>
    <w:uiPriority w:val="99"/>
    <w:rPr>
      <w:rFonts w:cs="Times New Roman"/>
      <w:b/>
      <w:sz w:val="32"/>
    </w:rPr>
  </w:style>
  <w:style w:type="character" w:customStyle="1" w:styleId="35">
    <w:name w:val="Heading 4 Char"/>
    <w:basedOn w:val="27"/>
    <w:link w:val="6"/>
    <w:semiHidden/>
    <w:qFormat/>
    <w:locked/>
    <w:uiPriority w:val="99"/>
    <w:rPr>
      <w:rFonts w:ascii="Cambria" w:hAnsi="Cambria" w:eastAsia="宋体" w:cs="Times New Roman"/>
      <w:b/>
      <w:bCs/>
      <w:sz w:val="28"/>
      <w:szCs w:val="28"/>
    </w:rPr>
  </w:style>
  <w:style w:type="character" w:customStyle="1" w:styleId="36">
    <w:name w:val="Body Text Char"/>
    <w:basedOn w:val="27"/>
    <w:link w:val="11"/>
    <w:semiHidden/>
    <w:qFormat/>
    <w:locked/>
    <w:uiPriority w:val="99"/>
    <w:rPr>
      <w:rFonts w:cs="Times New Roman"/>
      <w:sz w:val="21"/>
      <w:szCs w:val="21"/>
    </w:rPr>
  </w:style>
  <w:style w:type="character" w:customStyle="1" w:styleId="37">
    <w:name w:val="Document Map Char"/>
    <w:basedOn w:val="27"/>
    <w:link w:val="9"/>
    <w:semiHidden/>
    <w:qFormat/>
    <w:locked/>
    <w:uiPriority w:val="99"/>
    <w:rPr>
      <w:rFonts w:cs="Times New Roman"/>
      <w:sz w:val="2"/>
    </w:rPr>
  </w:style>
  <w:style w:type="character" w:customStyle="1" w:styleId="38">
    <w:name w:val="Comment Text Char"/>
    <w:basedOn w:val="27"/>
    <w:link w:val="10"/>
    <w:semiHidden/>
    <w:qFormat/>
    <w:locked/>
    <w:uiPriority w:val="99"/>
    <w:rPr>
      <w:rFonts w:cs="Times New Roman"/>
      <w:sz w:val="21"/>
      <w:szCs w:val="21"/>
    </w:rPr>
  </w:style>
  <w:style w:type="character" w:customStyle="1" w:styleId="39">
    <w:name w:val="Body Text Indent Char"/>
    <w:basedOn w:val="27"/>
    <w:link w:val="12"/>
    <w:semiHidden/>
    <w:qFormat/>
    <w:locked/>
    <w:uiPriority w:val="99"/>
    <w:rPr>
      <w:rFonts w:cs="Times New Roman"/>
      <w:sz w:val="21"/>
      <w:szCs w:val="21"/>
    </w:rPr>
  </w:style>
  <w:style w:type="character" w:customStyle="1" w:styleId="40">
    <w:name w:val="Plain Text Char"/>
    <w:basedOn w:val="27"/>
    <w:link w:val="14"/>
    <w:qFormat/>
    <w:locked/>
    <w:uiPriority w:val="99"/>
    <w:rPr>
      <w:rFonts w:ascii="宋体" w:hAnsi="Courier New" w:cs="Times New Roman"/>
      <w:kern w:val="2"/>
      <w:sz w:val="21"/>
    </w:rPr>
  </w:style>
  <w:style w:type="character" w:customStyle="1" w:styleId="41">
    <w:name w:val="Date Char"/>
    <w:basedOn w:val="27"/>
    <w:link w:val="15"/>
    <w:semiHidden/>
    <w:qFormat/>
    <w:locked/>
    <w:uiPriority w:val="99"/>
    <w:rPr>
      <w:rFonts w:cs="Times New Roman"/>
      <w:sz w:val="21"/>
      <w:szCs w:val="21"/>
    </w:rPr>
  </w:style>
  <w:style w:type="character" w:customStyle="1" w:styleId="42">
    <w:name w:val="Body Text Indent 2 Char"/>
    <w:basedOn w:val="27"/>
    <w:link w:val="16"/>
    <w:semiHidden/>
    <w:qFormat/>
    <w:locked/>
    <w:uiPriority w:val="99"/>
    <w:rPr>
      <w:rFonts w:cs="Times New Roman"/>
      <w:sz w:val="21"/>
      <w:szCs w:val="21"/>
    </w:rPr>
  </w:style>
  <w:style w:type="character" w:customStyle="1" w:styleId="43">
    <w:name w:val="Balloon Text Char"/>
    <w:basedOn w:val="27"/>
    <w:link w:val="17"/>
    <w:semiHidden/>
    <w:qFormat/>
    <w:locked/>
    <w:uiPriority w:val="99"/>
    <w:rPr>
      <w:rFonts w:cs="Times New Roman"/>
      <w:sz w:val="2"/>
    </w:rPr>
  </w:style>
  <w:style w:type="character" w:customStyle="1" w:styleId="44">
    <w:name w:val="Footer Char"/>
    <w:basedOn w:val="27"/>
    <w:link w:val="18"/>
    <w:qFormat/>
    <w:locked/>
    <w:uiPriority w:val="99"/>
    <w:rPr>
      <w:rFonts w:cs="Times New Roman"/>
      <w:sz w:val="18"/>
    </w:rPr>
  </w:style>
  <w:style w:type="character" w:customStyle="1" w:styleId="45">
    <w:name w:val="Header Char"/>
    <w:basedOn w:val="27"/>
    <w:link w:val="19"/>
    <w:qFormat/>
    <w:locked/>
    <w:uiPriority w:val="99"/>
    <w:rPr>
      <w:rFonts w:cs="Times New Roman"/>
      <w:sz w:val="18"/>
    </w:rPr>
  </w:style>
  <w:style w:type="character" w:customStyle="1" w:styleId="46">
    <w:name w:val="Title Char"/>
    <w:basedOn w:val="27"/>
    <w:link w:val="24"/>
    <w:qFormat/>
    <w:locked/>
    <w:uiPriority w:val="99"/>
    <w:rPr>
      <w:rFonts w:ascii="Cambria" w:hAnsi="Cambria" w:cs="Times New Roman"/>
      <w:b/>
      <w:bCs/>
      <w:sz w:val="32"/>
      <w:szCs w:val="32"/>
    </w:rPr>
  </w:style>
  <w:style w:type="character" w:customStyle="1" w:styleId="47">
    <w:name w:val="Heading 1 Char1"/>
    <w:link w:val="3"/>
    <w:qFormat/>
    <w:locked/>
    <w:uiPriority w:val="99"/>
    <w:rPr>
      <w:b/>
      <w:kern w:val="44"/>
      <w:sz w:val="44"/>
    </w:rPr>
  </w:style>
  <w:style w:type="character" w:customStyle="1" w:styleId="48">
    <w:name w:val="Heading 2 Char1"/>
    <w:link w:val="4"/>
    <w:qFormat/>
    <w:locked/>
    <w:uiPriority w:val="99"/>
    <w:rPr>
      <w:rFonts w:ascii="Arial" w:hAnsi="Arial" w:eastAsia="黑体"/>
      <w:b/>
      <w:sz w:val="28"/>
    </w:rPr>
  </w:style>
  <w:style w:type="character" w:customStyle="1" w:styleId="49">
    <w:name w:val="Heading 3 Char1"/>
    <w:link w:val="5"/>
    <w:qFormat/>
    <w:locked/>
    <w:uiPriority w:val="99"/>
    <w:rPr>
      <w:rFonts w:eastAsia="仿宋"/>
      <w:b/>
      <w:sz w:val="28"/>
    </w:rPr>
  </w:style>
  <w:style w:type="character" w:customStyle="1" w:styleId="50">
    <w:name w:val="Heading 4 Char1"/>
    <w:link w:val="6"/>
    <w:qFormat/>
    <w:locked/>
    <w:uiPriority w:val="99"/>
    <w:rPr>
      <w:rFonts w:ascii="Cambria" w:hAnsi="Cambria" w:eastAsia="宋体"/>
      <w:b/>
      <w:sz w:val="28"/>
    </w:rPr>
  </w:style>
  <w:style w:type="character" w:customStyle="1" w:styleId="51">
    <w:name w:val="Document Map Char1"/>
    <w:link w:val="9"/>
    <w:qFormat/>
    <w:locked/>
    <w:uiPriority w:val="99"/>
    <w:rPr>
      <w:kern w:val="2"/>
      <w:sz w:val="24"/>
      <w:shd w:val="clear" w:color="auto" w:fill="000080"/>
    </w:rPr>
  </w:style>
  <w:style w:type="character" w:customStyle="1" w:styleId="52">
    <w:name w:val="Comment Text Char1"/>
    <w:link w:val="10"/>
    <w:qFormat/>
    <w:locked/>
    <w:uiPriority w:val="99"/>
    <w:rPr>
      <w:kern w:val="2"/>
      <w:sz w:val="21"/>
    </w:rPr>
  </w:style>
  <w:style w:type="character" w:customStyle="1" w:styleId="53">
    <w:name w:val="Body Text Char1"/>
    <w:link w:val="11"/>
    <w:qFormat/>
    <w:locked/>
    <w:uiPriority w:val="99"/>
    <w:rPr>
      <w:rFonts w:eastAsia="方正仿宋_GBK"/>
      <w:b/>
      <w:sz w:val="20"/>
    </w:rPr>
  </w:style>
  <w:style w:type="paragraph" w:styleId="54">
    <w:name w:val="List Paragraph"/>
    <w:basedOn w:val="1"/>
    <w:qFormat/>
    <w:uiPriority w:val="99"/>
    <w:pPr>
      <w:ind w:firstLine="420" w:firstLineChars="200"/>
    </w:pPr>
    <w:rPr>
      <w:rFonts w:eastAsia="方正仿宋_GBK"/>
      <w:sz w:val="32"/>
      <w:szCs w:val="20"/>
    </w:rPr>
  </w:style>
  <w:style w:type="character" w:customStyle="1" w:styleId="55">
    <w:name w:val="Body Text Indent Char1"/>
    <w:link w:val="12"/>
    <w:qFormat/>
    <w:locked/>
    <w:uiPriority w:val="99"/>
    <w:rPr>
      <w:kern w:val="2"/>
      <w:sz w:val="24"/>
      <w:lang w:val="en-US" w:eastAsia="zh-CN"/>
    </w:rPr>
  </w:style>
  <w:style w:type="character" w:customStyle="1" w:styleId="56">
    <w:name w:val="Plain Text Char1"/>
    <w:link w:val="14"/>
    <w:qFormat/>
    <w:locked/>
    <w:uiPriority w:val="99"/>
    <w:rPr>
      <w:rFonts w:ascii="宋体" w:hAnsi="Courier New"/>
      <w:sz w:val="21"/>
    </w:rPr>
  </w:style>
  <w:style w:type="character" w:customStyle="1" w:styleId="57">
    <w:name w:val="Date Char1"/>
    <w:link w:val="15"/>
    <w:qFormat/>
    <w:locked/>
    <w:uiPriority w:val="99"/>
    <w:rPr>
      <w:rFonts w:eastAsia="宋体"/>
      <w:kern w:val="2"/>
      <w:sz w:val="24"/>
      <w:lang w:val="en-US" w:eastAsia="zh-CN"/>
    </w:rPr>
  </w:style>
  <w:style w:type="character" w:customStyle="1" w:styleId="58">
    <w:name w:val="Body Text Indent 2 Char1"/>
    <w:link w:val="16"/>
    <w:qFormat/>
    <w:locked/>
    <w:uiPriority w:val="99"/>
    <w:rPr>
      <w:sz w:val="21"/>
    </w:rPr>
  </w:style>
  <w:style w:type="character" w:customStyle="1" w:styleId="59">
    <w:name w:val="Balloon Text Char1"/>
    <w:link w:val="17"/>
    <w:semiHidden/>
    <w:qFormat/>
    <w:locked/>
    <w:uiPriority w:val="99"/>
    <w:rPr>
      <w:rFonts w:eastAsia="方正仿宋_GBK"/>
      <w:sz w:val="18"/>
    </w:rPr>
  </w:style>
  <w:style w:type="character" w:customStyle="1" w:styleId="60">
    <w:name w:val="Footer Char1"/>
    <w:link w:val="18"/>
    <w:qFormat/>
    <w:locked/>
    <w:uiPriority w:val="99"/>
    <w:rPr>
      <w:sz w:val="18"/>
    </w:rPr>
  </w:style>
  <w:style w:type="character" w:customStyle="1" w:styleId="61">
    <w:name w:val="Header Char1"/>
    <w:link w:val="19"/>
    <w:qFormat/>
    <w:locked/>
    <w:uiPriority w:val="99"/>
    <w:rPr>
      <w:sz w:val="18"/>
    </w:rPr>
  </w:style>
  <w:style w:type="character" w:customStyle="1" w:styleId="62">
    <w:name w:val="Title Char1"/>
    <w:link w:val="24"/>
    <w:qFormat/>
    <w:locked/>
    <w:uiPriority w:val="99"/>
    <w:rPr>
      <w:rFonts w:ascii="Arial" w:hAnsi="Arial" w:eastAsia="方正仿宋_GBK"/>
      <w:b/>
      <w:sz w:val="32"/>
    </w:rPr>
  </w:style>
  <w:style w:type="character" w:customStyle="1" w:styleId="63">
    <w:name w:val="font61"/>
    <w:qFormat/>
    <w:uiPriority w:val="99"/>
    <w:rPr>
      <w:rFonts w:ascii="??_GB2312" w:eastAsia="Times New Roman"/>
      <w:color w:val="FF0000"/>
      <w:sz w:val="20"/>
    </w:rPr>
  </w:style>
  <w:style w:type="character" w:customStyle="1" w:styleId="64">
    <w:name w:val="font141"/>
    <w:qFormat/>
    <w:uiPriority w:val="99"/>
    <w:rPr>
      <w:rFonts w:ascii="??_GB2312" w:eastAsia="Times New Roman"/>
      <w:color w:val="000000"/>
      <w:sz w:val="22"/>
    </w:rPr>
  </w:style>
  <w:style w:type="character" w:customStyle="1" w:styleId="65">
    <w:name w:val="font01"/>
    <w:qFormat/>
    <w:uiPriority w:val="99"/>
    <w:rPr>
      <w:rFonts w:ascii="Arial Narrow" w:hAnsi="Arial Narrow"/>
      <w:color w:val="000000"/>
      <w:sz w:val="18"/>
    </w:rPr>
  </w:style>
  <w:style w:type="character" w:customStyle="1" w:styleId="66">
    <w:name w:val="font51"/>
    <w:qFormat/>
    <w:uiPriority w:val="99"/>
    <w:rPr>
      <w:color w:val="000000"/>
      <w:sz w:val="22"/>
    </w:rPr>
  </w:style>
  <w:style w:type="character" w:customStyle="1" w:styleId="67">
    <w:name w:val="font131"/>
    <w:qFormat/>
    <w:uiPriority w:val="99"/>
    <w:rPr>
      <w:rFonts w:ascii="仿宋" w:hAnsi="仿宋" w:eastAsia="仿宋"/>
      <w:color w:val="FF0000"/>
      <w:sz w:val="22"/>
    </w:rPr>
  </w:style>
  <w:style w:type="character" w:customStyle="1" w:styleId="68">
    <w:name w:val="font101"/>
    <w:qFormat/>
    <w:uiPriority w:val="99"/>
    <w:rPr>
      <w:rFonts w:ascii="宋体" w:eastAsia="宋体"/>
      <w:color w:val="000000"/>
      <w:sz w:val="22"/>
    </w:rPr>
  </w:style>
  <w:style w:type="character" w:customStyle="1" w:styleId="69">
    <w:name w:val="font31"/>
    <w:qFormat/>
    <w:uiPriority w:val="99"/>
    <w:rPr>
      <w:rFonts w:ascii="宋体" w:eastAsia="宋体"/>
      <w:color w:val="000000"/>
    </w:rPr>
  </w:style>
  <w:style w:type="character" w:customStyle="1" w:styleId="70">
    <w:name w:val="font13"/>
    <w:qFormat/>
    <w:uiPriority w:val="99"/>
    <w:rPr>
      <w:color w:val="000000"/>
      <w:sz w:val="20"/>
    </w:rPr>
  </w:style>
  <w:style w:type="character" w:customStyle="1" w:styleId="71">
    <w:name w:val="font21"/>
    <w:qFormat/>
    <w:uiPriority w:val="99"/>
    <w:rPr>
      <w:rFonts w:ascii="宋体" w:eastAsia="宋体"/>
      <w:color w:val="000000"/>
    </w:rPr>
  </w:style>
  <w:style w:type="character" w:customStyle="1" w:styleId="72">
    <w:name w:val="font111"/>
    <w:qFormat/>
    <w:uiPriority w:val="99"/>
    <w:rPr>
      <w:rFonts w:ascii="??_GB2312" w:eastAsia="Times New Roman"/>
      <w:color w:val="000000"/>
      <w:sz w:val="22"/>
    </w:rPr>
  </w:style>
  <w:style w:type="character" w:customStyle="1" w:styleId="73">
    <w:name w:val="font41"/>
    <w:qFormat/>
    <w:uiPriority w:val="99"/>
    <w:rPr>
      <w:rFonts w:ascii="Calibri"/>
      <w:b/>
      <w:color w:val="000000"/>
      <w:sz w:val="21"/>
    </w:rPr>
  </w:style>
  <w:style w:type="character" w:customStyle="1" w:styleId="74">
    <w:name w:val="font91"/>
    <w:qFormat/>
    <w:uiPriority w:val="99"/>
    <w:rPr>
      <w:rFonts w:ascii="??_GB2312" w:eastAsia="Times New Roman"/>
      <w:b/>
      <w:color w:val="000000"/>
      <w:sz w:val="22"/>
    </w:rPr>
  </w:style>
  <w:style w:type="character" w:customStyle="1" w:styleId="75">
    <w:name w:val="font81"/>
    <w:qFormat/>
    <w:uiPriority w:val="99"/>
    <w:rPr>
      <w:rFonts w:ascii="??_GB2312" w:eastAsia="Times New Roman"/>
      <w:color w:val="000000"/>
      <w:sz w:val="22"/>
    </w:rPr>
  </w:style>
  <w:style w:type="character" w:customStyle="1" w:styleId="76">
    <w:name w:val="font71"/>
    <w:qFormat/>
    <w:uiPriority w:val="99"/>
    <w:rPr>
      <w:rFonts w:ascii="??_GB2312" w:eastAsia="Times New Roman"/>
      <w:color w:val="000000"/>
      <w:sz w:val="22"/>
    </w:rPr>
  </w:style>
  <w:style w:type="character" w:customStyle="1" w:styleId="77">
    <w:name w:val="font11"/>
    <w:qFormat/>
    <w:uiPriority w:val="99"/>
    <w:rPr>
      <w:rFonts w:ascii="Arial Narrow" w:hAnsi="Arial Narrow"/>
      <w:color w:val="000000"/>
      <w:sz w:val="18"/>
    </w:rPr>
  </w:style>
  <w:style w:type="paragraph" w:customStyle="1" w:styleId="78">
    <w:name w:val="xl27"/>
    <w:basedOn w:val="1"/>
    <w:qFormat/>
    <w:uiPriority w:val="99"/>
    <w:pPr>
      <w:widowControl/>
      <w:pBdr>
        <w:bottom w:val="single" w:color="auto" w:sz="4" w:space="0"/>
        <w:right w:val="single" w:color="auto" w:sz="4" w:space="0"/>
      </w:pBdr>
      <w:spacing w:before="100" w:beforeAutospacing="1" w:after="100" w:afterAutospacing="1" w:line="360" w:lineRule="auto"/>
      <w:ind w:firstLine="960" w:firstLineChars="200"/>
      <w:jc w:val="center"/>
    </w:pPr>
    <w:rPr>
      <w:rFonts w:ascii="??_GB2312" w:hAnsi="宋体" w:eastAsia="Times New Roman"/>
      <w:sz w:val="24"/>
      <w:szCs w:val="24"/>
    </w:rPr>
  </w:style>
  <w:style w:type="paragraph" w:customStyle="1" w:styleId="79">
    <w:name w:val="样式1"/>
    <w:basedOn w:val="1"/>
    <w:qFormat/>
    <w:uiPriority w:val="99"/>
    <w:pPr>
      <w:spacing w:line="360" w:lineRule="auto"/>
      <w:ind w:firstLine="960" w:firstLineChars="200"/>
      <w:jc w:val="left"/>
    </w:pPr>
    <w:rPr>
      <w:sz w:val="28"/>
      <w:szCs w:val="24"/>
    </w:rPr>
  </w:style>
  <w:style w:type="paragraph" w:customStyle="1" w:styleId="80">
    <w:name w:val="p0"/>
    <w:basedOn w:val="1"/>
    <w:qFormat/>
    <w:uiPriority w:val="99"/>
    <w:pPr>
      <w:widowControl/>
    </w:pPr>
    <w:rPr>
      <w:rFonts w:ascii="Calibri" w:hAnsi="Calibri"/>
      <w:szCs w:val="24"/>
    </w:rPr>
  </w:style>
  <w:style w:type="paragraph" w:customStyle="1" w:styleId="81">
    <w:name w:val="公正文"/>
    <w:basedOn w:val="8"/>
    <w:qFormat/>
    <w:uiPriority w:val="99"/>
    <w:pPr>
      <w:adjustRightInd w:val="0"/>
      <w:snapToGrid w:val="0"/>
      <w:spacing w:line="355" w:lineRule="auto"/>
      <w:ind w:firstLine="200"/>
    </w:pPr>
    <w:rPr>
      <w:rFonts w:ascii="宋体"/>
    </w:rPr>
  </w:style>
  <w:style w:type="paragraph" w:customStyle="1" w:styleId="82">
    <w:name w:val="列出段落1"/>
    <w:basedOn w:val="1"/>
    <w:qFormat/>
    <w:uiPriority w:val="99"/>
    <w:pPr>
      <w:ind w:firstLine="420" w:firstLineChars="200"/>
    </w:pPr>
    <w:rPr>
      <w:szCs w:val="24"/>
    </w:rPr>
  </w:style>
  <w:style w:type="character" w:customStyle="1" w:styleId="83">
    <w:name w:val="font112"/>
    <w:basedOn w:val="27"/>
    <w:qFormat/>
    <w:uiPriority w:val="99"/>
    <w:rPr>
      <w:rFonts w:ascii="仿宋" w:hAnsi="仿宋" w:eastAsia="仿宋"/>
      <w:color w:val="000000"/>
      <w:sz w:val="22"/>
      <w:u w:val="none"/>
    </w:rPr>
  </w:style>
  <w:style w:type="paragraph" w:customStyle="1" w:styleId="84">
    <w:name w:val="新编正文"/>
    <w:basedOn w:val="1"/>
    <w:qFormat/>
    <w:uiPriority w:val="99"/>
    <w:pPr>
      <w:spacing w:before="60" w:after="60" w:line="360" w:lineRule="auto"/>
      <w:ind w:firstLine="420"/>
    </w:pPr>
    <w:rPr>
      <w:rFonts w:eastAsia="方正仿宋_GBK" w:cs="宋体"/>
      <w:kern w:val="0"/>
      <w:sz w:val="24"/>
      <w:szCs w:val="20"/>
    </w:rPr>
  </w:style>
  <w:style w:type="paragraph" w:customStyle="1" w:styleId="85">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Char1 Char Char Char"/>
    <w:basedOn w:val="1"/>
    <w:qFormat/>
    <w:uiPriority w:val="99"/>
    <w:pPr>
      <w:widowControl/>
      <w:spacing w:after="160" w:line="240" w:lineRule="exact"/>
      <w:jc w:val="left"/>
    </w:pPr>
    <w:rPr>
      <w:szCs w:val="20"/>
    </w:rPr>
  </w:style>
  <w:style w:type="paragraph" w:customStyle="1" w:styleId="87">
    <w:name w:val="Char"/>
    <w:basedOn w:val="1"/>
    <w:qFormat/>
    <w:uiPriority w:val="99"/>
    <w:rPr>
      <w:szCs w:val="24"/>
    </w:rPr>
  </w:style>
  <w:style w:type="paragraph" w:customStyle="1" w:styleId="88">
    <w:name w:val="默认段落字体 Para Char Char Char Char Char Char Char Char Char Char"/>
    <w:basedOn w:val="1"/>
    <w:qFormat/>
    <w:uiPriority w:val="99"/>
    <w:rPr>
      <w:szCs w:val="24"/>
    </w:rPr>
  </w:style>
  <w:style w:type="character" w:customStyle="1" w:styleId="89">
    <w:name w:val="font121"/>
    <w:qFormat/>
    <w:uiPriority w:val="99"/>
    <w:rPr>
      <w:rFonts w:ascii="??_GB2312??alt" w:hAnsi="??_GB2312??alt"/>
      <w:color w:val="000000"/>
      <w:sz w:val="21"/>
      <w:u w:val="none"/>
    </w:rPr>
  </w:style>
  <w:style w:type="character" w:customStyle="1" w:styleId="90">
    <w:name w:val="NormalCharacter"/>
    <w:link w:val="1"/>
    <w:semiHidden/>
    <w:qFormat/>
    <w:uiPriority w:val="99"/>
    <w:rPr>
      <w:rFonts w:ascii="Times New Roman" w:hAnsi="Times New Roman" w:eastAsia="宋体" w:cs="Times New Roman"/>
      <w:kern w:val="2"/>
      <w:sz w:val="21"/>
      <w:szCs w:val="21"/>
      <w:lang w:val="en-US" w:eastAsia="zh-CN" w:bidi="ar-SA"/>
    </w:rPr>
  </w:style>
  <w:style w:type="paragraph" w:styleId="91">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92">
    <w:name w:val="**正文"/>
    <w:basedOn w:val="1"/>
    <w:qFormat/>
    <w:uiPriority w:val="0"/>
    <w:pPr>
      <w:widowControl/>
      <w:ind w:firstLine="560"/>
    </w:pPr>
    <w:rPr>
      <w:rFonts w:ascii="宋体" w:hAnsi="宋体" w:eastAsia="华文仿宋" w:cs="宋体"/>
      <w:kern w:val="0"/>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个人</Company>
  <Pages>16</Pages>
  <Words>6205</Words>
  <Characters>6444</Characters>
  <Lines>0</Lines>
  <Paragraphs>0</Paragraphs>
  <TotalTime>0</TotalTime>
  <ScaleCrop>false</ScaleCrop>
  <LinksUpToDate>false</LinksUpToDate>
  <CharactersWithSpaces>6566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2021-10-14T17:23:00Z</dcterms:created>
  <dc:creator>Administrator</dc:creator>
  <cp:lastModifiedBy>县农委机要秘书</cp:lastModifiedBy>
  <cp:lastPrinted>2025-01-03T01:09:00Z</cp:lastPrinted>
  <dcterms:modified xsi:type="dcterms:W3CDTF">2025-01-02T17:25:19Z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F9C76DD8CCBC46B08A9C689FC7D35EC8_13</vt:lpwstr>
  </property>
  <property fmtid="{D5CDD505-2E9C-101B-9397-08002B2CF9AE}" pid="4" name="KSOSaveFontToCloudKey">
    <vt:lpwstr>449650301_btnclosed</vt:lpwstr>
  </property>
  <property fmtid="{D5CDD505-2E9C-101B-9397-08002B2CF9AE}" pid="5" name="KSOTemplateDocerSaveRecord">
    <vt:lpwstr>eyJoZGlkIjoiMzIzOThkZTQzODU2NzA4NDg3MTQ2ZDEzNzVhMzZjOGYiLCJ1c2VySWQiOiI5MTAyMzk0ODEifQ==</vt:lpwstr>
  </property>
</Properties>
</file>