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  <w:highlight w:val="none"/>
        </w:rPr>
      </w:pPr>
      <w:r>
        <w:rPr>
          <w:rFonts w:eastAsia="方正仿宋_GBK"/>
          <w:color w:val="000000"/>
          <w:szCs w:val="24"/>
          <w:highlight w:val="none"/>
        </w:rPr>
        <w:t xml:space="preserve">    </w:t>
      </w:r>
    </w:p>
    <w:p>
      <w:pPr>
        <w:spacing w:line="500" w:lineRule="exact"/>
        <w:rPr>
          <w:rFonts w:eastAsia="Times New Roman"/>
          <w:highlight w:val="none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eastAsia="方正楷体_GBK"/>
          <w:highlight w:val="none"/>
        </w:rPr>
      </w:pPr>
    </w:p>
    <w:p>
      <w:pPr>
        <w:spacing w:line="500" w:lineRule="exact"/>
        <w:jc w:val="center"/>
        <w:rPr>
          <w:rFonts w:eastAsia="方正楷体_GBK"/>
          <w:highlight w:val="none"/>
        </w:rPr>
      </w:pPr>
    </w:p>
    <w:p>
      <w:pPr>
        <w:spacing w:line="500" w:lineRule="exact"/>
        <w:rPr>
          <w:rFonts w:eastAsia="方正仿宋_GBK"/>
          <w:highlight w:val="none"/>
        </w:rPr>
      </w:pPr>
      <w:r>
        <w:rPr>
          <w:rFonts w:eastAsia="方正仿宋_GBK"/>
          <w:highlight w:val="none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丰农业农村委发〔</w:t>
      </w:r>
      <w:r>
        <w:rPr>
          <w:rFonts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〕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249</w:t>
      </w:r>
      <w:r>
        <w:rPr>
          <w:rFonts w:hint="eastAsia" w:eastAsia="方正仿宋_GBK"/>
          <w:sz w:val="32"/>
          <w:szCs w:val="32"/>
          <w:highlight w:val="none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jc w:val="center"/>
        <w:rPr>
          <w:rFonts w:eastAsia="黑体"/>
          <w:b/>
          <w:sz w:val="44"/>
          <w:szCs w:val="44"/>
          <w:highlight w:val="none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  <w:highlight w:val="none"/>
        </w:rPr>
      </w:pPr>
      <w:r>
        <w:rPr>
          <w:rFonts w:hint="eastAsia" w:ascii="方正小标宋_GBK" w:eastAsia="方正小标宋_GBK"/>
          <w:sz w:val="44"/>
          <w:szCs w:val="24"/>
          <w:highlight w:val="none"/>
        </w:rPr>
        <w:t>丰都县农业农村委员会</w:t>
      </w:r>
    </w:p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24"/>
          <w:highlight w:val="none"/>
        </w:rPr>
      </w:pPr>
      <w:r>
        <w:rPr>
          <w:rFonts w:hint="eastAsia" w:ascii="方正小标宋_GBK" w:eastAsia="方正小标宋_GBK"/>
          <w:sz w:val="44"/>
          <w:szCs w:val="24"/>
          <w:highlight w:val="none"/>
        </w:rPr>
        <w:t>关于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调整</w:t>
      </w:r>
      <w:r>
        <w:rPr>
          <w:rFonts w:hint="eastAsia" w:ascii="方正小标宋_GBK" w:eastAsia="方正小标宋_GBK"/>
          <w:sz w:val="44"/>
          <w:szCs w:val="44"/>
        </w:rPr>
        <w:t>丰都</w:t>
      </w:r>
      <w:r>
        <w:rPr>
          <w:rFonts w:ascii="方正小标宋_GBK" w:eastAsia="方正小标宋_GBK"/>
          <w:kern w:val="0"/>
          <w:sz w:val="44"/>
          <w:szCs w:val="44"/>
        </w:rPr>
        <w:t>202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kern w:val="0"/>
          <w:sz w:val="44"/>
          <w:szCs w:val="44"/>
        </w:rPr>
        <w:t>年</w:t>
      </w: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榨菜田间技术服务点</w:t>
      </w:r>
      <w:r>
        <w:rPr>
          <w:rFonts w:hint="eastAsia" w:ascii="方正小标宋_GBK" w:eastAsia="方正小标宋_GBK"/>
          <w:kern w:val="0"/>
          <w:sz w:val="44"/>
          <w:szCs w:val="44"/>
        </w:rPr>
        <w:t>建设项目实施方案</w:t>
      </w:r>
      <w:r>
        <w:rPr>
          <w:rFonts w:hint="eastAsia" w:ascii="方正小标宋_GBK" w:eastAsia="方正小标宋_GBK"/>
          <w:sz w:val="44"/>
          <w:szCs w:val="24"/>
          <w:highlight w:val="none"/>
        </w:rPr>
        <w:t>的批复</w:t>
      </w:r>
    </w:p>
    <w:p>
      <w:pPr>
        <w:jc w:val="left"/>
        <w:rPr>
          <w:rFonts w:eastAsia="黑体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highlight w:val="none"/>
          <w:lang w:val="en-US" w:eastAsia="zh-CN"/>
        </w:rPr>
        <w:t>县农技服务中心</w:t>
      </w:r>
      <w:r>
        <w:rPr>
          <w:rFonts w:hint="eastAsia" w:eastAsia="方正仿宋_GBK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600" w:lineRule="exact"/>
        <w:ind w:left="0" w:leftChars="0" w:firstLine="700" w:firstLineChars="0"/>
        <w:jc w:val="both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你中心报送</w:t>
      </w:r>
      <w:r>
        <w:rPr>
          <w:rFonts w:hint="eastAsia" w:eastAsia="方正仿宋_GBK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调整丰都县2023榨菜田间技术服务点建设项目实施方案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的报告》（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丰农技文〔</w:t>
      </w:r>
      <w:r>
        <w:rPr>
          <w:rFonts w:ascii="Times New Roman" w:hAnsi="Times New Roman" w:eastAsia="方正仿宋_GBK" w:cs="Times New Roman"/>
          <w:sz w:val="32"/>
          <w:highlight w:val="none"/>
        </w:rPr>
        <w:t>202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〕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号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）</w:t>
      </w:r>
      <w:r>
        <w:rPr>
          <w:rFonts w:hint="eastAsia" w:eastAsia="方正仿宋_GBK"/>
          <w:sz w:val="32"/>
          <w:szCs w:val="32"/>
          <w:highlight w:val="none"/>
        </w:rPr>
        <w:t>收悉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/>
          <w:sz w:val="32"/>
          <w:szCs w:val="32"/>
          <w:highlight w:val="none"/>
        </w:rPr>
        <w:t>经研究，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现就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丰都县2023榨菜田间技术服务点建设项目实施方案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批复如下</w:t>
      </w:r>
      <w:r>
        <w:rPr>
          <w:rFonts w:hint="eastAsia" w:eastAsia="方正仿宋_GBK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highlight w:val="none"/>
        </w:rPr>
        <w:t>一、项目名称：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丰都县2023榨菜田间技术服务点建设项目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eastAsia="方正黑体_GBK"/>
          <w:sz w:val="32"/>
          <w:szCs w:val="32"/>
          <w:highlight w:val="none"/>
          <w:lang w:val="en-US" w:eastAsia="zh-CN"/>
        </w:rPr>
      </w:pPr>
      <w:r>
        <w:rPr>
          <w:rFonts w:hint="eastAsia" w:eastAsia="方正黑体_GBK"/>
          <w:sz w:val="32"/>
          <w:szCs w:val="32"/>
          <w:highlight w:val="none"/>
        </w:rPr>
        <w:t>二、项目法人：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丰都县农业技术服务中心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黑体_GBK"/>
          <w:sz w:val="32"/>
          <w:szCs w:val="32"/>
          <w:highlight w:val="none"/>
        </w:rPr>
        <w:t>三、建设地点：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涉及全县榨菜重点镇、乡（街道）。包括树人镇、十直镇、名山街道、虎威镇、社坛镇、仁沙镇、兴龙镇、三元镇、双龙镇、保合镇、许明寺镇、江池镇、包鸾镇、龙河镇、高家镇、龙孔镇、兴义镇。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黑体_GBK"/>
          <w:sz w:val="32"/>
          <w:szCs w:val="32"/>
          <w:highlight w:val="none"/>
        </w:rPr>
        <w:t>四、建设性质：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续</w:t>
      </w:r>
      <w:r>
        <w:rPr>
          <w:rFonts w:hint="eastAsia" w:eastAsia="方正仿宋_GBK"/>
          <w:sz w:val="32"/>
          <w:szCs w:val="32"/>
          <w:highlight w:val="none"/>
        </w:rPr>
        <w:t>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黑体_GBK"/>
          <w:sz w:val="32"/>
          <w:szCs w:val="32"/>
          <w:highlight w:val="none"/>
        </w:rPr>
      </w:pPr>
      <w:r>
        <w:rPr>
          <w:rFonts w:hint="eastAsia" w:eastAsia="方正黑体_GBK"/>
          <w:sz w:val="32"/>
          <w:szCs w:val="32"/>
          <w:highlight w:val="none"/>
        </w:rPr>
        <w:t>五、建设内容：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开展绿色榨菜原料（青菜头）规范化、标准化生产栽培技术，榨菜加工原料轻简高效栽培技术；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青菜头主要病虫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绿色防控技术示范与推广；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开展技术指导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引进榨菜新品种4个试验示范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100亩；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引进高山早熟和越冬品种在仙女湖镇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、武平镇和太平坝乡等乡镇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试验；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在十直镇、社坛镇、兴龙镇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、双龙镇创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建榨菜高产示范片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个，共计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在仁沙镇永坪寨村开展榨菜机械直播示范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亩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.在十直镇新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建出口榨菜基地500亩。</w:t>
      </w:r>
    </w:p>
    <w:p>
      <w:pPr>
        <w:spacing w:line="6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黑体_GBK"/>
          <w:sz w:val="32"/>
          <w:szCs w:val="32"/>
          <w:highlight w:val="none"/>
        </w:rPr>
        <w:t>六、概算总投资及来源：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项目总投资50万元，主要用于引进榨菜新品种试验示范；推广榨菜标准化栽培技术示范；对榨菜重点乡镇进行技术培训、指导、以及技术支撑。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/>
          <w:b w:val="0"/>
          <w:bCs/>
          <w:sz w:val="32"/>
          <w:szCs w:val="32"/>
          <w:highlight w:val="none"/>
        </w:rPr>
        <w:t>七、建设工期：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项目实施年限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年。自2023年7月起至202</w:t>
      </w:r>
      <w:r>
        <w:rPr>
          <w:rFonts w:hint="eastAsia" w:cs="Times New Roman"/>
          <w:b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b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eastAsia="方正仿宋_GBK"/>
          <w:spacing w:val="-8"/>
          <w:sz w:val="32"/>
          <w:szCs w:val="32"/>
          <w:highlight w:val="none"/>
        </w:rPr>
      </w:pP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接此批复后，请你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  <w:lang w:val="en-US" w:eastAsia="zh-CN"/>
        </w:rPr>
        <w:t>中心结合项目建设实际，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严格按项目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  <w:lang w:val="en-US" w:eastAsia="zh-CN"/>
        </w:rPr>
        <w:t>程序组织实施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，加强项目管理，确保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eastAsia="方正仿宋_GBK"/>
          <w:w w:val="95"/>
          <w:kern w:val="0"/>
          <w:sz w:val="32"/>
          <w:szCs w:val="32"/>
          <w:highlight w:val="none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hint="eastAsia" w:eastAsia="方正仿宋_GBK"/>
          <w:spacing w:val="-8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700" w:firstLineChars="0"/>
        <w:textAlignment w:val="auto"/>
        <w:rPr>
          <w:rFonts w:hint="default" w:ascii="Times New Roman" w:hAnsi="Times New Roman" w:eastAsia="方正仿宋_GBK" w:cs="Times New Roman"/>
          <w:b w:val="0"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w w:val="95"/>
          <w:kern w:val="0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default" w:ascii="Times New Roman" w:hAnsi="Times New Roman" w:eastAsia="方正仿宋_GBK" w:cs="Times New Roman"/>
          <w:b w:val="0"/>
          <w:w w:val="95"/>
          <w:kern w:val="0"/>
          <w:sz w:val="32"/>
          <w:szCs w:val="32"/>
          <w:highlight w:val="none"/>
          <w:lang w:val="en-US" w:eastAsia="zh-CN" w:bidi="ar-SA"/>
        </w:rPr>
        <w:t>丰都2023年榨菜田间技术服务点建设项目实施方案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hint="eastAsia" w:ascii="Times New Roman" w:hAnsi="Times New Roman" w:eastAsia="方正仿宋_GBK" w:cs="Times New Roman"/>
          <w:b w:val="0"/>
          <w:w w:val="95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854" w:leftChars="304" w:hanging="1216" w:hangingChars="400"/>
        <w:textAlignment w:val="auto"/>
        <w:rPr>
          <w:rFonts w:hint="eastAsia" w:eastAsia="方正仿宋_GBK"/>
          <w:spacing w:val="-8"/>
          <w:sz w:val="32"/>
          <w:szCs w:val="32"/>
          <w:highlight w:val="none"/>
          <w:lang w:val="en-US" w:eastAsia="zh-CN"/>
        </w:rPr>
      </w:pPr>
    </w:p>
    <w:p>
      <w:pPr>
        <w:pStyle w:val="12"/>
        <w:rPr>
          <w:highlight w:val="none"/>
        </w:rPr>
      </w:pPr>
    </w:p>
    <w:p>
      <w:pPr>
        <w:tabs>
          <w:tab w:val="left" w:pos="5618"/>
        </w:tabs>
        <w:spacing w:line="600" w:lineRule="exact"/>
        <w:ind w:left="0" w:leftChars="0" w:right="0" w:rightChars="0" w:firstLine="0" w:firstLineChars="0"/>
        <w:jc w:val="center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eastAsia="方正仿宋_GBK"/>
          <w:sz w:val="32"/>
          <w:szCs w:val="32"/>
          <w:highlight w:val="none"/>
        </w:rPr>
        <w:t>丰都县农业农村委员会</w:t>
      </w:r>
    </w:p>
    <w:p>
      <w:pPr>
        <w:tabs>
          <w:tab w:val="left" w:pos="4855"/>
        </w:tabs>
        <w:spacing w:line="600" w:lineRule="exact"/>
        <w:rPr>
          <w:rFonts w:hint="eastAsia"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ab/>
      </w:r>
      <w:r>
        <w:rPr>
          <w:rFonts w:eastAsia="方正仿宋_GBK"/>
          <w:sz w:val="32"/>
          <w:szCs w:val="32"/>
          <w:highlight w:val="none"/>
        </w:rPr>
        <w:t xml:space="preserve"> 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年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14</w:t>
      </w:r>
      <w:r>
        <w:rPr>
          <w:rFonts w:hint="eastAsia" w:eastAsia="方正仿宋_GBK"/>
          <w:sz w:val="32"/>
          <w:szCs w:val="32"/>
          <w:highlight w:val="none"/>
        </w:rPr>
        <w:t>日</w:t>
      </w:r>
    </w:p>
    <w:p>
      <w:pPr>
        <w:tabs>
          <w:tab w:val="left" w:pos="4855"/>
        </w:tabs>
        <w:spacing w:line="600" w:lineRule="exact"/>
        <w:rPr>
          <w:rFonts w:hint="eastAsia" w:eastAsia="方正仿宋_GBK"/>
          <w:sz w:val="32"/>
          <w:szCs w:val="32"/>
          <w:highlight w:val="none"/>
        </w:rPr>
      </w:pPr>
    </w:p>
    <w:p>
      <w:pPr>
        <w:tabs>
          <w:tab w:val="left" w:pos="3921"/>
        </w:tabs>
        <w:jc w:val="left"/>
        <w:rPr>
          <w:highlight w:val="none"/>
        </w:rPr>
      </w:pPr>
    </w:p>
    <w:p>
      <w:pPr>
        <w:pStyle w:val="10"/>
        <w:rPr>
          <w:highlight w:val="none"/>
        </w:rPr>
      </w:pPr>
    </w:p>
    <w:p>
      <w:pPr>
        <w:pStyle w:val="12"/>
        <w:ind w:left="0" w:leftChars="0" w:firstLine="0" w:firstLineChars="0"/>
        <w:jc w:val="left"/>
        <w:rPr>
          <w:rFonts w:hint="eastAsia" w:eastAsia="方正仿宋_GBK"/>
          <w:highlight w:val="none"/>
          <w:lang w:val="en" w:eastAsia="zh-CN"/>
        </w:rPr>
      </w:pPr>
      <w:r>
        <w:rPr>
          <w:rFonts w:hint="default"/>
          <w:highlight w:val="none"/>
          <w:lang w:val="en"/>
        </w:rPr>
        <w:t>(</w:t>
      </w:r>
      <w:r>
        <w:rPr>
          <w:rFonts w:hint="eastAsia"/>
          <w:highlight w:val="none"/>
          <w:lang w:val="en" w:eastAsia="zh-CN"/>
        </w:rPr>
        <w:t>此件公开发布）</w:t>
      </w:r>
    </w:p>
    <w:p>
      <w:pPr>
        <w:rPr>
          <w:highlight w:val="none"/>
        </w:rPr>
      </w:pPr>
    </w:p>
    <w:p>
      <w:pPr>
        <w:pStyle w:val="10"/>
        <w:rPr>
          <w:highlight w:val="none"/>
        </w:rPr>
      </w:pPr>
    </w:p>
    <w:p>
      <w:pPr>
        <w:pStyle w:val="12"/>
        <w:rPr>
          <w:highlight w:val="none"/>
        </w:rPr>
      </w:pPr>
    </w:p>
    <w:p>
      <w:pPr>
        <w:rPr>
          <w:highlight w:val="none"/>
        </w:rPr>
      </w:pPr>
    </w:p>
    <w:p>
      <w:pPr>
        <w:pStyle w:val="10"/>
        <w:rPr>
          <w:highlight w:val="none"/>
        </w:rPr>
      </w:pPr>
    </w:p>
    <w:p>
      <w:pPr>
        <w:pStyle w:val="12"/>
        <w:rPr>
          <w:highlight w:val="none"/>
        </w:rPr>
      </w:pPr>
    </w:p>
    <w:p>
      <w:pPr>
        <w:rPr>
          <w:highlight w:val="none"/>
        </w:rPr>
      </w:pPr>
    </w:p>
    <w:p>
      <w:pPr>
        <w:pStyle w:val="10"/>
        <w:rPr>
          <w:highlight w:val="none"/>
        </w:rPr>
      </w:pPr>
    </w:p>
    <w:p>
      <w:pPr>
        <w:pStyle w:val="1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4480" w:hanging="4480" w:hangingChars="14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长江上游榨菜优势特色产业集群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---丰都县2023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田间技术服务点建设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实施方案</w:t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田间技术服务点建设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实施单位：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联 系 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李洪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13658438753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丰都县三合街道名山大道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主管部门：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联 系 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廖红霞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18696950707</w:t>
      </w:r>
    </w:p>
    <w:p>
      <w:pPr>
        <w:adjustRightInd w:val="0"/>
        <w:snapToGrid w:val="0"/>
        <w:spacing w:line="360" w:lineRule="auto"/>
        <w:ind w:left="0" w:leftChars="0" w:firstLine="697" w:firstLineChars="218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 w:val="0"/>
        <w:snapToGrid w:val="0"/>
        <w:spacing w:line="360" w:lineRule="auto"/>
        <w:ind w:left="0" w:leftChars="0" w:firstLine="697" w:firstLineChars="21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填制日期：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0" w:firstLineChars="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一、项目所涉产业发展现状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丰都榨菜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历经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余年发展，始终以其“嫩、脆、鲜、香”的品质风味独占鳌头，与德国甜酸甘蓝、欧洲酸黄瓜并称世界三大名腌菜，畅销海内外。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榨菜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已发展成为丰都农业农村经济的特色优势产业之一，是农民增收致富的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近年来，丰都县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抓基地扩规模、拓市场促鲜销、育龙头做品牌、强监管提质量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的工作思路，实现了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榨菜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产业良性快速发展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一是原料基地规模发展。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全县榨菜种植面积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万亩、产量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万吨，面积在1万亩以上的乡镇有7个，榨菜种植覆盖全县25个乡镇（街道）、10余万农户、35余万人。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丰都榨菜纳入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涪陵青菜头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农产品地理标志地域。</w:t>
      </w: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</w:rPr>
        <w:t>二是产品加工质量稳定。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全县现有榨菜精深加工企业5家，成品榨菜生产能力5万吨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有半成品原料加工大户40余户年半成品加工能力12万吨，榨菜生产常年从业人员在6000人以上，产品加工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基本实现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了修剪砍筋、机械化淘洗、自动脱盐以及热杀菌防腐保鲜，产品卫生、质量安全水平大大提高，监测结果表明，全县各类榨菜产品总体合格率稳定保持在95%以上。</w:t>
      </w: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</w:rPr>
        <w:t>三是销售市场巩固拓展。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前我县榨菜产品形成了以坛装榨菜为主的全形榨菜，以小包装精制榨菜为主的方便榨菜和听、瓶、盒装高档榨菜及出口榨菜几大系列20余个产品品种，产品主要销往全国各地及出口东南亚、欧美等十多个国家和地区。</w:t>
      </w: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</w:rPr>
        <w:t>四是产业体系基本成熟。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鱼泉榨菜集团、丰都三和实业有限公司、川王子食品公司、邱家榨菜食品有限公司等多家龙头企业带动我县榨菜产业产业发展，培育的品牌有乡菇、川王子、乔什榨菜等。榨菜生产采取农户分散种植，榨菜企业集中收购加工，产供运销一体，“公司十合作社+农户”的产业链基本形成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按照长江上游榨菜优势特色产业集群项目要求，结合我县实际，制定该方案。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sz w:val="32"/>
          <w:szCs w:val="32"/>
        </w:rPr>
        <w:t>二、项目任务计划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</w:rPr>
        <w:t>（一）项目任务来由</w:t>
      </w:r>
    </w:p>
    <w:p>
      <w:pPr>
        <w:pStyle w:val="9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榨菜是重庆十大山地高效特色产业之一。2018年5月，中共中央政治局委员重庆市委书记陈敏尔同志视察涪陵榨菜集团时，指出要用大数据智能化推动榨菜产业升级，做响涪陵榨菜品牌，把榨菜打造成为重庆农业的一面旗帜。目前，榨菜产业已发展成为重庆市农村经济中产销规模最大、品牌知名度最高、辐射带动能力最强的优势特色产业，在全国乃至全球具有较强的竞争优势。</w:t>
      </w:r>
    </w:p>
    <w:p>
      <w:pPr>
        <w:pStyle w:val="9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农业农村部办公厅、财政部办公厅关于开展优势特色产业集群建设的通知》（农办计财〔2020〕7号）、《农业农村部办公厅、财政部办公厅关于统筹做好2021年农业产业融合发展项目申报工作的通知》（农办计财〔2021〕9号）和重庆市委市政府《关于全面推进乡村振兴加快农业农村现代化的实施意见》的要求，重庆认真开展了“优势特色产业集群”创建工作综合评估，以涪陵、丰都、长寿、垫江4个区县为载体，开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长江上游榨菜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优势特色产业集群建设。在榨菜自主选育成功、青菜头鲜销市场开辟两次生机基础上，围绕榨菜集群整体“提质增效·降本增绿”的思路，通过高起点、高标准建设，赋予榨菜产业升级第三次生机，打造全产业链开发、全价值链提升的长江上游榨菜优势特色产业集群，为全面乡村振兴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</w:rPr>
        <w:t>建设地点及规模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重点在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树人镇、十直镇、名山街道、虎威镇、社坛镇、仁沙镇、兴龙镇、三元镇、双龙镇、保合镇、许明寺镇、江池镇、包鸾镇、龙河镇、高家镇、龙孔镇、兴义镇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等乡镇实施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（三）建设内容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开展绿色榨菜原料（青菜头）规范化、标准化生产栽培技术，榨菜加工原料轻简高效栽培技术；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青菜头主要病虫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绿色防控技术示范与推广；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开展技术指导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引进榨菜新品种4个试验示范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100亩；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引进高山早熟和越冬品种在仙女湖镇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、武平镇和太平坝乡等乡镇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试验；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在十直镇、社坛镇、兴龙镇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、双龙镇创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建榨菜高产示范片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个，共计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在仁沙镇永坪寨村开展榨菜机械直播示范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亩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.在十直镇新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建出口榨菜基地500亩。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（四）建设进度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项目实施年限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年。自2023年7月起至202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1.2023年7-8月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宣传发动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2.2023年9月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，开展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榨菜播种技术培训及指导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70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3.2023年10-12月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榨菜移栽技术、田间管理技术培训及指导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70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4.2024年1-2月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专家田间测产、验收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70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3-6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了解榨菜收购情况并收集整理资料，分析形成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项目相关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材料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0" w:firstLineChars="0"/>
        <w:textAlignment w:val="auto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6.2024年7-8月，调研榨菜产业发展需求；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0" w:firstLineChars="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7.2024年9月，示范片布局、榨菜播种技术指导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70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8.20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年10-12月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榨菜移栽技术、田间管理技术培训及指导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70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年1-2月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专家田间测产、验收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10.2025年3-4月，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做好项目资料的收集、整理和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70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(五）项目推进及管理措施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（进度、质量、资金、档案等方面）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1.完善项目推进机制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组建项目实施团队，深入现场调研，实地指导、宣传，培训，以利于全县榨菜产业的发展。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2.强化监督与服务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由项目团队对各乡镇（街道）开展指导、跟踪、服务，并深入基地强化实地指导和现场服务。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3.严格资金管理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按照项目资金管理办法，实行专帐管理，严禁挪用项目资金，做到专款专用。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both"/>
        <w:textAlignment w:val="auto"/>
        <w:rPr>
          <w:rFonts w:hint="default" w:ascii="Times New Roman" w:hAnsi="Times New Roman" w:cs="Times New Roman"/>
          <w:color w:val="auto"/>
          <w:szCs w:val="24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规范档案管理。对项目建设过程中的资料落实专人负责收集，项目完成后对资料进行规范存档，确保资料的规范与完整。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（六）项目绩效目标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通过项目实施，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榨菜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优质绿色高效技术转化明显，贯彻新理念，宣传新知识、推广新技术常态有效，优质高效、节本增效、生态环保、绿色安全等技术模式广泛用于农业生产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。新品种、新技术的推广，主推技术到位率达到95%以上，相比农户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常规种植技术增产5%以上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让菜农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实现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增产增收。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  <w:t>三、资金投入概算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（一）项目总投资及资金来源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项目总投资50万元，主要用于引进榨菜新品种试验示范；推广榨菜标准化栽培技术示范；对榨菜重点乡镇进行技术培训、指导、以及技术支撑。各项费用预计如下：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引进榨菜新品种试验示范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费用12.0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，用于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土地租金、种子、肥料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、劳务等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榨菜标准化栽培技术高产示范片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费用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.0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，用于采购肥料、农药等农资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出口榨菜种植基地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费用8.0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，用于采购有机肥、复合肥等农资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机械直播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费用5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.0万元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，用于物资采购和劳务费等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专家咨询费及讲课费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技术支撑费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万元，用于交通、培训、指导、测产验收、外出交流学习、调研等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（二）资金具体用途和投资标准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丰都县2023年田间技术服务点建设项目投资估算表</w:t>
      </w:r>
    </w:p>
    <w:tbl>
      <w:tblPr>
        <w:tblStyle w:val="24"/>
        <w:tblW w:w="9056" w:type="dxa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2"/>
        <w:gridCol w:w="957"/>
        <w:gridCol w:w="684"/>
        <w:gridCol w:w="851"/>
        <w:gridCol w:w="1048"/>
        <w:gridCol w:w="1140"/>
        <w:gridCol w:w="978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建设内容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工程量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单价（元）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自筹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新品种引进及试验示范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1200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12.0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12.0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榨菜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高产示范片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创建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2000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18.0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18.0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出口榨菜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基地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500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8.0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8.0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机械直播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300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166.7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.0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专家咨询费及讲课费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.0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技术支撑费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5.0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5.0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  <w:lang w:val="en-US" w:eastAsia="zh-CN" w:bidi="ar-SA"/>
              </w:rPr>
              <w:t>交通、培训、指导、测产验收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50.00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50.00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（三）申请项目资金及资金使用环节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在长江上游榨菜产业集群项目专项资金中解决。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zh-CN" w:eastAsia="zh-CN"/>
        </w:rPr>
        <w:t>、组织保障措施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zh-CN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zh-CN" w:eastAsia="zh-CN"/>
        </w:rPr>
        <w:t>(一)强化领导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成立“榨菜田间技术服务点建设目”工作领导小组，由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李洪、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张小琼、付丽娜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、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付琼玲、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代小燕、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王波、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刘国瑞、黄正芬、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杨红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、许秀蓉、李洪彬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等人组成，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李洪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任组长，其余为成员，负责项目建设的管理、领导、协调等。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zh-CN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zh-CN" w:eastAsia="zh-CN"/>
        </w:rPr>
        <w:t>（二）明确责任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县农业农村委员会为项目主管部门，负责项目的监管、指导和管理；丰都县农业技术服务中心为项目实施单位，承担项目建设规划、项目编制、项目实施等工作（详见项目主要人员与任务分工表）。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zh-CN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zh-CN" w:eastAsia="zh-CN"/>
        </w:rPr>
        <w:t>(三)加强项目资金管理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丰都县农业农村委员会将加强项目资金监督管理，严格按照《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长江上游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榨菜产业集群项目专项资金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使用实施方案》中的资金使用要求执行。项目实施单位建立项目资金收支核算明细账，对项目资金实行单独核算管理，确保项目建设顺利实施。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五、实施单位情况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（一）单位性质、职能（业务）范围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丰都县农业技术服务中心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为县农业农村委员会所属副科级财政全额拨款公益一类事业单位。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主要职责任务：负责拟订并组织实施农业技术推广计划、技术措施；负责种植业技术引进、试验、示范、推广、技术培训；制定、组织实施农作物栽培耕作制度改革措施；组织农业机械抗旱救灾；负责农机社会化服务体系建设；承担全县农业机械化技术推广及职业技能培训、农机职业技能鉴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（二）有无不良记录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丰都县农业技术服务中心自成立以来无失信记录。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zh-CN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zh-CN" w:eastAsia="zh-CN"/>
        </w:rPr>
        <w:t>申报实施该项目现有条件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丰都县农业技术服务中心由多年从事农业技术推广技术工作的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zh-CN" w:eastAsia="zh-CN" w:bidi="ar-SA"/>
        </w:rPr>
        <w:t>名技术人员组成,长期从事全县农业技术推广和全县农作物新技术、新品种、新成果的引进、试验示范推广工作，在生产实践中积累了丰富的经验。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zh-CN" w:eastAsia="zh-CN" w:bidi="ar-SA"/>
        </w:rPr>
        <w:t>相关单位情况及参与事项。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CN" w:eastAsia="zh-CN" w:bidi="ar-SA"/>
        </w:rPr>
        <w:t>丰都县农业农村委员会，负责项目实施的监督、指导和管理；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各镇、乡（街道）农业服务中心配合实施。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after="12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after="12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after="12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after="12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after="12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after="12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after="12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项目主要人员与任务分工</w:t>
      </w:r>
    </w:p>
    <w:tbl>
      <w:tblPr>
        <w:tblStyle w:val="24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31"/>
        <w:gridCol w:w="712"/>
        <w:gridCol w:w="1655"/>
        <w:gridCol w:w="1324"/>
        <w:gridCol w:w="230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项目任务分工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付丽娜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方案制定、项目实施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李洪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项目协调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付琼玲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高级农艺师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项目实施、技术培训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张小琼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副主任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/农艺师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波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代小燕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高级农艺师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刘国瑞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黄正芬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许秀蓉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丰都县十直镇农业服务中心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  <w:t>杨   红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  <w:t>丰都县农业技术服务中心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  <w:t>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  <w:t>参与项目实施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李洪彬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57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丰都县社坛镇农业服务中心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高级农艺师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参与项目实施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参与</w:t>
            </w:r>
          </w:p>
        </w:tc>
      </w:tr>
    </w:tbl>
    <w:p>
      <w:pPr>
        <w:rPr>
          <w:szCs w:val="24"/>
        </w:rPr>
      </w:pPr>
    </w:p>
    <w:p>
      <w:pPr>
        <w:widowControl w:val="0"/>
        <w:autoSpaceDE w:val="0"/>
        <w:autoSpaceDN w:val="0"/>
        <w:adjustRightInd w:val="0"/>
        <w:rPr>
          <w:rFonts w:ascii="楷体à.ā" w:hAnsi="Times New Roman" w:eastAsia="楷体à.ā" w:cs="Times New Roman"/>
          <w:color w:val="000000"/>
          <w:sz w:val="24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ascii="楷体à.ā" w:hAnsi="Times New Roman" w:eastAsia="楷体à.ā" w:cs="Times New Roman"/>
          <w:color w:val="000000"/>
          <w:sz w:val="24"/>
          <w:szCs w:val="22"/>
          <w:lang w:val="en-US" w:eastAsia="zh-CN" w:bidi="ar-SA"/>
        </w:rPr>
      </w:pPr>
      <w:bookmarkStart w:id="0" w:name="_GoBack"/>
      <w:bookmarkEnd w:id="0"/>
    </w:p>
    <w:tbl>
      <w:tblPr>
        <w:tblStyle w:val="24"/>
        <w:tblpPr w:leftFromText="180" w:rightFromText="180" w:vertAnchor="text" w:horzAnchor="page" w:tblpX="1688" w:tblpY="-30"/>
        <w:tblOverlap w:val="never"/>
        <w:tblW w:w="8820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06"/>
        <w:gridCol w:w="438"/>
        <w:gridCol w:w="940"/>
        <w:gridCol w:w="1197"/>
        <w:gridCol w:w="1090"/>
        <w:gridCol w:w="990"/>
        <w:gridCol w:w="1066"/>
        <w:gridCol w:w="1301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cantSplit/>
          <w:trHeight w:val="1210" w:hRule="atLeast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389" w:hRule="exac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项目名称</w:t>
            </w:r>
          </w:p>
        </w:tc>
        <w:tc>
          <w:tcPr>
            <w:tcW w:w="702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田间技术服务点建设项目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484" w:hRule="exac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主管部门及代码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丰都县农业农村委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实施单位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丰都县农业技术服务中心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484" w:hRule="exac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项目属性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续建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项目期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390" w:hRule="exac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项目资金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（万元）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年度资金总额：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其中：财政拨款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其他资金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762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360" w:firstLineChars="200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新技术、新品种展示，优质高效、节本增效、生态环保、绿色安全等技术模式广泛用于农业生产，让菜农增产增收。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指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标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一级指标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二级指标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三级指标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计量单位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指标值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指标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数量指标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推广新技术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≥</w:t>
            </w:r>
            <w:r>
              <w:rPr>
                <w:rFonts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技术培训、指导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≥</w:t>
            </w:r>
            <w:r>
              <w:rPr>
                <w:rFonts w:cs="宋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新品种试验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质量指标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项目验收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时效指标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4"/>
              </w:rPr>
              <w:t>项目建设工期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≤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成本指标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财政资金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≤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指标</w:t>
            </w:r>
          </w:p>
        </w:tc>
        <w:tc>
          <w:tcPr>
            <w:tcW w:w="2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经济效益指标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农户增产增收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≥</w:t>
            </w:r>
            <w:r>
              <w:rPr>
                <w:rFonts w:cs="宋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社会效益指标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主推技术到位率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≥</w:t>
            </w:r>
            <w:r>
              <w:rPr>
                <w:rFonts w:cs="宋体"/>
                <w:color w:val="000000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生态效益指标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对环境有无不良影响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可持续影响指标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项目可持续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≥</w:t>
            </w:r>
            <w:r>
              <w:rPr>
                <w:rFonts w:cs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满意度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指标</w:t>
            </w:r>
          </w:p>
        </w:tc>
        <w:tc>
          <w:tcPr>
            <w:tcW w:w="213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服务对象满意度指标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>满意度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≥</w:t>
            </w:r>
            <w:r>
              <w:rPr>
                <w:rFonts w:cs="宋体"/>
                <w:color w:val="000000"/>
                <w:sz w:val="18"/>
                <w:szCs w:val="18"/>
              </w:rPr>
              <w:t>90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县农业农村委监督举报电话：023-70711151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县纪委监委监督举报电话：12388</w:t>
      </w:r>
    </w:p>
    <w:p>
      <w:pPr>
        <w:rPr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监督举报电话：12345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à.ā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- 1 -</w:t>
    </w:r>
    <w:r>
      <w:rPr>
        <w:rStyle w:val="28"/>
        <w:sz w:val="28"/>
      </w:rPr>
      <w:fldChar w:fldCharType="end"/>
    </w:r>
  </w:p>
  <w:p>
    <w:pPr>
      <w:pStyle w:val="17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4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3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EC90BA1"/>
    <w:multiLevelType w:val="singleLevel"/>
    <w:tmpl w:val="7EC90BA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F2F9A8F"/>
    <w:multiLevelType w:val="multilevel"/>
    <w:tmpl w:val="7F2F9A8F"/>
    <w:lvl w:ilvl="0" w:tentative="0">
      <w:start w:val="4"/>
      <w:numFmt w:val="chineseCounting"/>
      <w:pStyle w:val="2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WFjZjFhM2ZlMTQ0MTU1NGJlMTE1ODY0YmNjYTUifQ=="/>
  </w:docVars>
  <w:rsids>
    <w:rsidRoot w:val="00D44A3F"/>
    <w:rsid w:val="00010CFA"/>
    <w:rsid w:val="00027331"/>
    <w:rsid w:val="000477D5"/>
    <w:rsid w:val="0006726C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7204D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4656E"/>
    <w:rsid w:val="009501D4"/>
    <w:rsid w:val="00956369"/>
    <w:rsid w:val="0095775F"/>
    <w:rsid w:val="00972D1C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49D5"/>
    <w:rsid w:val="00CA676C"/>
    <w:rsid w:val="00CC6FBA"/>
    <w:rsid w:val="00CD4842"/>
    <w:rsid w:val="00D06554"/>
    <w:rsid w:val="00D066C8"/>
    <w:rsid w:val="00D44A3F"/>
    <w:rsid w:val="00D87657"/>
    <w:rsid w:val="00D937DF"/>
    <w:rsid w:val="00DA7E0D"/>
    <w:rsid w:val="00DB077A"/>
    <w:rsid w:val="00DB48D6"/>
    <w:rsid w:val="00DC3985"/>
    <w:rsid w:val="00DC5398"/>
    <w:rsid w:val="00DD2FE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D1EF4"/>
    <w:rsid w:val="00EF0008"/>
    <w:rsid w:val="00F17EB7"/>
    <w:rsid w:val="00F33B8A"/>
    <w:rsid w:val="00F44026"/>
    <w:rsid w:val="00F5066E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0D6974"/>
    <w:rsid w:val="025D09FD"/>
    <w:rsid w:val="028530AA"/>
    <w:rsid w:val="02D31437"/>
    <w:rsid w:val="02D46D2B"/>
    <w:rsid w:val="02D779B2"/>
    <w:rsid w:val="03852BD3"/>
    <w:rsid w:val="03962702"/>
    <w:rsid w:val="03E017D2"/>
    <w:rsid w:val="03FD0D9A"/>
    <w:rsid w:val="04D31CDF"/>
    <w:rsid w:val="05671B1D"/>
    <w:rsid w:val="058E0CFA"/>
    <w:rsid w:val="05A1790B"/>
    <w:rsid w:val="05BB2E32"/>
    <w:rsid w:val="06085AFA"/>
    <w:rsid w:val="06387847"/>
    <w:rsid w:val="06CA293E"/>
    <w:rsid w:val="06E70C9B"/>
    <w:rsid w:val="0746727B"/>
    <w:rsid w:val="07537D3B"/>
    <w:rsid w:val="079E3506"/>
    <w:rsid w:val="07DD6F20"/>
    <w:rsid w:val="07E901AE"/>
    <w:rsid w:val="07F85C68"/>
    <w:rsid w:val="0802440D"/>
    <w:rsid w:val="08B46187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6D4294"/>
    <w:rsid w:val="0B825041"/>
    <w:rsid w:val="0C110089"/>
    <w:rsid w:val="0C215885"/>
    <w:rsid w:val="0CC071CF"/>
    <w:rsid w:val="0D0B61CE"/>
    <w:rsid w:val="0D2927D8"/>
    <w:rsid w:val="0D7D7DBB"/>
    <w:rsid w:val="0DB050F6"/>
    <w:rsid w:val="0DDE0750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6410B1"/>
    <w:rsid w:val="10E53C6C"/>
    <w:rsid w:val="10E82BFF"/>
    <w:rsid w:val="1142587A"/>
    <w:rsid w:val="1145225A"/>
    <w:rsid w:val="11A269D6"/>
    <w:rsid w:val="11C0148E"/>
    <w:rsid w:val="12115857"/>
    <w:rsid w:val="12457FF6"/>
    <w:rsid w:val="12470A57"/>
    <w:rsid w:val="124746FC"/>
    <w:rsid w:val="124B55CD"/>
    <w:rsid w:val="129802C1"/>
    <w:rsid w:val="12A45B42"/>
    <w:rsid w:val="139A6F25"/>
    <w:rsid w:val="13B36E2B"/>
    <w:rsid w:val="13D1464C"/>
    <w:rsid w:val="13F066A7"/>
    <w:rsid w:val="14057A1D"/>
    <w:rsid w:val="14331F3D"/>
    <w:rsid w:val="1448764C"/>
    <w:rsid w:val="14813B13"/>
    <w:rsid w:val="15033573"/>
    <w:rsid w:val="15281895"/>
    <w:rsid w:val="158521DA"/>
    <w:rsid w:val="16076EB4"/>
    <w:rsid w:val="16254576"/>
    <w:rsid w:val="168102E6"/>
    <w:rsid w:val="16976668"/>
    <w:rsid w:val="16D00E04"/>
    <w:rsid w:val="16DD0761"/>
    <w:rsid w:val="16E50413"/>
    <w:rsid w:val="170F6026"/>
    <w:rsid w:val="17213954"/>
    <w:rsid w:val="176A786B"/>
    <w:rsid w:val="17A50477"/>
    <w:rsid w:val="17CE60BA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197B20"/>
    <w:rsid w:val="1C752741"/>
    <w:rsid w:val="1C802C6F"/>
    <w:rsid w:val="1CB332CA"/>
    <w:rsid w:val="1CB74934"/>
    <w:rsid w:val="1D061E52"/>
    <w:rsid w:val="1D230C56"/>
    <w:rsid w:val="1D943DC7"/>
    <w:rsid w:val="1DA63635"/>
    <w:rsid w:val="1DC86B59"/>
    <w:rsid w:val="1DCF42FA"/>
    <w:rsid w:val="1DD70171"/>
    <w:rsid w:val="1E0718A4"/>
    <w:rsid w:val="1E461011"/>
    <w:rsid w:val="1EC8253F"/>
    <w:rsid w:val="1EEB57A3"/>
    <w:rsid w:val="1F6846AC"/>
    <w:rsid w:val="1F8743A1"/>
    <w:rsid w:val="1FC9248A"/>
    <w:rsid w:val="200F7270"/>
    <w:rsid w:val="201B7714"/>
    <w:rsid w:val="20256513"/>
    <w:rsid w:val="205B78CE"/>
    <w:rsid w:val="20722F14"/>
    <w:rsid w:val="208D0401"/>
    <w:rsid w:val="21110DC5"/>
    <w:rsid w:val="212C22EA"/>
    <w:rsid w:val="214C5241"/>
    <w:rsid w:val="21846635"/>
    <w:rsid w:val="218A6C1C"/>
    <w:rsid w:val="21954DB9"/>
    <w:rsid w:val="21B45112"/>
    <w:rsid w:val="221712A2"/>
    <w:rsid w:val="221E0023"/>
    <w:rsid w:val="223D4EF2"/>
    <w:rsid w:val="224505C4"/>
    <w:rsid w:val="22725284"/>
    <w:rsid w:val="2273325F"/>
    <w:rsid w:val="22AB59CB"/>
    <w:rsid w:val="22C959BE"/>
    <w:rsid w:val="23C10887"/>
    <w:rsid w:val="240C762A"/>
    <w:rsid w:val="244E0DD1"/>
    <w:rsid w:val="24D1352B"/>
    <w:rsid w:val="24F55947"/>
    <w:rsid w:val="25383828"/>
    <w:rsid w:val="259167C1"/>
    <w:rsid w:val="259C6434"/>
    <w:rsid w:val="25F54094"/>
    <w:rsid w:val="263E3D23"/>
    <w:rsid w:val="264365B7"/>
    <w:rsid w:val="26634C22"/>
    <w:rsid w:val="26AD2E74"/>
    <w:rsid w:val="26D55B0D"/>
    <w:rsid w:val="275F3DDB"/>
    <w:rsid w:val="278D087C"/>
    <w:rsid w:val="278E1E20"/>
    <w:rsid w:val="28205224"/>
    <w:rsid w:val="283D6944"/>
    <w:rsid w:val="283E6D17"/>
    <w:rsid w:val="2883464B"/>
    <w:rsid w:val="29717D68"/>
    <w:rsid w:val="297A6E46"/>
    <w:rsid w:val="29B60F47"/>
    <w:rsid w:val="29B973F4"/>
    <w:rsid w:val="29C15A7E"/>
    <w:rsid w:val="2A393860"/>
    <w:rsid w:val="2A681D05"/>
    <w:rsid w:val="2A7947CD"/>
    <w:rsid w:val="2B3A5055"/>
    <w:rsid w:val="2BA5606B"/>
    <w:rsid w:val="2BC6278C"/>
    <w:rsid w:val="2BD117B3"/>
    <w:rsid w:val="2BFB0CA8"/>
    <w:rsid w:val="2CC44B23"/>
    <w:rsid w:val="2CDF6CE9"/>
    <w:rsid w:val="2D371E00"/>
    <w:rsid w:val="2D40079E"/>
    <w:rsid w:val="2E245BFA"/>
    <w:rsid w:val="2E4922CB"/>
    <w:rsid w:val="2E513149"/>
    <w:rsid w:val="2E7910A2"/>
    <w:rsid w:val="2E931B03"/>
    <w:rsid w:val="2EED1CEA"/>
    <w:rsid w:val="2FBB4D1E"/>
    <w:rsid w:val="30731BEF"/>
    <w:rsid w:val="30736262"/>
    <w:rsid w:val="308E41E1"/>
    <w:rsid w:val="30E26ADB"/>
    <w:rsid w:val="30E67761"/>
    <w:rsid w:val="31CE29E5"/>
    <w:rsid w:val="31F41585"/>
    <w:rsid w:val="31F95A98"/>
    <w:rsid w:val="320B3A4F"/>
    <w:rsid w:val="321A7667"/>
    <w:rsid w:val="32254BD9"/>
    <w:rsid w:val="322E164C"/>
    <w:rsid w:val="32607DFF"/>
    <w:rsid w:val="329A6961"/>
    <w:rsid w:val="32A07E96"/>
    <w:rsid w:val="338E144D"/>
    <w:rsid w:val="34076784"/>
    <w:rsid w:val="343A0CE6"/>
    <w:rsid w:val="34CC3155"/>
    <w:rsid w:val="34F05F50"/>
    <w:rsid w:val="351E2F4C"/>
    <w:rsid w:val="354B2A17"/>
    <w:rsid w:val="35572951"/>
    <w:rsid w:val="3557773B"/>
    <w:rsid w:val="35F50FD6"/>
    <w:rsid w:val="363871BC"/>
    <w:rsid w:val="363B4909"/>
    <w:rsid w:val="3680281D"/>
    <w:rsid w:val="36AF2CD7"/>
    <w:rsid w:val="378E6CD5"/>
    <w:rsid w:val="37A040C6"/>
    <w:rsid w:val="37BD3798"/>
    <w:rsid w:val="37F539CB"/>
    <w:rsid w:val="3801173C"/>
    <w:rsid w:val="388C3695"/>
    <w:rsid w:val="38A93F19"/>
    <w:rsid w:val="38DC2536"/>
    <w:rsid w:val="39590D02"/>
    <w:rsid w:val="396764C9"/>
    <w:rsid w:val="39C83B7D"/>
    <w:rsid w:val="39F25AB9"/>
    <w:rsid w:val="39FD2EA0"/>
    <w:rsid w:val="3A0574FA"/>
    <w:rsid w:val="3A116BE6"/>
    <w:rsid w:val="3A3644F2"/>
    <w:rsid w:val="3A3C0D5A"/>
    <w:rsid w:val="3A501846"/>
    <w:rsid w:val="3A757B7A"/>
    <w:rsid w:val="3A985F13"/>
    <w:rsid w:val="3ABC0999"/>
    <w:rsid w:val="3AD54849"/>
    <w:rsid w:val="3B005BD0"/>
    <w:rsid w:val="3B024561"/>
    <w:rsid w:val="3B2122F1"/>
    <w:rsid w:val="3B4C7F5B"/>
    <w:rsid w:val="3BE25EB0"/>
    <w:rsid w:val="3C7F6576"/>
    <w:rsid w:val="3CEE5F6C"/>
    <w:rsid w:val="3D2A4758"/>
    <w:rsid w:val="3D6C0BDB"/>
    <w:rsid w:val="3D7C5159"/>
    <w:rsid w:val="3E28188D"/>
    <w:rsid w:val="3E7D07EA"/>
    <w:rsid w:val="3F2E67FD"/>
    <w:rsid w:val="3F42289D"/>
    <w:rsid w:val="3FEC243A"/>
    <w:rsid w:val="3FF2195C"/>
    <w:rsid w:val="40913B79"/>
    <w:rsid w:val="40980764"/>
    <w:rsid w:val="415E496A"/>
    <w:rsid w:val="42597CFB"/>
    <w:rsid w:val="42C412EE"/>
    <w:rsid w:val="42CD0251"/>
    <w:rsid w:val="42D1090C"/>
    <w:rsid w:val="43090F67"/>
    <w:rsid w:val="430B4641"/>
    <w:rsid w:val="437234EE"/>
    <w:rsid w:val="43B93396"/>
    <w:rsid w:val="44533EF1"/>
    <w:rsid w:val="447316C9"/>
    <w:rsid w:val="44E02024"/>
    <w:rsid w:val="44FC236A"/>
    <w:rsid w:val="45344629"/>
    <w:rsid w:val="45915F6D"/>
    <w:rsid w:val="462E5DF5"/>
    <w:rsid w:val="469C052C"/>
    <w:rsid w:val="469F57C6"/>
    <w:rsid w:val="47674BE3"/>
    <w:rsid w:val="47D66741"/>
    <w:rsid w:val="482F4571"/>
    <w:rsid w:val="488C32A4"/>
    <w:rsid w:val="48AB62F5"/>
    <w:rsid w:val="491A7673"/>
    <w:rsid w:val="4992734A"/>
    <w:rsid w:val="49934630"/>
    <w:rsid w:val="4A513FA0"/>
    <w:rsid w:val="4A636CA0"/>
    <w:rsid w:val="4A970D00"/>
    <w:rsid w:val="4AD1090A"/>
    <w:rsid w:val="4BD61390"/>
    <w:rsid w:val="4BEA37E3"/>
    <w:rsid w:val="4C123AC0"/>
    <w:rsid w:val="4C245747"/>
    <w:rsid w:val="4C6A66A0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4B32B9"/>
    <w:rsid w:val="4E5E2FD1"/>
    <w:rsid w:val="4ECF7406"/>
    <w:rsid w:val="4EF30979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44412F"/>
    <w:rsid w:val="51813756"/>
    <w:rsid w:val="51A03E39"/>
    <w:rsid w:val="52660C6B"/>
    <w:rsid w:val="53591856"/>
    <w:rsid w:val="539666B8"/>
    <w:rsid w:val="53A705B1"/>
    <w:rsid w:val="53C9715A"/>
    <w:rsid w:val="53D82536"/>
    <w:rsid w:val="547D35BA"/>
    <w:rsid w:val="54D77655"/>
    <w:rsid w:val="55024E7F"/>
    <w:rsid w:val="55544733"/>
    <w:rsid w:val="557B371F"/>
    <w:rsid w:val="55931E09"/>
    <w:rsid w:val="56901021"/>
    <w:rsid w:val="572528F9"/>
    <w:rsid w:val="57395FE4"/>
    <w:rsid w:val="575C26A5"/>
    <w:rsid w:val="57CE1433"/>
    <w:rsid w:val="57D34F8E"/>
    <w:rsid w:val="57FB3827"/>
    <w:rsid w:val="58896BF1"/>
    <w:rsid w:val="589E630C"/>
    <w:rsid w:val="58DC3379"/>
    <w:rsid w:val="59561490"/>
    <w:rsid w:val="598D0B24"/>
    <w:rsid w:val="59C556FB"/>
    <w:rsid w:val="5A623115"/>
    <w:rsid w:val="5A7D3F6E"/>
    <w:rsid w:val="5AD63119"/>
    <w:rsid w:val="5AF879BB"/>
    <w:rsid w:val="5B1B6E81"/>
    <w:rsid w:val="5BCA78B1"/>
    <w:rsid w:val="5BEF4D2F"/>
    <w:rsid w:val="5C585DD7"/>
    <w:rsid w:val="5CB36BF9"/>
    <w:rsid w:val="5D120066"/>
    <w:rsid w:val="5DA82820"/>
    <w:rsid w:val="5E7B54F5"/>
    <w:rsid w:val="5EE23683"/>
    <w:rsid w:val="5F8844D1"/>
    <w:rsid w:val="5FC65260"/>
    <w:rsid w:val="5FF54B6C"/>
    <w:rsid w:val="60370B12"/>
    <w:rsid w:val="604636BB"/>
    <w:rsid w:val="60622F98"/>
    <w:rsid w:val="606A4DCB"/>
    <w:rsid w:val="60A056E7"/>
    <w:rsid w:val="60BC7722"/>
    <w:rsid w:val="60E50EFF"/>
    <w:rsid w:val="61122CC6"/>
    <w:rsid w:val="61572CED"/>
    <w:rsid w:val="619571A0"/>
    <w:rsid w:val="61D668FF"/>
    <w:rsid w:val="61FD05BB"/>
    <w:rsid w:val="621D649C"/>
    <w:rsid w:val="623B3E39"/>
    <w:rsid w:val="62830E1C"/>
    <w:rsid w:val="62DE0F99"/>
    <w:rsid w:val="63146F70"/>
    <w:rsid w:val="6369763D"/>
    <w:rsid w:val="636E746E"/>
    <w:rsid w:val="63CB3A56"/>
    <w:rsid w:val="64336084"/>
    <w:rsid w:val="64550FB5"/>
    <w:rsid w:val="64591E34"/>
    <w:rsid w:val="64C756F0"/>
    <w:rsid w:val="652F2810"/>
    <w:rsid w:val="65940C5B"/>
    <w:rsid w:val="65C81DCC"/>
    <w:rsid w:val="6655005B"/>
    <w:rsid w:val="66651DFD"/>
    <w:rsid w:val="66A2095E"/>
    <w:rsid w:val="671305F6"/>
    <w:rsid w:val="680674A8"/>
    <w:rsid w:val="682C0E32"/>
    <w:rsid w:val="685F7160"/>
    <w:rsid w:val="68601B09"/>
    <w:rsid w:val="68A847D4"/>
    <w:rsid w:val="68B91B44"/>
    <w:rsid w:val="68C146F5"/>
    <w:rsid w:val="69166076"/>
    <w:rsid w:val="69472AF8"/>
    <w:rsid w:val="695629FC"/>
    <w:rsid w:val="696A6892"/>
    <w:rsid w:val="697F0A71"/>
    <w:rsid w:val="6982479D"/>
    <w:rsid w:val="6A104B2A"/>
    <w:rsid w:val="6AE97F9D"/>
    <w:rsid w:val="6AF05B5A"/>
    <w:rsid w:val="6AF1090E"/>
    <w:rsid w:val="6B107E53"/>
    <w:rsid w:val="6B420EC7"/>
    <w:rsid w:val="6C533EB7"/>
    <w:rsid w:val="6C5A755E"/>
    <w:rsid w:val="6CE94D8A"/>
    <w:rsid w:val="6D113997"/>
    <w:rsid w:val="6DDE22CB"/>
    <w:rsid w:val="6DE10864"/>
    <w:rsid w:val="6DE210F1"/>
    <w:rsid w:val="6E0B0A0A"/>
    <w:rsid w:val="6E3B4A1C"/>
    <w:rsid w:val="6E595FD3"/>
    <w:rsid w:val="6E840DC1"/>
    <w:rsid w:val="6EB7200D"/>
    <w:rsid w:val="6EB80790"/>
    <w:rsid w:val="6EFF6CF3"/>
    <w:rsid w:val="6F047809"/>
    <w:rsid w:val="6FFB0FF5"/>
    <w:rsid w:val="703C015F"/>
    <w:rsid w:val="707A6B57"/>
    <w:rsid w:val="70812E3F"/>
    <w:rsid w:val="70D05D5A"/>
    <w:rsid w:val="71155335"/>
    <w:rsid w:val="7151624D"/>
    <w:rsid w:val="71800204"/>
    <w:rsid w:val="71C70BF6"/>
    <w:rsid w:val="71E1279E"/>
    <w:rsid w:val="71EF2594"/>
    <w:rsid w:val="71F7290B"/>
    <w:rsid w:val="71FD592B"/>
    <w:rsid w:val="720D7FE4"/>
    <w:rsid w:val="720F397A"/>
    <w:rsid w:val="72437D1F"/>
    <w:rsid w:val="726D04D3"/>
    <w:rsid w:val="727944A4"/>
    <w:rsid w:val="72CA1E65"/>
    <w:rsid w:val="72D134DE"/>
    <w:rsid w:val="73383D30"/>
    <w:rsid w:val="73816CB2"/>
    <w:rsid w:val="73DC0209"/>
    <w:rsid w:val="745927C5"/>
    <w:rsid w:val="747F6C13"/>
    <w:rsid w:val="75397FEA"/>
    <w:rsid w:val="75437FCE"/>
    <w:rsid w:val="75501F7A"/>
    <w:rsid w:val="75A82543"/>
    <w:rsid w:val="7628539E"/>
    <w:rsid w:val="762918BE"/>
    <w:rsid w:val="76440324"/>
    <w:rsid w:val="76B95246"/>
    <w:rsid w:val="77221836"/>
    <w:rsid w:val="774040A4"/>
    <w:rsid w:val="77526966"/>
    <w:rsid w:val="77770AF7"/>
    <w:rsid w:val="77A86B72"/>
    <w:rsid w:val="783F1A02"/>
    <w:rsid w:val="784018B9"/>
    <w:rsid w:val="78767D96"/>
    <w:rsid w:val="78ED20AF"/>
    <w:rsid w:val="79184336"/>
    <w:rsid w:val="791C2F15"/>
    <w:rsid w:val="7944746F"/>
    <w:rsid w:val="7A096224"/>
    <w:rsid w:val="7BBA79BE"/>
    <w:rsid w:val="7BE443F5"/>
    <w:rsid w:val="7BEE0798"/>
    <w:rsid w:val="7BF71F17"/>
    <w:rsid w:val="7CAC4C2B"/>
    <w:rsid w:val="7CDA5125"/>
    <w:rsid w:val="7DA96753"/>
    <w:rsid w:val="7DB23D66"/>
    <w:rsid w:val="7DDC6A46"/>
    <w:rsid w:val="7E191D22"/>
    <w:rsid w:val="7E675848"/>
    <w:rsid w:val="7ED45DD0"/>
    <w:rsid w:val="7ED93D46"/>
    <w:rsid w:val="7EEF72D1"/>
    <w:rsid w:val="7F034577"/>
    <w:rsid w:val="7F084F80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4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4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Body Text Indent"/>
    <w:basedOn w:val="1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4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5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6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7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8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9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0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1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3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4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3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4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6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7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2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3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4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1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3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4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5"/>
    <w:qFormat/>
    <w:locked/>
    <w:uiPriority w:val="99"/>
    <w:rPr>
      <w:sz w:val="21"/>
    </w:rPr>
  </w:style>
  <w:style w:type="character" w:customStyle="1" w:styleId="58">
    <w:name w:val="Balloon Text Char1"/>
    <w:link w:val="16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7"/>
    <w:qFormat/>
    <w:locked/>
    <w:uiPriority w:val="99"/>
    <w:rPr>
      <w:sz w:val="18"/>
    </w:rPr>
  </w:style>
  <w:style w:type="character" w:customStyle="1" w:styleId="60">
    <w:name w:val="Header Char1"/>
    <w:link w:val="18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basedOn w:val="26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character" w:customStyle="1" w:styleId="89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9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14</Pages>
  <Words>4797</Words>
  <Characters>5114</Characters>
  <Lines>0</Lines>
  <Paragraphs>0</Paragraphs>
  <TotalTime>1</TotalTime>
  <ScaleCrop>false</ScaleCrop>
  <LinksUpToDate>false</LinksUpToDate>
  <CharactersWithSpaces>5173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2021-10-14T09:23:00Z</dcterms:created>
  <dc:creator>Administrator</dc:creator>
  <cp:lastModifiedBy>县农委机要秘书</cp:lastModifiedBy>
  <cp:lastPrinted>2024-05-11T09:19:00Z</cp:lastPrinted>
  <dcterms:modified xsi:type="dcterms:W3CDTF">2024-10-14T09:29:03Z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F636F668B7F44907BA38D23DD91001F1_13</vt:lpwstr>
  </property>
  <property fmtid="{D5CDD505-2E9C-101B-9397-08002B2CF9AE}" pid="4" name="KSOSaveFontToCloudKey">
    <vt:lpwstr>449650301_btnclosed</vt:lpwstr>
  </property>
</Properties>
</file>