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505CA">
      <w:pPr>
        <w:spacing w:line="540" w:lineRule="exact"/>
        <w:ind w:firstLine="640" w:firstLineChars="200"/>
        <w:rPr>
          <w:rFonts w:ascii="Times New Roman" w:hAnsi="Times New Roman" w:eastAsia="Times New Roman" w:cs="Times New Roman"/>
          <w:color w:val="000000"/>
          <w:sz w:val="32"/>
          <w:szCs w:val="32"/>
        </w:rPr>
      </w:pPr>
    </w:p>
    <w:p w14:paraId="5F43D9C9">
      <w:pPr>
        <w:spacing w:line="560" w:lineRule="exact"/>
        <w:ind w:firstLine="640" w:firstLineChars="200"/>
        <w:rPr>
          <w:rFonts w:ascii="Times New Roman" w:hAnsi="Times New Roman" w:eastAsia="Times New Roman" w:cs="Times New Roman"/>
          <w:color w:val="000000"/>
          <w:sz w:val="32"/>
          <w:szCs w:val="32"/>
        </w:rPr>
      </w:pPr>
    </w:p>
    <w:p w14:paraId="773AF597">
      <w:pPr>
        <w:spacing w:line="560" w:lineRule="exact"/>
        <w:ind w:firstLine="880" w:firstLineChars="200"/>
        <w:jc w:val="center"/>
        <w:rPr>
          <w:rFonts w:ascii="Times New Roman" w:hAnsi="Times New Roman" w:eastAsia="方正小标宋_GBK" w:cs="Times New Roman"/>
          <w:color w:val="000000"/>
          <w:sz w:val="44"/>
          <w:szCs w:val="32"/>
        </w:rPr>
      </w:pPr>
    </w:p>
    <w:p w14:paraId="4DED6DCD">
      <w:pPr>
        <w:spacing w:line="560" w:lineRule="exact"/>
        <w:ind w:firstLine="880" w:firstLineChars="200"/>
        <w:jc w:val="center"/>
        <w:rPr>
          <w:rFonts w:ascii="Times New Roman" w:hAnsi="Times New Roman" w:eastAsia="方正小标宋_GBK" w:cs="Times New Roman"/>
          <w:color w:val="000000"/>
          <w:sz w:val="44"/>
          <w:szCs w:val="32"/>
        </w:rPr>
      </w:pPr>
    </w:p>
    <w:p w14:paraId="69117E00">
      <w:pPr>
        <w:spacing w:line="560" w:lineRule="exact"/>
        <w:ind w:firstLine="640" w:firstLineChars="200"/>
        <w:jc w:val="center"/>
        <w:rPr>
          <w:rFonts w:ascii="Times New Roman" w:hAnsi="Times New Roman" w:eastAsia="方正楷体_GBK" w:cs="Times New Roman"/>
          <w:color w:val="000000"/>
          <w:sz w:val="32"/>
          <w:szCs w:val="32"/>
        </w:rPr>
      </w:pPr>
    </w:p>
    <w:p w14:paraId="7350556D">
      <w:pPr>
        <w:spacing w:line="560" w:lineRule="exact"/>
        <w:ind w:firstLine="640" w:firstLineChars="200"/>
        <w:jc w:val="center"/>
        <w:rPr>
          <w:rFonts w:ascii="Times New Roman" w:hAnsi="Times New Roman" w:eastAsia="方正楷体_GBK" w:cs="Times New Roman"/>
          <w:color w:val="000000"/>
          <w:sz w:val="32"/>
          <w:szCs w:val="32"/>
        </w:rPr>
      </w:pPr>
    </w:p>
    <w:p w14:paraId="60A86E48">
      <w:pPr>
        <w:spacing w:line="560" w:lineRule="exact"/>
        <w:ind w:firstLine="640" w:firstLineChars="200"/>
        <w:jc w:val="center"/>
        <w:rPr>
          <w:rFonts w:ascii="Times New Roman" w:hAnsi="Times New Roman" w:eastAsia="方正楷体_GBK" w:cs="Times New Roman"/>
          <w:color w:val="000000"/>
          <w:sz w:val="32"/>
          <w:szCs w:val="32"/>
        </w:rPr>
      </w:pPr>
    </w:p>
    <w:p w14:paraId="5A21E5EA">
      <w:pPr>
        <w:spacing w:line="560" w:lineRule="exact"/>
        <w:ind w:firstLine="179" w:firstLineChars="56"/>
        <w:rPr>
          <w:rFonts w:ascii="Times New Roman" w:hAnsi="Times New Roman" w:eastAsia="方正仿宋简体" w:cs="Times New Roman"/>
          <w:color w:val="000000"/>
          <w:sz w:val="32"/>
          <w:szCs w:val="32"/>
        </w:rPr>
      </w:pPr>
      <w:r>
        <w:rPr>
          <w:rFonts w:ascii="Times New Roman" w:hAnsi="Times New Roman" w:eastAsia="方正仿宋_GBK" w:cs="Times New Roman"/>
          <w:color w:val="000000"/>
          <w:sz w:val="32"/>
          <w:szCs w:val="32"/>
        </w:rPr>
        <w:t xml:space="preserve">    </w:t>
      </w:r>
    </w:p>
    <w:p w14:paraId="051EE5CD">
      <w:pPr>
        <w:spacing w:line="560" w:lineRule="exact"/>
        <w:ind w:firstLine="137" w:firstLineChars="43"/>
        <w:rPr>
          <w:rFonts w:ascii="Times New Roman" w:hAnsi="Times New Roman" w:eastAsia="方正仿宋_GBK" w:cs="Times New Roman"/>
          <w:color w:val="FF0000"/>
          <w:spacing w:val="20"/>
          <w:sz w:val="32"/>
          <w:szCs w:val="32"/>
        </w:rPr>
      </w:pPr>
      <w:r>
        <w:rPr>
          <w:rFonts w:ascii="Times New Roman" w:hAnsi="Times New Roman" w:eastAsia="方正仿宋_GBK" w:cs="Times New Roman"/>
          <w:color w:val="000000"/>
          <w:sz w:val="32"/>
          <w:szCs w:val="32"/>
        </w:rPr>
        <w:t>丰农业农村工委文〔202</w:t>
      </w: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号</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签发人：</w:t>
      </w:r>
      <w:r>
        <w:rPr>
          <w:rFonts w:hint="eastAsia" w:ascii="Times New Roman" w:hAnsi="Times New Roman" w:eastAsia="方正楷体_GBK" w:cs="Times New Roman"/>
          <w:sz w:val="32"/>
          <w:szCs w:val="32"/>
        </w:rPr>
        <w:t>任正义</w:t>
      </w:r>
    </w:p>
    <w:p w14:paraId="2134D3D4">
      <w:pPr>
        <w:spacing w:line="600" w:lineRule="exact"/>
        <w:rPr>
          <w:rFonts w:ascii="Times New Roman" w:hAnsi="Times New Roman" w:eastAsia="方正楷体_GBK" w:cs="Times New Roman"/>
          <w:sz w:val="32"/>
          <w:szCs w:val="32"/>
        </w:rPr>
      </w:pPr>
    </w:p>
    <w:p w14:paraId="3ECDDAEA">
      <w:pPr>
        <w:spacing w:line="700" w:lineRule="exact"/>
        <w:jc w:val="center"/>
        <w:rPr>
          <w:rFonts w:ascii="Times New Roman" w:hAnsi="Times New Roman" w:eastAsia="方正小标宋_GBK" w:cs="Times New Roman"/>
          <w:sz w:val="44"/>
          <w:szCs w:val="44"/>
        </w:rPr>
      </w:pPr>
    </w:p>
    <w:p w14:paraId="546BFCF4">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中共丰都县委农业农村工作委员会</w:t>
      </w:r>
    </w:p>
    <w:p w14:paraId="61809ACD">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关于2023年法治政府建设情况的报告</w:t>
      </w:r>
    </w:p>
    <w:p w14:paraId="2C12132B">
      <w:pPr>
        <w:spacing w:line="680" w:lineRule="exact"/>
        <w:jc w:val="center"/>
        <w:rPr>
          <w:rFonts w:ascii="方正小标宋_GBK" w:hAnsi="方正小标宋_GBK" w:eastAsia="方正小标宋_GBK" w:cs="方正小标宋_GBK"/>
          <w:sz w:val="44"/>
          <w:szCs w:val="44"/>
        </w:rPr>
      </w:pPr>
    </w:p>
    <w:p w14:paraId="66E4AD4D">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县委、县政府：</w:t>
      </w:r>
    </w:p>
    <w:p w14:paraId="3BC37FB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我委在县委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县政府的正确领导下，按照《中共中央 国务院关于印发〈法治政府建设实施纲要（2021—2025年）〉的通知》（中发〔2021〕33号）和《中共中央办公厅国务院办公厅关于印发〈法治政府建设与责任落实督察工作规定〉的通知》（厅字〔2019〕28号）</w:t>
      </w:r>
      <w:r>
        <w:rPr>
          <w:rFonts w:ascii="Times New Roman" w:hAnsi="Times New Roman" w:eastAsia="方正仿宋_GBK" w:cs="Times New Roman"/>
          <w:snapToGrid w:val="0"/>
          <w:sz w:val="32"/>
          <w:szCs w:val="32"/>
        </w:rPr>
        <w:t>明确的法治政府建设任务</w:t>
      </w:r>
      <w:r>
        <w:rPr>
          <w:rFonts w:ascii="Times New Roman" w:hAnsi="Times New Roman" w:eastAsia="方正仿宋_GBK" w:cs="Times New Roman"/>
          <w:sz w:val="32"/>
          <w:szCs w:val="32"/>
        </w:rPr>
        <w:t>，</w:t>
      </w:r>
      <w:r>
        <w:rPr>
          <w:rFonts w:ascii="Times New Roman" w:hAnsi="Times New Roman" w:eastAsia="方正仿宋_GBK" w:cs="Times New Roman"/>
          <w:snapToGrid w:val="0"/>
          <w:sz w:val="32"/>
          <w:szCs w:val="32"/>
        </w:rPr>
        <w:t>严格抓好法治政府建设相关工作，全面推进依法行政。</w:t>
      </w:r>
      <w:r>
        <w:rPr>
          <w:rFonts w:ascii="Times New Roman" w:hAnsi="Times New Roman" w:eastAsia="方正仿宋_GBK" w:cs="Times New Roman"/>
          <w:sz w:val="32"/>
          <w:szCs w:val="32"/>
        </w:rPr>
        <w:t>现将我委2023年法治政府建设工作情况报告如下：</w:t>
      </w:r>
    </w:p>
    <w:p w14:paraId="44C883D4">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一、主要举措和成效</w:t>
      </w:r>
    </w:p>
    <w:p w14:paraId="0978568E">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（一）持续深化普法宣传教育</w:t>
      </w:r>
    </w:p>
    <w:p w14:paraId="726DB99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持续抓好“关键少数”学法。深入学习宣传习近平法治思想，组织开展中心组专题学习6次，职工专题学习会3次，进一步深入学习领会了习近平总书记关于全面依法治国的系列重要论述，进一步增强了领导干部对习近平法治思想的认识和理解。持续深入学习宣传宪法，将宪法学习纳入党组织“三会一课”、支部主题党日的重要学习内容，积极开展“宪法进机关”、“宪法进农村”、“宪法进企业”和“宪法宣传周”、“12·4”国家宪法日等宣传教育活动，开展现场宣传1场，宪法专题学习会1次，制作宣传横幅5条，宣传专栏2块，发放宣传单1000余份，大力弘扬了宪法精神，增强了干部群众的宪法意识。深入贯彻落实《党政主要负责人履行推进法治建设第一责任人职责规定》，党政主要负责人将履行推进法治建设第一责任人职责情况列入年终述职内容，领导班子和领导干部在年度考核述职中围绕法治学习情况、重大事项依法决策情况、依法履职情况等进行述法，作为自身工作考核的重要依据。</w:t>
      </w:r>
    </w:p>
    <w:p w14:paraId="4FF8B940">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二是持续提高群众法律意识。扎实开展专业领域普法，结合“法治宣传月”、“安全生产月”、“禁毒宣传月”、</w:t>
      </w:r>
      <w:bookmarkStart w:id="0" w:name="_GoBack"/>
      <w:bookmarkEnd w:id="0"/>
      <w:r>
        <w:rPr>
          <w:rFonts w:hint="eastAsia" w:ascii="Times New Roman" w:hAnsi="Times New Roman" w:eastAsia="方正仿宋_GBK" w:cs="Times New Roman"/>
          <w:sz w:val="32"/>
          <w:szCs w:val="32"/>
          <w:lang w:eastAsia="zh-CN"/>
        </w:rPr>
        <w:t>“12·4”国家宪法日</w:t>
      </w:r>
      <w:r>
        <w:rPr>
          <w:rFonts w:hint="eastAsia" w:ascii="Times New Roman" w:hAnsi="Times New Roman" w:eastAsia="方正仿宋_GBK" w:cs="Times New Roman"/>
          <w:sz w:val="32"/>
          <w:szCs w:val="32"/>
        </w:rPr>
        <w:t>、《中华人民共和国安全生产法》宣传周等宣传活动认真开展新版《中华人民共和国动物防疫法》、《长江保护法》、《农产品质量安全法》、《土地管理法》、《农村土地承包经营权证管理办法》等农业法律法规的宣传。通过微信、微博、抖音等新媒体，利用高素质农民培训班、经营主体培训班、现场会、专题宣讲等活动大力开展宣传。今年共组织现场宣传活动6场，经营主体培训16期，发放宣传资料一万余份，进一步增强了人民群众对农业相关法律法规的认知。持续推进执法过程释法，将以案释法纳入农业执法工作流程和岗位职责。把农业普法融入执法检查、案件受理、调查取证、案件审理、告知听证、处罚决定、处罚执行等执法工作各环节，通过执法全过程普法切实提高行政处罚的说服力和公信力。深入贯彻农村学法用法示范户培育工作，结合农村学法用法示范户“结对子”、“小板凳”进农村法治服务、宪法进农村等活动认真开展农村学法用法示范户培育认定工作。今年，开展农村学法用法“结对子”集中培训15场，“小板凳”进农村法治服务12场，农村学法用法示范户骨干培训2场等。</w:t>
      </w:r>
    </w:p>
    <w:p w14:paraId="1F19FAF3">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（二）深入推进依法行政工作</w:t>
      </w:r>
    </w:p>
    <w:p w14:paraId="70D3607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大力强化依法决策。认真落实重大行政决策公众参与、专家论证、风险评估、合法性审查、集体讨论决定等法定程序，对我委出台的规范性文件、行政处罚案件、行政许可等严格进行合法性审查；常年聘请专业法律顾问，充分发挥法律顾问对重大行政决策的参谋作用以及在依法行政、依法管理、依法办事中的重要作用，进一步降低行政风险，营造依法行政、依法办事的氛围。</w:t>
      </w:r>
    </w:p>
    <w:p w14:paraId="5129B61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是持续优化营商环境。积极落实“企业宁静日”制度，开展分级分类监管，明确不同抽查比例，对纳入正面清单管理的企业、一般监管对象随机抽查；对已安装在线监测设备、远程监控企业开展非现场为主的检查；对重点和特殊监管对象进行百分之一百抽查，做到无事不扰。大力推进“一件事一次办”应用推广，推进“农药准营”、畜牧养殖准营”、“动物诊疗”、“兽药准营”跨部门协同服务，进一步压缩办理时限和办理环节，减少群众跑动次数。大力强化政务公开力度，以公开为常态，不公开为例外，打造阳光透明服务政府。全年在信用丰都平台公示信息176条。持续增强事中事后监管，进一步完善公平竞争内部审查制度，对存量、新增相关文件进行了全面梳理，保证公平竞争内部审查率100%，审查结果不存在限制和排除竞争、漏审、投诉应诉事项。依托全市“双随机、一公开”监管信息系统，进一步完善检查人员清单、事项清单和检查对象名录库，实时动态调整行政执法权力事项清单、实施清单。全年联动市场监管局等部门开展联合检查1次。</w:t>
      </w:r>
    </w:p>
    <w:p w14:paraId="084C342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三是深入推进农业执法队伍建设。加强农业执法人员资格审查和执法证件管理，严格实行农业执法人员执证上岗，新办执法证件1个。加强执法人员培训，全年</w:t>
      </w:r>
      <w:r>
        <w:rPr>
          <w:rFonts w:ascii="Times New Roman" w:hAnsi="Times New Roman" w:eastAsia="方正仿宋_GBK" w:cs="Times New Roman"/>
          <w:sz w:val="32"/>
          <w:szCs w:val="32"/>
        </w:rPr>
        <w:t>开展线上培训2次、队内轮训2次、邀请市执法总队领导讲课1次、外出考察学习1次、参与市上组织各类执法培训10次，共培训执法人员149人次</w:t>
      </w:r>
      <w:r>
        <w:rPr>
          <w:rFonts w:hint="eastAsia" w:ascii="Times New Roman" w:hAnsi="Times New Roman" w:eastAsia="方正仿宋_GBK" w:cs="Times New Roman"/>
          <w:sz w:val="32"/>
          <w:szCs w:val="32"/>
        </w:rPr>
        <w:t>，有效提高</w:t>
      </w:r>
      <w:r>
        <w:rPr>
          <w:rFonts w:ascii="Times New Roman" w:hAnsi="Times New Roman" w:eastAsia="方正仿宋_GBK" w:cs="Times New Roman"/>
          <w:sz w:val="32"/>
          <w:szCs w:val="32"/>
        </w:rPr>
        <w:t>执法人员业务水平。</w:t>
      </w:r>
      <w:r>
        <w:rPr>
          <w:rFonts w:hint="eastAsia" w:ascii="Times New Roman" w:hAnsi="Times New Roman" w:eastAsia="方正仿宋_GBK" w:cs="Times New Roman"/>
          <w:sz w:val="32"/>
          <w:szCs w:val="32"/>
        </w:rPr>
        <w:t>严格落实</w:t>
      </w:r>
      <w:r>
        <w:rPr>
          <w:rFonts w:hint="eastAsia" w:ascii="Times New Roman" w:hAnsi="Times New Roman" w:eastAsia="方正仿宋_GBK" w:cs="Times New Roman"/>
          <w:sz w:val="32"/>
          <w:szCs w:val="32"/>
          <w:lang w:eastAsia="zh-CN"/>
        </w:rPr>
        <w:t>行政执法“三项制度”</w:t>
      </w:r>
      <w:r>
        <w:rPr>
          <w:rFonts w:hint="eastAsia" w:ascii="Times New Roman" w:hAnsi="Times New Roman" w:eastAsia="方正仿宋_GBK" w:cs="Times New Roman"/>
          <w:sz w:val="32"/>
          <w:szCs w:val="32"/>
        </w:rPr>
        <w:t>，严格做到行政执法全程记录留证、行政执法公示、重大执法决定法制审核，严格执行相关法律法规规定、行政执法处罚自由裁量标准，进一步规范行政执法行为。</w:t>
      </w:r>
    </w:p>
    <w:p w14:paraId="6FBB21D8">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（三）不断强化依法治理工作</w:t>
      </w:r>
    </w:p>
    <w:p w14:paraId="2783444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依法开展农业执法。围绕开展“稳量保供”专项行动，聚焦农资生产经营、种养、屠宰等重点环节，农资经营、农兽药饲料生产企业、屠宰企业等重点区域，以及农资、果蔬、肉、蛋等重点品种，聚焦群众举报投诉多、问题突出的重点生产经营单位，加大监督抽检力度，严查无证生产经营、套牌侵权、制售假劣、常规农兽药残留超标、使用禁限用药物等违法行为。截至2023年12月，共出动执法(护渔）人员4309人次，开展执法检查1410次，执法对象695个，累计办案98件，处罚18.32万元，没收违法所得0.52万元，挽回经济损失18.19万元，移送司法机关2例。</w:t>
      </w:r>
    </w:p>
    <w:p w14:paraId="6A237D9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是强化农村法治阵地建设。以农村学法用法示范户培育为载体，通过典型示范，引领带动农村法治宣传教育基地建设。三建乡绿村坝村、社坛镇龙门村等4个村（居）成功力纳入市级农村法治宣传教育储备基地。</w:t>
      </w:r>
    </w:p>
    <w:p w14:paraId="273E687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三是加强农村基层法治力量。大力推进农村学法用法示范户培育工作，全县312个涉农村共推选农村学法用法示范户810户，通过运用方言、家常话宣讲政策法律、引导法律服务、化解矛盾纠纷、参与社会治理。</w:t>
      </w:r>
    </w:p>
    <w:p w14:paraId="319DAE24">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党政主要负责人履行推进法治政府建设第一责任人职责</w:t>
      </w:r>
      <w:r>
        <w:rPr>
          <w:rFonts w:hint="eastAsia" w:ascii="方正黑体_GBK" w:hAnsi="方正黑体_GBK" w:eastAsia="方正黑体_GBK" w:cs="方正黑体_GBK"/>
          <w:sz w:val="32"/>
          <w:szCs w:val="32"/>
        </w:rPr>
        <w:t>情况</w:t>
      </w:r>
    </w:p>
    <w:p w14:paraId="24B4103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我委</w:t>
      </w:r>
      <w:r>
        <w:rPr>
          <w:rFonts w:ascii="Times New Roman" w:hAnsi="Times New Roman" w:eastAsia="方正仿宋_GBK" w:cs="Times New Roman"/>
          <w:sz w:val="32"/>
          <w:szCs w:val="32"/>
        </w:rPr>
        <w:t>主要负责人认真贯彻落实《党政主要负责人履行推进法治建设第一责任人职责规定》，把法治</w:t>
      </w:r>
      <w:r>
        <w:rPr>
          <w:rFonts w:hint="eastAsia" w:ascii="Times New Roman" w:hAnsi="Times New Roman" w:eastAsia="方正仿宋_GBK" w:cs="Times New Roman"/>
          <w:sz w:val="32"/>
          <w:szCs w:val="32"/>
        </w:rPr>
        <w:t>政府</w:t>
      </w:r>
      <w:r>
        <w:rPr>
          <w:rFonts w:ascii="Times New Roman" w:hAnsi="Times New Roman" w:eastAsia="方正仿宋_GBK" w:cs="Times New Roman"/>
          <w:sz w:val="32"/>
          <w:szCs w:val="32"/>
        </w:rPr>
        <w:t>建设纳入了我委发展总体规划和年度工作计划，严格履行依法治农、依法护农、依法兴农重要组织者、推动者和实践者的职责，充分发挥</w:t>
      </w:r>
      <w:r>
        <w:rPr>
          <w:rFonts w:hint="eastAsia" w:ascii="Times New Roman" w:hAnsi="Times New Roman" w:eastAsia="方正仿宋_GBK" w:cs="Times New Roman"/>
          <w:sz w:val="32"/>
          <w:szCs w:val="32"/>
        </w:rPr>
        <w:t>总</w:t>
      </w:r>
      <w:r>
        <w:rPr>
          <w:rFonts w:ascii="Times New Roman" w:hAnsi="Times New Roman" w:eastAsia="方正仿宋_GBK" w:cs="Times New Roman"/>
          <w:sz w:val="32"/>
          <w:szCs w:val="32"/>
        </w:rPr>
        <w:t>揽全局、协调各方的作用。一是亲自审定年度普法计划，牵头组织开展中心组学法活动，及时研究解决法治政府建设的有关重大问题；二是加大法治工作保障力度，加强经费和人员保障，配齐配强了法制工作机构力量；三是严格执行重大行政决策法定程序，坚持重大问题集体讨论决定。聘请资深法律顾问，切实发挥法律顾问在行政决策中法律风险防范作用；四是推动完善行政执法机制，落实行政执法责任，促进规范公正文明执法，督促领导班子其他成员和下属部门负责人依法办事；五是维护司法权威，认真落实行政机关负责人出庭应诉、支持法院受理行政案件、尊重执行法院生效判决。</w:t>
      </w:r>
    </w:p>
    <w:p w14:paraId="76E60C12">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三、存在的问题</w:t>
      </w:r>
    </w:p>
    <w:p w14:paraId="42D5458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力量严重不足。现有力量承担日益繁重的法治工作职能，存在人员编制明显不足、重心下移矛盾更加突出、依法履职难以到位的隐患。二是普法效果不好。正面宣传报道的力度不够，方法单一，氛围不浓，群众对农业执法工作知之甚少。三是行政执法能力还需进一步提高，案卷制作水平还有待加强。</w:t>
      </w:r>
    </w:p>
    <w:p w14:paraId="2C052066">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四、下一步工作思路和计划</w:t>
      </w:r>
    </w:p>
    <w:p w14:paraId="02A6A08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坚持以习近平新时代中国特色社会主义思想为指导，全面贯彻落实党的二十大精神，深入学习贯彻习近平法治思想，全面推进法治政府建设。二是进一步落实党政主要负责人履行推进法治建设第一责任人职责规定，带头学法守法用法。三是进一步提升依法行政水平，</w:t>
      </w:r>
      <w:r>
        <w:rPr>
          <w:rFonts w:hint="eastAsia" w:ascii="Times New Roman" w:hAnsi="Times New Roman" w:eastAsia="方正仿宋_GBK" w:cs="Times New Roman"/>
          <w:sz w:val="32"/>
          <w:szCs w:val="32"/>
        </w:rPr>
        <w:t>进一步</w:t>
      </w:r>
      <w:r>
        <w:rPr>
          <w:rFonts w:ascii="Times New Roman" w:hAnsi="Times New Roman" w:eastAsia="方正仿宋_GBK" w:cs="Times New Roman"/>
          <w:sz w:val="32"/>
          <w:szCs w:val="32"/>
        </w:rPr>
        <w:t>完善重大行政决策制度，确保重大行政决策更加科学化、民主化和法治化。四是进一步</w:t>
      </w:r>
      <w:r>
        <w:rPr>
          <w:rFonts w:hint="eastAsia" w:ascii="Times New Roman" w:hAnsi="Times New Roman" w:eastAsia="方正仿宋_GBK" w:cs="Times New Roman"/>
          <w:sz w:val="32"/>
          <w:szCs w:val="32"/>
        </w:rPr>
        <w:t>创新普法宣传形式</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充分结合“小板凳”普法、农村学法用法示范户结对子普法、执法过程释法等活动，积极开展丰富多彩的宣传活动，推动法治文化建设。</w:t>
      </w:r>
    </w:p>
    <w:p w14:paraId="4384010D">
      <w:pPr>
        <w:spacing w:line="600" w:lineRule="exact"/>
        <w:ind w:firstLine="640" w:firstLineChars="200"/>
        <w:rPr>
          <w:rFonts w:ascii="Times New Roman" w:hAnsi="Times New Roman" w:eastAsia="方正仿宋_GBK" w:cs="Times New Roman"/>
          <w:sz w:val="32"/>
          <w:szCs w:val="32"/>
        </w:rPr>
      </w:pPr>
    </w:p>
    <w:p w14:paraId="0A8CA701">
      <w:pPr>
        <w:pStyle w:val="2"/>
      </w:pPr>
    </w:p>
    <w:p w14:paraId="1D6753A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中共丰都县委农业农村工作委员会</w:t>
      </w:r>
    </w:p>
    <w:p w14:paraId="0C9F96AC">
      <w:p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2023年</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08</w:t>
      </w:r>
      <w:r>
        <w:rPr>
          <w:rFonts w:hint="eastAsia" w:ascii="Times New Roman" w:hAnsi="Times New Roman" w:eastAsia="方正仿宋_GBK" w:cs="Times New Roman"/>
          <w:sz w:val="32"/>
          <w:szCs w:val="32"/>
        </w:rPr>
        <w:t>日</w:t>
      </w:r>
    </w:p>
    <w:p w14:paraId="6F39FE9F">
      <w:pPr>
        <w:pStyle w:val="2"/>
        <w:rPr>
          <w:rFonts w:hint="eastAsia" w:ascii="Times New Roman" w:hAnsi="Times New Roman" w:eastAsia="方正仿宋_GBK" w:cs="Times New Roman"/>
          <w:sz w:val="32"/>
          <w:szCs w:val="32"/>
        </w:rPr>
      </w:pPr>
    </w:p>
    <w:p w14:paraId="4CCAAB16">
      <w:pPr>
        <w:pStyle w:val="3"/>
      </w:pPr>
    </w:p>
    <w:p w14:paraId="09981B94">
      <w:pPr>
        <w:spacing w:line="60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14:paraId="44743F41">
      <w:pPr>
        <w:pStyle w:val="2"/>
        <w:rPr>
          <w:rFonts w:ascii="Times New Roman" w:eastAsia="方正仿宋_GBK" w:cs="Times New Roman"/>
          <w:sz w:val="32"/>
          <w:szCs w:val="32"/>
        </w:rPr>
      </w:pPr>
    </w:p>
    <w:p w14:paraId="2430DDAE">
      <w:pPr>
        <w:pStyle w:val="3"/>
        <w:ind w:left="1680" w:firstLine="640"/>
        <w:rPr>
          <w:szCs w:val="32"/>
        </w:rPr>
      </w:pPr>
    </w:p>
    <w:p w14:paraId="03A62EEE">
      <w:pPr>
        <w:rPr>
          <w:rFonts w:ascii="Times New Roman" w:hAnsi="Times New Roman" w:eastAsia="方正仿宋_GBK" w:cs="Times New Roman"/>
          <w:sz w:val="32"/>
          <w:szCs w:val="32"/>
        </w:rPr>
      </w:pPr>
    </w:p>
    <w:p w14:paraId="7B1ADA40">
      <w:pPr>
        <w:pStyle w:val="2"/>
        <w:rPr>
          <w:rFonts w:ascii="Times New Roman" w:eastAsia="方正仿宋_GBK" w:cs="Times New Roman"/>
          <w:sz w:val="32"/>
          <w:szCs w:val="32"/>
        </w:rPr>
      </w:pPr>
    </w:p>
    <w:p w14:paraId="4562BFEE">
      <w:pPr>
        <w:pStyle w:val="3"/>
        <w:ind w:left="1680" w:firstLine="640"/>
        <w:rPr>
          <w:szCs w:val="32"/>
        </w:rPr>
      </w:pPr>
    </w:p>
    <w:p w14:paraId="20769AC1">
      <w:pPr>
        <w:rPr>
          <w:rFonts w:ascii="Times New Roman" w:hAnsi="Times New Roman" w:eastAsia="方正仿宋_GBK" w:cs="Times New Roman"/>
          <w:sz w:val="32"/>
          <w:szCs w:val="32"/>
        </w:rPr>
      </w:pPr>
    </w:p>
    <w:p w14:paraId="7EA3F3BB">
      <w:pPr>
        <w:pStyle w:val="2"/>
        <w:rPr>
          <w:rFonts w:ascii="Times New Roman" w:eastAsia="方正仿宋_GBK" w:cs="Times New Roman"/>
          <w:sz w:val="32"/>
          <w:szCs w:val="32"/>
        </w:rPr>
      </w:pPr>
    </w:p>
    <w:p w14:paraId="7C114045">
      <w:pPr>
        <w:pStyle w:val="3"/>
        <w:ind w:left="1680" w:firstLine="640"/>
        <w:rPr>
          <w:szCs w:val="32"/>
        </w:rPr>
      </w:pPr>
    </w:p>
    <w:p w14:paraId="25403735">
      <w:pPr>
        <w:rPr>
          <w:rFonts w:ascii="Times New Roman" w:hAnsi="Times New Roman" w:eastAsia="方正仿宋_GBK" w:cs="Times New Roman"/>
          <w:sz w:val="32"/>
          <w:szCs w:val="32"/>
        </w:rPr>
      </w:pPr>
    </w:p>
    <w:p w14:paraId="2E242B1A">
      <w:pPr>
        <w:pStyle w:val="2"/>
        <w:rPr>
          <w:rFonts w:ascii="Times New Roman" w:eastAsia="方正仿宋_GBK" w:cs="Times New Roman"/>
          <w:sz w:val="32"/>
          <w:szCs w:val="32"/>
        </w:rPr>
      </w:pPr>
    </w:p>
    <w:p w14:paraId="72B96B58">
      <w:pPr>
        <w:pStyle w:val="3"/>
        <w:ind w:left="1680" w:firstLine="640"/>
        <w:rPr>
          <w:szCs w:val="32"/>
        </w:rPr>
      </w:pPr>
    </w:p>
    <w:p w14:paraId="534D59D8"/>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DFF1F643-ABEC-4C12-8040-79E2A837D664}"/>
  </w:font>
  <w:font w:name="方正小标宋_GBK">
    <w:panose1 w:val="03000509000000000000"/>
    <w:charset w:val="86"/>
    <w:family w:val="script"/>
    <w:pitch w:val="default"/>
    <w:sig w:usb0="00000001" w:usb1="080E0000" w:usb2="00000000" w:usb3="00000000" w:csb0="00040000" w:csb1="00000000"/>
    <w:embedRegular r:id="rId2" w:fontKey="{FFB86C50-D299-44E9-9B93-551C39B65CF4}"/>
  </w:font>
  <w:font w:name="方正楷体_GBK">
    <w:panose1 w:val="03000509000000000000"/>
    <w:charset w:val="86"/>
    <w:family w:val="auto"/>
    <w:pitch w:val="default"/>
    <w:sig w:usb0="00000001" w:usb1="080E0000" w:usb2="00000000" w:usb3="00000000" w:csb0="00040000" w:csb1="00000000"/>
    <w:embedRegular r:id="rId3" w:fontKey="{AA97F499-1426-40D7-8930-8DD674781A39}"/>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A2B6A885-D455-40FC-B655-4BDA544624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8EEA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65027">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365027">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129964E7"/>
    <w:rsid w:val="00305870"/>
    <w:rsid w:val="006164ED"/>
    <w:rsid w:val="00D35821"/>
    <w:rsid w:val="00DA5C53"/>
    <w:rsid w:val="015754F6"/>
    <w:rsid w:val="033A0C2B"/>
    <w:rsid w:val="06C913BB"/>
    <w:rsid w:val="07320557"/>
    <w:rsid w:val="07C37441"/>
    <w:rsid w:val="09B63701"/>
    <w:rsid w:val="09D92B0A"/>
    <w:rsid w:val="0C6A2581"/>
    <w:rsid w:val="0C6F1945"/>
    <w:rsid w:val="0D1B39A4"/>
    <w:rsid w:val="0D5374B9"/>
    <w:rsid w:val="109C4CD3"/>
    <w:rsid w:val="11C24C0D"/>
    <w:rsid w:val="126637EB"/>
    <w:rsid w:val="126D2DCB"/>
    <w:rsid w:val="129964E7"/>
    <w:rsid w:val="13A72EEF"/>
    <w:rsid w:val="154F0566"/>
    <w:rsid w:val="16CA259A"/>
    <w:rsid w:val="18C81BCF"/>
    <w:rsid w:val="18D70F9E"/>
    <w:rsid w:val="19C52BDD"/>
    <w:rsid w:val="19EA767B"/>
    <w:rsid w:val="1A475BBD"/>
    <w:rsid w:val="1A642D06"/>
    <w:rsid w:val="1C9A47BD"/>
    <w:rsid w:val="1D5A219E"/>
    <w:rsid w:val="1DDE692B"/>
    <w:rsid w:val="1E6A3D0A"/>
    <w:rsid w:val="220977E4"/>
    <w:rsid w:val="26A5092E"/>
    <w:rsid w:val="270C517B"/>
    <w:rsid w:val="27E70AD2"/>
    <w:rsid w:val="288B6760"/>
    <w:rsid w:val="29A0362E"/>
    <w:rsid w:val="2AAD7DB1"/>
    <w:rsid w:val="2B4F70BA"/>
    <w:rsid w:val="2BDB26FC"/>
    <w:rsid w:val="2CEB2E12"/>
    <w:rsid w:val="2E555FD9"/>
    <w:rsid w:val="32814274"/>
    <w:rsid w:val="32DC56D7"/>
    <w:rsid w:val="32E93950"/>
    <w:rsid w:val="362D6583"/>
    <w:rsid w:val="3AA27206"/>
    <w:rsid w:val="3B4A33FA"/>
    <w:rsid w:val="40C81736"/>
    <w:rsid w:val="44EB17AA"/>
    <w:rsid w:val="46C2653A"/>
    <w:rsid w:val="46EA4E70"/>
    <w:rsid w:val="47AB05BA"/>
    <w:rsid w:val="48F67CAE"/>
    <w:rsid w:val="496158F5"/>
    <w:rsid w:val="4A317C5F"/>
    <w:rsid w:val="4AA20B5D"/>
    <w:rsid w:val="4BBADEFB"/>
    <w:rsid w:val="538E7ED0"/>
    <w:rsid w:val="557B4484"/>
    <w:rsid w:val="55FF651E"/>
    <w:rsid w:val="570D7C32"/>
    <w:rsid w:val="57454D4A"/>
    <w:rsid w:val="5B6D2D12"/>
    <w:rsid w:val="5BDB5BB2"/>
    <w:rsid w:val="5BE56AFB"/>
    <w:rsid w:val="5F320C37"/>
    <w:rsid w:val="5F3A53B0"/>
    <w:rsid w:val="5FB962D5"/>
    <w:rsid w:val="60507B10"/>
    <w:rsid w:val="608763D3"/>
    <w:rsid w:val="632048BD"/>
    <w:rsid w:val="635D78BF"/>
    <w:rsid w:val="643B7C00"/>
    <w:rsid w:val="647B624F"/>
    <w:rsid w:val="64D5744C"/>
    <w:rsid w:val="64DB4467"/>
    <w:rsid w:val="657F3B1C"/>
    <w:rsid w:val="65AD68DC"/>
    <w:rsid w:val="65E322FD"/>
    <w:rsid w:val="66236B9E"/>
    <w:rsid w:val="6AE61F48"/>
    <w:rsid w:val="6AFE28BF"/>
    <w:rsid w:val="6CDA4615"/>
    <w:rsid w:val="6F245284"/>
    <w:rsid w:val="719B7304"/>
    <w:rsid w:val="722D66AE"/>
    <w:rsid w:val="735C549D"/>
    <w:rsid w:val="745919DD"/>
    <w:rsid w:val="76B4114C"/>
    <w:rsid w:val="76BF646F"/>
    <w:rsid w:val="790D6F0A"/>
    <w:rsid w:val="793D18CD"/>
    <w:rsid w:val="7CC0084B"/>
    <w:rsid w:val="7D2012E9"/>
    <w:rsid w:val="7F62208D"/>
    <w:rsid w:val="7F641075"/>
    <w:rsid w:val="7FA62C5E"/>
    <w:rsid w:val="F7E6F216"/>
    <w:rsid w:val="F9FFF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next w:val="3"/>
    <w:qFormat/>
    <w:uiPriority w:val="99"/>
    <w:pPr>
      <w:widowControl w:val="0"/>
      <w:autoSpaceDE w:val="0"/>
      <w:autoSpaceDN w:val="0"/>
      <w:adjustRightInd w:val="0"/>
      <w:ind w:left="115"/>
    </w:pPr>
    <w:rPr>
      <w:rFonts w:ascii="仿宋_GB2312" w:hAnsi="Times New Roman" w:eastAsia="仿宋_GB2312" w:cs="仿宋_GB2312"/>
      <w:sz w:val="28"/>
      <w:szCs w:val="28"/>
      <w:lang w:val="en-US" w:eastAsia="zh-CN" w:bidi="ar-SA"/>
    </w:rPr>
  </w:style>
  <w:style w:type="paragraph" w:styleId="3">
    <w:name w:val="toc 5"/>
    <w:next w:val="1"/>
    <w:unhideWhenUsed/>
    <w:qFormat/>
    <w:uiPriority w:val="39"/>
    <w:pPr>
      <w:widowControl w:val="0"/>
      <w:spacing w:line="600" w:lineRule="exact"/>
      <w:ind w:left="800" w:leftChars="800" w:firstLine="576" w:firstLineChars="200"/>
      <w:jc w:val="both"/>
    </w:pPr>
    <w:rPr>
      <w:rFonts w:ascii="Times New Roman" w:hAnsi="Times New Roman" w:eastAsia="方正仿宋_GBK" w:cs="Times New Roman"/>
      <w:kern w:val="2"/>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3241</Words>
  <Characters>3314</Characters>
  <Lines>24</Lines>
  <Paragraphs>6</Paragraphs>
  <TotalTime>0</TotalTime>
  <ScaleCrop>false</ScaleCrop>
  <LinksUpToDate>false</LinksUpToDate>
  <CharactersWithSpaces>3377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2024-01-23T10:06:00Z</dcterms:created>
  <dc:creator>Liu</dc:creator>
  <cp:lastModifiedBy>温星星</cp:lastModifiedBy>
  <cp:lastPrinted>2024-01-25T09:02:00Z</cp:lastPrinted>
  <dcterms:modified xsi:type="dcterms:W3CDTF">2024-12-25T06:38:34Z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B7537D24D4004ED2ACEB768162F879A8_13</vt:lpwstr>
  </property>
  <property fmtid="{D5CDD505-2E9C-101B-9397-08002B2CF9AE}" pid="4" name="KSOTemplateDocerSaveRecord">
    <vt:lpwstr>eyJoZGlkIjoiZDRlMTI0ZmZkNWVkNDk2ZTg4NWYwOTQyMjQxMmY4NGEiLCJ1c2VySWQiOiIxMzIzODcwMDMzIn0=</vt:lpwstr>
  </property>
</Properties>
</file>