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72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关于2023年社坛镇池塘标准化改造项目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社坛</w:t>
      </w:r>
      <w:r>
        <w:rPr>
          <w:rFonts w:hint="eastAsia" w:eastAsia="方正仿宋_GBK"/>
          <w:sz w:val="32"/>
          <w:lang w:eastAsia="zh-CN"/>
        </w:rPr>
        <w:t>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sz w:val="32"/>
          <w:lang w:val="en-US"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报送的《关于申请2023年社坛镇池塘标准化改造项目实施方案批复的函》（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社坛府函〔2023〕39号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16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</w:rPr>
        <w:t>2023年社坛镇池塘标准化改造项目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val="en-US" w:eastAsia="zh-CN"/>
        </w:rPr>
        <w:t>社坛</w:t>
      </w:r>
      <w:r>
        <w:rPr>
          <w:rFonts w:hint="eastAsia" w:eastAsia="方正仿宋_GBK"/>
          <w:sz w:val="32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社坛镇龙门村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整治生态池塘1口。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1.塘内清淤4000m³；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2.新建1米高C20砼挡墙和0.8米宽堤顶道路96米，3米高C20砼挡墙和0.8米宽堤顶道路65米，10cm厚C20 砼面板、厚砂砾料、两布一膜（300g/㎡+0.5mm+300g/㎡）、C20砼镇脚和0.8米宽堤顶道路103米；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3.增设视频监控系统（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2台球机摄像、6台枪机摄像头、硬盘录像机1台、2200m电源线RVV2X1.5、1台55寸液晶监视器、1个UPS、1台交换机、8个无线网桥），水</w:t>
      </w: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质自动监测系统（1台PH/ORP监测仪、1个PH电极、1个深入式安装支架），养殖水域环境监测系统（1套远程水域监测、8台浮标式水质检测仪），增氧控制系统（8台鱼塘全自动增氧控制器、8m水泵线/氧电极线），精准投饲系统（8台风动式自动投饲机、1套投饲管理系统），远程智能控制系统（1套远程智能控制服务器、1套远程智能控制软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</w:t>
      </w:r>
      <w:r>
        <w:rPr>
          <w:rFonts w:hint="eastAsia" w:eastAsia="方正仿宋_GBK"/>
          <w:color w:val="auto"/>
          <w:kern w:val="0"/>
          <w:sz w:val="32"/>
          <w:szCs w:val="32"/>
        </w:rPr>
        <w:t>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49.47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2023年涉农统筹整合资金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按相关规定完善用地手续，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/>
          <w:w w:val="95"/>
          <w:kern w:val="0"/>
          <w:sz w:val="32"/>
          <w:szCs w:val="32"/>
          <w:lang w:val="en" w:eastAsia="zh-CN"/>
        </w:rPr>
      </w:pPr>
      <w:r>
        <w:rPr>
          <w:rFonts w:hint="default" w:eastAsia="方正仿宋_GBK"/>
          <w:w w:val="95"/>
          <w:kern w:val="0"/>
          <w:sz w:val="32"/>
          <w:szCs w:val="32"/>
          <w:lang w:val="en"/>
        </w:rPr>
        <w:t>(</w:t>
      </w:r>
      <w:r>
        <w:rPr>
          <w:rFonts w:hint="eastAsia" w:eastAsia="方正仿宋_GBK"/>
          <w:w w:val="95"/>
          <w:kern w:val="0"/>
          <w:sz w:val="32"/>
          <w:szCs w:val="32"/>
          <w:lang w:val="en" w:eastAsia="zh-CN"/>
        </w:rPr>
        <w:t>此件公开发布）</w:t>
      </w:r>
    </w:p>
    <w:p>
      <w:pPr>
        <w:pStyle w:val="2"/>
        <w:rPr>
          <w:rFonts w:hint="eastAsia" w:eastAsia="方正仿宋_GBK"/>
          <w:w w:val="95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905AC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2611A3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3C42D1"/>
    <w:rsid w:val="3B4C7F5B"/>
    <w:rsid w:val="3BE25EB0"/>
    <w:rsid w:val="3C7F6576"/>
    <w:rsid w:val="3D2A4758"/>
    <w:rsid w:val="3D494A4E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520370A"/>
    <w:rsid w:val="45EB1610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5453E2"/>
    <w:rsid w:val="6EB621C7"/>
    <w:rsid w:val="6EB80790"/>
    <w:rsid w:val="6EFF6CF3"/>
    <w:rsid w:val="6F047809"/>
    <w:rsid w:val="6FFB0FF5"/>
    <w:rsid w:val="703C015F"/>
    <w:rsid w:val="709E0C7C"/>
    <w:rsid w:val="7151624D"/>
    <w:rsid w:val="71800204"/>
    <w:rsid w:val="718674A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D80D20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BE58FD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757</Words>
  <Characters>858</Characters>
  <Lines>0</Lines>
  <Paragraphs>0</Paragraphs>
  <TotalTime>2</TotalTime>
  <ScaleCrop>false</ScaleCrop>
  <LinksUpToDate>false</LinksUpToDate>
  <CharactersWithSpaces>890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2023-04-13T18:19:00Z</cp:lastPrinted>
  <dcterms:modified xsi:type="dcterms:W3CDTF">2023-12-22T15:05:25Z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AD3ABF57AD544D128BC35294BF0D9B86_13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