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E3209">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丰都县老龄工作事务中心（本级）</w:t>
      </w:r>
    </w:p>
    <w:p w14:paraId="1CA82FA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778698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bookmarkStart w:id="0" w:name="_GoBack"/>
      <w:bookmarkEnd w:id="0"/>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522AE51">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（一）职能职责</w:t>
      </w:r>
    </w:p>
    <w:p w14:paraId="2A9E0169">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宣传贯彻党和国家保障老年人合法权益的法律法规和方针政策，</w:t>
      </w:r>
      <w:r>
        <w:rPr>
          <w:rFonts w:hint="default" w:ascii="Times New Roman" w:hAnsi="Times New Roman" w:eastAsia="方正仿宋_GBK" w:cs="Times New Roman"/>
          <w:i w:val="0"/>
          <w:iCs w:val="0"/>
          <w:caps w:val="0"/>
          <w:color w:val="000000"/>
          <w:spacing w:val="0"/>
          <w:sz w:val="32"/>
          <w:szCs w:val="32"/>
        </w:rPr>
        <w:t>协</w:t>
      </w:r>
      <w:r>
        <w:rPr>
          <w:rFonts w:hint="default" w:ascii="Times New Roman" w:hAnsi="Times New Roman" w:eastAsia="方正仿宋_GBK" w:cs="Times New Roman"/>
          <w:i w:val="0"/>
          <w:iCs w:val="0"/>
          <w:caps w:val="0"/>
          <w:color w:val="000000"/>
          <w:spacing w:val="0"/>
          <w:sz w:val="32"/>
          <w:szCs w:val="32"/>
          <w:lang w:val="en-US" w:eastAsia="zh-CN"/>
        </w:rPr>
        <w:t>助有关部门开展</w:t>
      </w:r>
      <w:r>
        <w:rPr>
          <w:rFonts w:hint="default" w:ascii="Times New Roman" w:hAnsi="Times New Roman" w:eastAsia="方正仿宋_GBK" w:cs="Times New Roman"/>
          <w:i w:val="0"/>
          <w:iCs w:val="0"/>
          <w:caps w:val="0"/>
          <w:color w:val="000000"/>
          <w:spacing w:val="0"/>
          <w:sz w:val="32"/>
          <w:szCs w:val="32"/>
        </w:rPr>
        <w:t>老年人权益保障工作</w:t>
      </w:r>
      <w:r>
        <w:rPr>
          <w:rFonts w:hint="default" w:ascii="Times New Roman" w:hAnsi="Times New Roman" w:eastAsia="方正仿宋_GBK" w:cs="Times New Roman"/>
          <w:color w:val="000000"/>
          <w:sz w:val="32"/>
          <w:szCs w:val="32"/>
        </w:rPr>
        <w:t>。</w:t>
      </w:r>
    </w:p>
    <w:p w14:paraId="644AE6AC">
      <w:pPr>
        <w:keepNext w:val="0"/>
        <w:keepLines w:val="0"/>
        <w:pageBreakBefore w:val="0"/>
        <w:widowControl w:val="0"/>
        <w:kinsoku/>
        <w:wordWrap/>
        <w:overflowPunct/>
        <w:topLinePunct w:val="0"/>
        <w:bidi w:val="0"/>
        <w:adjustRightInd/>
        <w:snapToGrid/>
        <w:spacing w:line="61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协助有关部门拟订和</w:t>
      </w:r>
      <w:r>
        <w:rPr>
          <w:rFonts w:hint="default" w:ascii="Times New Roman" w:hAnsi="Times New Roman" w:eastAsia="方正仿宋_GBK" w:cs="Times New Roman"/>
          <w:color w:val="000000"/>
          <w:sz w:val="32"/>
          <w:szCs w:val="32"/>
          <w:lang w:val="en-US" w:eastAsia="zh-CN"/>
        </w:rPr>
        <w:t>落实</w:t>
      </w:r>
      <w:r>
        <w:rPr>
          <w:rFonts w:hint="default" w:ascii="Times New Roman" w:hAnsi="Times New Roman" w:eastAsia="方正仿宋_GBK" w:cs="Times New Roman"/>
          <w:color w:val="000000"/>
          <w:sz w:val="32"/>
          <w:szCs w:val="32"/>
        </w:rPr>
        <w:t>应对人口老龄化的政策措施</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老龄事业发展规划</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年度计划，协同推进“五个老有”目标建设。</w:t>
      </w:r>
    </w:p>
    <w:p w14:paraId="727B1600">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color w:val="000000"/>
          <w:sz w:val="32"/>
          <w:szCs w:val="32"/>
        </w:rPr>
        <w:t>3. 协</w:t>
      </w:r>
      <w:r>
        <w:rPr>
          <w:rFonts w:hint="default" w:ascii="Times New Roman" w:hAnsi="Times New Roman" w:eastAsia="方正仿宋_GBK" w:cs="Times New Roman"/>
          <w:color w:val="000000"/>
          <w:sz w:val="32"/>
          <w:szCs w:val="32"/>
          <w:lang w:val="en-US" w:eastAsia="zh-CN"/>
        </w:rPr>
        <w:t>助</w:t>
      </w:r>
      <w:r>
        <w:rPr>
          <w:rFonts w:hint="default" w:ascii="Times New Roman" w:hAnsi="Times New Roman" w:eastAsia="方正仿宋_GBK" w:cs="Times New Roman"/>
          <w:color w:val="000000"/>
          <w:sz w:val="32"/>
          <w:szCs w:val="32"/>
        </w:rPr>
        <w:t>有关部门</w:t>
      </w:r>
      <w:r>
        <w:rPr>
          <w:rFonts w:hint="default" w:ascii="Times New Roman" w:hAnsi="Times New Roman" w:eastAsia="方正仿宋_GBK" w:cs="Times New Roman"/>
          <w:color w:val="000000"/>
          <w:sz w:val="32"/>
          <w:szCs w:val="32"/>
          <w:lang w:val="en-US" w:eastAsia="zh-CN"/>
        </w:rPr>
        <w:t>完善</w:t>
      </w:r>
      <w:r>
        <w:rPr>
          <w:rFonts w:hint="default" w:ascii="Times New Roman" w:hAnsi="Times New Roman" w:eastAsia="方正仿宋_GBK" w:cs="Times New Roman"/>
          <w:color w:val="000000"/>
          <w:sz w:val="32"/>
          <w:szCs w:val="32"/>
        </w:rPr>
        <w:t>和落实老年人</w:t>
      </w:r>
      <w:r>
        <w:rPr>
          <w:rFonts w:hint="default" w:ascii="Times New Roman" w:hAnsi="Times New Roman" w:eastAsia="方正仿宋_GBK" w:cs="Times New Roman"/>
          <w:color w:val="000000"/>
          <w:sz w:val="32"/>
          <w:szCs w:val="32"/>
          <w:lang w:val="en-US" w:eastAsia="zh-CN"/>
        </w:rPr>
        <w:t>社会</w:t>
      </w:r>
      <w:r>
        <w:rPr>
          <w:rFonts w:hint="default" w:ascii="Times New Roman" w:hAnsi="Times New Roman" w:eastAsia="方正仿宋_GBK" w:cs="Times New Roman"/>
          <w:color w:val="000000"/>
          <w:sz w:val="32"/>
          <w:szCs w:val="32"/>
        </w:rPr>
        <w:t>优待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i w:val="0"/>
          <w:iCs w:val="0"/>
          <w:caps w:val="0"/>
          <w:color w:val="000000"/>
          <w:spacing w:val="0"/>
          <w:sz w:val="32"/>
          <w:szCs w:val="32"/>
        </w:rPr>
        <w:t>宜居环境、社会参与等政策</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i w:val="0"/>
          <w:iCs w:val="0"/>
          <w:caps w:val="0"/>
          <w:color w:val="000000"/>
          <w:spacing w:val="0"/>
          <w:sz w:val="32"/>
          <w:szCs w:val="32"/>
          <w:lang w:val="en-US" w:eastAsia="zh-CN"/>
        </w:rPr>
        <w:t>让老年人共享改革发展成果、安享幸福晚年。</w:t>
      </w:r>
    </w:p>
    <w:p w14:paraId="494A18ED">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lang w:val="en-US" w:eastAsia="zh-CN"/>
        </w:rPr>
      </w:pPr>
      <w:r>
        <w:rPr>
          <w:rFonts w:hint="default" w:ascii="Times New Roman" w:hAnsi="Times New Roman" w:eastAsia="方正仿宋_GBK" w:cs="Times New Roman"/>
          <w:i w:val="0"/>
          <w:iCs w:val="0"/>
          <w:caps w:val="0"/>
          <w:color w:val="000000"/>
          <w:spacing w:val="0"/>
          <w:sz w:val="32"/>
          <w:szCs w:val="32"/>
          <w:lang w:val="en-US" w:eastAsia="zh-CN"/>
        </w:rPr>
        <w:t xml:space="preserve">4. </w:t>
      </w:r>
      <w:r>
        <w:rPr>
          <w:rFonts w:hint="default" w:ascii="Times New Roman" w:hAnsi="Times New Roman" w:eastAsia="方正仿宋_GBK" w:cs="Times New Roman"/>
          <w:i w:val="0"/>
          <w:iCs w:val="0"/>
          <w:caps w:val="0"/>
          <w:color w:val="000000"/>
          <w:spacing w:val="0"/>
          <w:sz w:val="32"/>
          <w:szCs w:val="32"/>
        </w:rPr>
        <w:t>开展人口老龄化国情宣传教育，</w:t>
      </w:r>
      <w:r>
        <w:rPr>
          <w:rFonts w:hint="default" w:ascii="Times New Roman" w:hAnsi="Times New Roman" w:eastAsia="方正仿宋_GBK" w:cs="Times New Roman"/>
          <w:i w:val="0"/>
          <w:iCs w:val="0"/>
          <w:caps w:val="0"/>
          <w:color w:val="000000"/>
          <w:spacing w:val="0"/>
          <w:sz w:val="32"/>
          <w:szCs w:val="32"/>
          <w:lang w:val="en-US" w:eastAsia="zh-CN"/>
        </w:rPr>
        <w:t>树立尊重、关心、帮助老年人的社会风尚，增强全社会积极应对人口老龄化意识。</w:t>
      </w:r>
    </w:p>
    <w:p w14:paraId="50695342">
      <w:pPr>
        <w:keepNext w:val="0"/>
        <w:keepLines w:val="0"/>
        <w:pageBreakBefore w:val="0"/>
        <w:widowControl w:val="0"/>
        <w:kinsoku/>
        <w:wordWrap/>
        <w:overflowPunct/>
        <w:topLinePunct w:val="0"/>
        <w:bidi w:val="0"/>
        <w:adjustRightInd/>
        <w:snapToGrid/>
        <w:spacing w:line="61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val="en-US" w:eastAsia="zh-CN"/>
        </w:rPr>
        <w:t xml:space="preserve"> 开展</w:t>
      </w:r>
      <w:r>
        <w:rPr>
          <w:rFonts w:hint="default" w:ascii="Times New Roman" w:hAnsi="Times New Roman" w:eastAsia="方正仿宋_GBK" w:cs="Times New Roman"/>
          <w:i w:val="0"/>
          <w:iCs w:val="0"/>
          <w:caps w:val="0"/>
          <w:color w:val="000000"/>
          <w:spacing w:val="0"/>
          <w:sz w:val="32"/>
          <w:szCs w:val="32"/>
        </w:rPr>
        <w:t>老年人口状况、老龄事业发展的统计调查工作</w:t>
      </w:r>
      <w:r>
        <w:rPr>
          <w:rFonts w:hint="default" w:ascii="Times New Roman" w:hAnsi="Times New Roman" w:eastAsia="方正仿宋_GBK" w:cs="Times New Roman"/>
          <w:i w:val="0"/>
          <w:iCs w:val="0"/>
          <w:caps w:val="0"/>
          <w:color w:val="000000"/>
          <w:spacing w:val="0"/>
          <w:sz w:val="32"/>
          <w:szCs w:val="32"/>
          <w:lang w:eastAsia="zh-CN"/>
        </w:rPr>
        <w:t>，</w:t>
      </w:r>
      <w:r>
        <w:rPr>
          <w:rFonts w:hint="default" w:ascii="Times New Roman" w:hAnsi="Times New Roman" w:eastAsia="方正仿宋_GBK" w:cs="Times New Roman"/>
          <w:color w:val="000000"/>
          <w:sz w:val="32"/>
          <w:szCs w:val="32"/>
        </w:rPr>
        <w:t>为</w:t>
      </w:r>
      <w:r>
        <w:rPr>
          <w:rFonts w:hint="default"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rPr>
        <w:t>委</w:t>
      </w:r>
      <w:r>
        <w:rPr>
          <w:rFonts w:hint="default" w:ascii="Times New Roman" w:hAnsi="Times New Roman" w:eastAsia="方正仿宋_GBK" w:cs="Times New Roman"/>
          <w:color w:val="000000"/>
          <w:sz w:val="32"/>
          <w:szCs w:val="32"/>
          <w:lang w:val="en-US" w:eastAsia="zh-CN"/>
        </w:rPr>
        <w:t>县</w:t>
      </w:r>
      <w:r>
        <w:rPr>
          <w:rFonts w:hint="default" w:ascii="Times New Roman" w:hAnsi="Times New Roman" w:eastAsia="方正仿宋_GBK" w:cs="Times New Roman"/>
          <w:color w:val="000000"/>
          <w:sz w:val="32"/>
          <w:szCs w:val="32"/>
        </w:rPr>
        <w:t>政府和上级部门决策老龄工作当好参谋。</w:t>
      </w:r>
    </w:p>
    <w:p w14:paraId="3CB9F763">
      <w:pPr>
        <w:keepNext w:val="0"/>
        <w:keepLines w:val="0"/>
        <w:pageBreakBefore w:val="0"/>
        <w:widowControl w:val="0"/>
        <w:kinsoku/>
        <w:wordWrap/>
        <w:overflowPunct/>
        <w:topLinePunct w:val="0"/>
        <w:bidi w:val="0"/>
        <w:adjustRightInd/>
        <w:snapToGrid/>
        <w:spacing w:line="610" w:lineRule="exact"/>
        <w:ind w:firstLine="64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协助有关部门处理老年人在生活、医疗、居住</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护理等方面的实际困难和来信来访事宜</w:t>
      </w:r>
      <w:r>
        <w:rPr>
          <w:rFonts w:hint="default" w:ascii="Times New Roman" w:hAnsi="Times New Roman" w:eastAsia="方正仿宋_GBK" w:cs="Times New Roman"/>
          <w:color w:val="000000"/>
          <w:sz w:val="32"/>
          <w:szCs w:val="32"/>
          <w:lang w:eastAsia="zh-CN"/>
        </w:rPr>
        <w:t>。</w:t>
      </w:r>
    </w:p>
    <w:p w14:paraId="187856B8">
      <w:pPr>
        <w:keepNext w:val="0"/>
        <w:keepLines w:val="0"/>
        <w:pageBreakBefore w:val="0"/>
        <w:widowControl w:val="0"/>
        <w:kinsoku/>
        <w:wordWrap/>
        <w:overflowPunct/>
        <w:topLinePunct w:val="0"/>
        <w:bidi w:val="0"/>
        <w:adjustRightInd/>
        <w:snapToGrid/>
        <w:spacing w:line="610" w:lineRule="exact"/>
        <w:ind w:firstLine="640"/>
        <w:textAlignment w:val="auto"/>
        <w:rPr>
          <w:rFonts w:hint="eastAsia"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color w:val="000000"/>
          <w:sz w:val="32"/>
          <w:szCs w:val="32"/>
          <w:lang w:val="en-US" w:eastAsia="zh-CN"/>
        </w:rPr>
        <w:t xml:space="preserve">7. </w:t>
      </w:r>
      <w:r>
        <w:rPr>
          <w:rFonts w:hint="default" w:ascii="Times New Roman" w:hAnsi="Times New Roman" w:eastAsia="方正仿宋_GBK" w:cs="Times New Roman"/>
          <w:color w:val="000000"/>
          <w:sz w:val="32"/>
          <w:szCs w:val="32"/>
        </w:rPr>
        <w:t>完成县委、县政府和县</w:t>
      </w:r>
      <w:r>
        <w:rPr>
          <w:rFonts w:hint="default" w:ascii="Times New Roman" w:hAnsi="Times New Roman" w:eastAsia="方正仿宋_GBK" w:cs="Times New Roman"/>
          <w:color w:val="000000"/>
          <w:sz w:val="32"/>
          <w:szCs w:val="32"/>
          <w:lang w:val="en-US" w:eastAsia="zh-CN"/>
        </w:rPr>
        <w:t>民政局</w:t>
      </w:r>
      <w:r>
        <w:rPr>
          <w:rFonts w:hint="default" w:ascii="Times New Roman" w:hAnsi="Times New Roman" w:eastAsia="方正仿宋_GBK" w:cs="Times New Roman"/>
          <w:color w:val="000000"/>
          <w:sz w:val="32"/>
          <w:szCs w:val="32"/>
        </w:rPr>
        <w:t>交办的其他工作任务。</w:t>
      </w:r>
      <w:r>
        <w:rPr>
          <w:rFonts w:hint="eastAsia" w:ascii="Times New Roman" w:hAnsi="Times New Roman" w:eastAsia="方正仿宋_GBK" w:cs="Times New Roman"/>
          <w:b/>
          <w:bCs/>
          <w:sz w:val="32"/>
          <w:szCs w:val="32"/>
          <w:lang w:val="en-US" w:eastAsia="zh-CN"/>
        </w:rPr>
        <w:t xml:space="preserve">     </w:t>
      </w:r>
    </w:p>
    <w:p w14:paraId="6380DB16">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（二）机构设置</w:t>
      </w:r>
    </w:p>
    <w:p w14:paraId="62B4D26D">
      <w:pPr>
        <w:pStyle w:val="9"/>
        <w:shd w:val="clear" w:color="auto" w:fill="FFFFFF"/>
        <w:spacing w:before="0" w:beforeAutospacing="0" w:after="0" w:afterAutospacing="0" w:line="596" w:lineRule="exact"/>
        <w:ind w:firstLine="640" w:firstLineChars="200"/>
        <w:jc w:val="both"/>
        <w:rPr>
          <w:rFonts w:hint="eastAsia" w:ascii="Times New Roman" w:hAnsi="Times New Roman" w:eastAsia="方正仿宋_GBK" w:cs="宋体"/>
          <w:sz w:val="32"/>
          <w:szCs w:val="32"/>
        </w:rPr>
      </w:pPr>
      <w:r>
        <w:rPr>
          <w:rFonts w:hint="default" w:ascii="Times New Roman" w:hAnsi="Times New Roman" w:eastAsia="方正仿宋_GBK" w:cs="宋体"/>
          <w:sz w:val="32"/>
          <w:szCs w:val="32"/>
          <w:lang w:val="zh-CN"/>
        </w:rPr>
        <w:t>丰都县老龄工作</w:t>
      </w:r>
      <w:r>
        <w:rPr>
          <w:rFonts w:hint="default" w:ascii="Times New Roman" w:hAnsi="Times New Roman" w:eastAsia="方正仿宋_GBK" w:cs="宋体"/>
          <w:sz w:val="32"/>
          <w:szCs w:val="32"/>
        </w:rPr>
        <w:t>事</w:t>
      </w:r>
      <w:r>
        <w:rPr>
          <w:rFonts w:hint="default" w:ascii="Times New Roman" w:hAnsi="Times New Roman" w:eastAsia="方正仿宋_GBK" w:cs="宋体"/>
          <w:sz w:val="32"/>
          <w:szCs w:val="32"/>
          <w:lang w:val="zh-CN"/>
        </w:rPr>
        <w:t>务中心</w:t>
      </w:r>
      <w:r>
        <w:rPr>
          <w:rFonts w:hint="default" w:ascii="Times New Roman" w:hAnsi="Times New Roman" w:eastAsia="方正仿宋_GBK" w:cs="宋体"/>
          <w:sz w:val="32"/>
          <w:szCs w:val="32"/>
        </w:rPr>
        <w:t>为丰都</w:t>
      </w:r>
      <w:r>
        <w:rPr>
          <w:rFonts w:hint="default" w:ascii="Times New Roman" w:hAnsi="Times New Roman" w:eastAsia="方正仿宋_GBK" w:cs="宋体"/>
          <w:sz w:val="32"/>
          <w:szCs w:val="32"/>
          <w:lang w:val="zh-CN"/>
        </w:rPr>
        <w:t>县</w:t>
      </w:r>
      <w:r>
        <w:rPr>
          <w:rFonts w:hint="default" w:ascii="Times New Roman" w:hAnsi="Times New Roman" w:eastAsia="方正仿宋_GBK" w:cs="宋体"/>
          <w:sz w:val="32"/>
          <w:szCs w:val="32"/>
        </w:rPr>
        <w:t>民政局</w:t>
      </w:r>
      <w:r>
        <w:rPr>
          <w:rFonts w:hint="default" w:ascii="Times New Roman" w:hAnsi="Times New Roman" w:eastAsia="方正仿宋_GBK" w:cs="宋体"/>
          <w:sz w:val="32"/>
          <w:szCs w:val="32"/>
          <w:lang w:val="zh-CN"/>
        </w:rPr>
        <w:t>所属的正科</w:t>
      </w:r>
      <w:r>
        <w:rPr>
          <w:rFonts w:hint="default" w:ascii="Times New Roman" w:hAnsi="Times New Roman" w:eastAsia="方正仿宋_GBK" w:cs="宋体"/>
          <w:sz w:val="32"/>
          <w:szCs w:val="32"/>
        </w:rPr>
        <w:t>级财政全额拨款公益</w:t>
      </w:r>
      <w:r>
        <w:rPr>
          <w:rFonts w:hint="default" w:ascii="Times New Roman" w:hAnsi="Times New Roman" w:eastAsia="方正仿宋_GBK" w:cs="宋体"/>
          <w:sz w:val="32"/>
          <w:szCs w:val="32"/>
          <w:lang w:val="zh-CN"/>
        </w:rPr>
        <w:t>一</w:t>
      </w:r>
      <w:r>
        <w:rPr>
          <w:rFonts w:hint="default" w:ascii="Times New Roman" w:hAnsi="Times New Roman" w:eastAsia="方正仿宋_GBK" w:cs="宋体"/>
          <w:sz w:val="32"/>
          <w:szCs w:val="32"/>
        </w:rPr>
        <w:t>类事业</w:t>
      </w:r>
      <w:r>
        <w:rPr>
          <w:rFonts w:hint="eastAsia" w:ascii="Times New Roman" w:hAnsi="Times New Roman" w:eastAsia="方正仿宋_GBK" w:cs="宋体"/>
          <w:sz w:val="32"/>
          <w:szCs w:val="32"/>
          <w:lang w:eastAsia="zh-CN"/>
        </w:rPr>
        <w:t>单位</w:t>
      </w:r>
      <w:r>
        <w:rPr>
          <w:rFonts w:ascii="Times New Roman" w:hAnsi="Times New Roman" w:eastAsia="方正仿宋_GBK" w:cs="宋体"/>
          <w:sz w:val="32"/>
          <w:szCs w:val="32"/>
        </w:rPr>
        <w:t>，</w:t>
      </w:r>
      <w:r>
        <w:rPr>
          <w:rFonts w:hint="default" w:ascii="Times New Roman" w:hAnsi="Times New Roman" w:eastAsia="方正仿宋_GBK" w:cs="宋体"/>
          <w:sz w:val="32"/>
          <w:szCs w:val="32"/>
        </w:rPr>
        <w:t>设</w:t>
      </w:r>
      <w:r>
        <w:rPr>
          <w:rFonts w:hint="default" w:ascii="Times New Roman" w:hAnsi="Times New Roman" w:eastAsia="方正仿宋_GBK" w:cs="宋体"/>
          <w:sz w:val="32"/>
          <w:szCs w:val="32"/>
          <w:lang w:val="en-US" w:eastAsia="zh-CN"/>
        </w:rPr>
        <w:t>3个内设机构，核定全额事业编制8名。</w:t>
      </w:r>
    </w:p>
    <w:p w14:paraId="2F35215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51ECE0F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（一）收入支出决算总体情况说明</w:t>
      </w:r>
    </w:p>
    <w:p w14:paraId="0362B2DE">
      <w:pPr>
        <w:pStyle w:val="9"/>
        <w:shd w:val="clear" w:color="auto" w:fill="FFFFFF"/>
        <w:spacing w:before="0" w:beforeAutospacing="0" w:after="0" w:afterAutospacing="0" w:line="596"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2024年度收</w:t>
      </w:r>
      <w:r>
        <w:rPr>
          <w:rFonts w:hint="eastAsia" w:ascii="Times New Roman" w:hAnsi="Times New Roman" w:eastAsia="方正仿宋_GBK"/>
          <w:sz w:val="32"/>
          <w:szCs w:val="32"/>
        </w:rPr>
        <w:t>、支</w:t>
      </w:r>
      <w:r>
        <w:rPr>
          <w:rFonts w:ascii="Times New Roman" w:hAnsi="Times New Roman" w:eastAsia="方正仿宋_GBK"/>
          <w:sz w:val="32"/>
          <w:szCs w:val="32"/>
        </w:rPr>
        <w:t>总计</w:t>
      </w:r>
      <w:r>
        <w:rPr>
          <w:rFonts w:hint="eastAsia" w:ascii="Times New Roman" w:hAnsi="Times New Roman" w:eastAsia="方正仿宋_GBK"/>
          <w:sz w:val="32"/>
          <w:szCs w:val="32"/>
        </w:rPr>
        <w:t>均为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万元，收</w:t>
      </w:r>
      <w:r>
        <w:rPr>
          <w:rFonts w:hint="eastAsia" w:ascii="Times New Roman" w:hAnsi="Times New Roman" w:eastAsia="方正仿宋_GBK"/>
          <w:sz w:val="32"/>
          <w:szCs w:val="32"/>
        </w:rPr>
        <w:t>、</w:t>
      </w:r>
      <w:r>
        <w:rPr>
          <w:rFonts w:ascii="Times New Roman" w:hAnsi="Times New Roman" w:eastAsia="方正仿宋_GBK"/>
          <w:sz w:val="32"/>
          <w:szCs w:val="32"/>
        </w:rPr>
        <w:t>支</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w:t>
      </w:r>
      <w:r>
        <w:rPr>
          <w:rFonts w:hint="eastAsia" w:ascii="Times New Roman" w:hAnsi="Times New Roman" w:eastAsia="方正仿宋_GBK"/>
          <w:sz w:val="32"/>
          <w:szCs w:val="32"/>
          <w:shd w:val="clear" w:color="auto" w:fill="FFFFFF"/>
          <w:lang w:val="en-US" w:eastAsia="zh-CN"/>
        </w:rPr>
        <w:t>2024年1月</w:t>
      </w:r>
      <w:r>
        <w:rPr>
          <w:rFonts w:hint="eastAsia" w:ascii="Times New Roman" w:hAnsi="Times New Roman" w:eastAsia="方正仿宋_GBK"/>
          <w:sz w:val="32"/>
          <w:szCs w:val="32"/>
          <w:shd w:val="clear" w:color="auto" w:fill="FFFFFF"/>
          <w:lang w:eastAsia="zh-CN"/>
        </w:rPr>
        <w:t>减少1名，</w:t>
      </w:r>
      <w:r>
        <w:rPr>
          <w:rFonts w:hint="eastAsia" w:ascii="Times New Roman" w:hAnsi="Times New Roman" w:eastAsia="方正仿宋_GBK"/>
          <w:sz w:val="32"/>
          <w:szCs w:val="32"/>
          <w:shd w:val="clear" w:color="auto" w:fill="FFFFFF"/>
          <w:lang w:val="en-US" w:eastAsia="zh-CN"/>
        </w:rPr>
        <w:t>2024年6月</w:t>
      </w:r>
      <w:r>
        <w:rPr>
          <w:rFonts w:hint="eastAsia" w:ascii="Times New Roman" w:hAnsi="Times New Roman" w:eastAsia="方正仿宋_GBK"/>
          <w:sz w:val="32"/>
          <w:szCs w:val="32"/>
          <w:shd w:val="clear" w:color="auto" w:fill="FFFFFF"/>
          <w:lang w:eastAsia="zh-CN"/>
        </w:rPr>
        <w:t>新增2名；二是工资调标；三是2024年没有死亡抚恤金及丧葬费项目。</w:t>
      </w:r>
    </w:p>
    <w:p w14:paraId="7BD50EDB">
      <w:pPr>
        <w:pStyle w:val="9"/>
        <w:shd w:val="clear" w:color="auto" w:fill="FFFFFF"/>
        <w:spacing w:before="0" w:beforeAutospacing="0" w:after="0" w:afterAutospacing="0" w:line="596"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w:t>
      </w:r>
      <w:r>
        <w:rPr>
          <w:rFonts w:ascii="Times New Roman" w:hAnsi="Times New Roman" w:eastAsia="方正仿宋_GBK"/>
          <w:sz w:val="32"/>
          <w:szCs w:val="32"/>
        </w:rPr>
        <w:t>收入情况。2024年度收入合计</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其中：财政拨款收入</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100.0</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此外，使用非财政拨款结余</w:t>
      </w:r>
      <w:r>
        <w:rPr>
          <w:rFonts w:hint="eastAsia" w:ascii="Times New Roman" w:hAnsi="Times New Roman" w:eastAsia="方正仿宋_GBK"/>
          <w:sz w:val="32"/>
          <w:szCs w:val="32"/>
        </w:rPr>
        <w:t>（含专用结余）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万元，年初结转和结余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3C69117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支出情况。2024年度支出合计</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其中：基本支出</w:t>
      </w:r>
      <w:r>
        <w:rPr>
          <w:rFonts w:hint="default" w:ascii="Times New Roman" w:hAnsi="Times New Roman" w:eastAsia="方正仿宋_GBK"/>
          <w:sz w:val="32"/>
          <w:szCs w:val="32"/>
          <w:shd w:val="clear" w:color="auto" w:fill="FFFFFF"/>
        </w:rPr>
        <w:t>197.60</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94.7</w:t>
      </w:r>
      <w:r>
        <w:rPr>
          <w:rFonts w:ascii="Times New Roman" w:hAnsi="Times New Roman" w:eastAsia="方正仿宋_GBK"/>
          <w:sz w:val="32"/>
          <w:szCs w:val="32"/>
        </w:rPr>
        <w:t>%；项目支出</w:t>
      </w:r>
      <w:r>
        <w:rPr>
          <w:rFonts w:hint="default" w:ascii="Times New Roman" w:hAnsi="Times New Roman" w:eastAsia="方正仿宋_GBK"/>
          <w:sz w:val="32"/>
          <w:szCs w:val="32"/>
          <w:shd w:val="clear" w:color="auto" w:fill="FFFFFF"/>
        </w:rPr>
        <w:t>11.08</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5.3</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此外，结余分配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7C311B0D">
      <w:pPr>
        <w:spacing w:line="594" w:lineRule="exact"/>
        <w:ind w:firstLine="640" w:firstLineChars="200"/>
        <w:rPr>
          <w:rFonts w:hint="eastAsia" w:ascii="Times New Roman" w:hAnsi="Times New Roman" w:eastAsia="方正仿宋_GBK"/>
          <w:b/>
          <w:bCs/>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结转结余情况。2024年度年末结转和结余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上年决算数</w:t>
      </w:r>
      <w:r>
        <w:rPr>
          <w:rFonts w:hint="eastAsia" w:ascii="Times New Roman" w:hAnsi="Times New Roman" w:eastAsia="方正仿宋_GBK" w:cs="Times New Roman"/>
          <w:sz w:val="32"/>
          <w:szCs w:val="32"/>
        </w:rPr>
        <w:t>持平。</w:t>
      </w:r>
    </w:p>
    <w:p w14:paraId="4618328D">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p>
    <w:p w14:paraId="14764981">
      <w:pPr>
        <w:pStyle w:val="9"/>
        <w:snapToGrid w:val="0"/>
        <w:spacing w:before="0" w:beforeAutospacing="0" w:after="0" w:afterAutospacing="0" w:line="596"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2024年度财政拨款收、支总计</w:t>
      </w:r>
      <w:r>
        <w:rPr>
          <w:rFonts w:hint="eastAsia" w:ascii="Times New Roman" w:hAnsi="Times New Roman" w:eastAsia="方正仿宋_GBK"/>
          <w:sz w:val="32"/>
          <w:szCs w:val="32"/>
        </w:rPr>
        <w:t>均为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相比，财政拨款收、支总计各增加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 xml:space="preserve"> </w:t>
      </w:r>
    </w:p>
    <w:p w14:paraId="67FF9C4F">
      <w:pPr>
        <w:numPr>
          <w:ilvl w:val="0"/>
          <w:numId w:val="1"/>
        </w:num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一般公共预算财政拨款</w:t>
      </w:r>
      <w:r>
        <w:rPr>
          <w:rFonts w:hint="eastAsia" w:ascii="Times New Roman" w:hAnsi="Times New Roman" w:eastAsia="方正楷体_GBK"/>
          <w:sz w:val="32"/>
          <w:szCs w:val="32"/>
        </w:rPr>
        <w:t>收入</w:t>
      </w:r>
      <w:r>
        <w:rPr>
          <w:rFonts w:ascii="Times New Roman" w:hAnsi="Times New Roman" w:eastAsia="方正楷体_GBK"/>
          <w:sz w:val="32"/>
          <w:szCs w:val="32"/>
        </w:rPr>
        <w:t>支出决算情况说明</w:t>
      </w:r>
    </w:p>
    <w:p w14:paraId="426D27D0">
      <w:pPr>
        <w:numPr>
          <w:ilvl w:val="0"/>
          <w:numId w:val="0"/>
        </w:num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收入情况。2024年度一般公共预算财政拨款收入</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1.90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0.9</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rPr>
        <w:t>此外，年初财政拨款结转和结余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p>
    <w:p w14:paraId="7739F5AD">
      <w:pPr>
        <w:spacing w:line="594" w:lineRule="exact"/>
        <w:ind w:firstLine="640" w:firstLineChars="200"/>
        <w:rPr>
          <w:rFonts w:hint="eastAsia" w:ascii="Times New Roman" w:hAnsi="Times New Roman" w:eastAsia="方正仿宋_GBK"/>
          <w:bCs/>
          <w:sz w:val="32"/>
          <w:szCs w:val="32"/>
        </w:rPr>
      </w:pPr>
      <w:r>
        <w:rPr>
          <w:rFonts w:ascii="Times New Roman" w:hAnsi="Times New Roman" w:eastAsia="方正仿宋_GBK"/>
          <w:bCs/>
          <w:sz w:val="32"/>
          <w:szCs w:val="32"/>
        </w:rPr>
        <w:t>2</w:t>
      </w:r>
      <w:r>
        <w:rPr>
          <w:rFonts w:hint="eastAsia" w:ascii="Times New Roman" w:hAnsi="Times New Roman" w:eastAsia="方正仿宋_GBK"/>
          <w:bCs/>
          <w:sz w:val="32"/>
          <w:szCs w:val="32"/>
        </w:rPr>
        <w:t>．</w:t>
      </w:r>
      <w:r>
        <w:rPr>
          <w:rFonts w:ascii="Times New Roman" w:hAnsi="Times New Roman" w:eastAsia="方正仿宋_GBK"/>
          <w:bCs/>
          <w:sz w:val="32"/>
          <w:szCs w:val="32"/>
        </w:rPr>
        <w:t>支出情况。</w:t>
      </w:r>
      <w:r>
        <w:rPr>
          <w:rFonts w:ascii="Times New Roman" w:hAnsi="Times New Roman" w:eastAsia="方正仿宋_GBK"/>
          <w:sz w:val="32"/>
          <w:szCs w:val="32"/>
        </w:rPr>
        <w:t>2024年度一般公共预算财政拨款支出</w:t>
      </w:r>
      <w:r>
        <w:rPr>
          <w:rFonts w:hint="default" w:ascii="Times New Roman" w:hAnsi="Times New Roman" w:eastAsia="方正仿宋_GBK"/>
          <w:sz w:val="32"/>
          <w:szCs w:val="32"/>
          <w:shd w:val="clear" w:color="auto" w:fill="FFFFFF"/>
        </w:rPr>
        <w:t>208.68</w:t>
      </w:r>
      <w:r>
        <w:rPr>
          <w:rFonts w:ascii="Times New Roman" w:hAnsi="Times New Roman" w:eastAsia="方正仿宋_GBK"/>
          <w:sz w:val="32"/>
          <w:szCs w:val="32"/>
        </w:rPr>
        <w:t>万元，与20</w:t>
      </w:r>
      <w:r>
        <w:rPr>
          <w:rFonts w:hint="eastAsia" w:ascii="Times New Roman" w:hAnsi="Times New Roman" w:eastAsia="方正仿宋_GBK"/>
          <w:sz w:val="32"/>
          <w:szCs w:val="32"/>
        </w:rPr>
        <w:t>2</w:t>
      </w:r>
      <w:r>
        <w:rPr>
          <w:rFonts w:ascii="Times New Roman" w:hAnsi="Times New Roman" w:eastAsia="方正仿宋_GBK"/>
          <w:sz w:val="32"/>
          <w:szCs w:val="32"/>
        </w:rPr>
        <w:t>3年</w:t>
      </w:r>
      <w:r>
        <w:rPr>
          <w:rFonts w:hint="eastAsia" w:ascii="Times New Roman" w:hAnsi="Times New Roman" w:eastAsia="方正仿宋_GBK"/>
          <w:sz w:val="32"/>
          <w:szCs w:val="32"/>
        </w:rPr>
        <w:t>度</w:t>
      </w:r>
      <w:r>
        <w:rPr>
          <w:rFonts w:ascii="Times New Roman" w:hAnsi="Times New Roman" w:eastAsia="方正仿宋_GBK"/>
          <w:sz w:val="32"/>
          <w:szCs w:val="32"/>
        </w:rPr>
        <w:t>相比，增加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23.88</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10.3</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主要原因：一是中心人员2024年1月减少1名，2024年6月新增2名；二是工资调标；三是2024年没有死亡抚恤金及丧葬费项目。</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1.90</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0.9</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r>
        <w:rPr>
          <w:rFonts w:hint="default" w:ascii="Times New Roman" w:hAnsi="Times New Roman" w:eastAsia="方正仿宋_GBK"/>
          <w:sz w:val="32"/>
          <w:szCs w:val="32"/>
          <w:shd w:val="clear" w:color="auto" w:fill="FFFFFF"/>
        </w:rPr>
        <w:t>。</w:t>
      </w:r>
    </w:p>
    <w:p w14:paraId="37F66BA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rPr>
        <w:t>用途如下</w:t>
      </w:r>
      <w:r>
        <w:rPr>
          <w:rFonts w:ascii="Times New Roman" w:hAnsi="Times New Roman" w:eastAsia="方正仿宋_GBK"/>
          <w:sz w:val="32"/>
          <w:szCs w:val="32"/>
        </w:rPr>
        <w:t>：</w:t>
      </w:r>
    </w:p>
    <w:p w14:paraId="0AC9981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（1）一般公共服务支出</w:t>
      </w:r>
      <w:r>
        <w:rPr>
          <w:rFonts w:hint="default" w:ascii="Times New Roman" w:hAnsi="Times New Roman" w:eastAsia="方正仿宋_GBK"/>
          <w:sz w:val="32"/>
          <w:szCs w:val="32"/>
          <w:shd w:val="clear" w:color="auto" w:fill="FFFFFF"/>
        </w:rPr>
        <w:t>137.82</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66.0</w:t>
      </w:r>
      <w:r>
        <w:rPr>
          <w:rFonts w:ascii="Times New Roman" w:hAnsi="Times New Roman" w:eastAsia="方正仿宋_GBK"/>
          <w:sz w:val="32"/>
          <w:szCs w:val="32"/>
        </w:rPr>
        <w:t>%，较年初预算数增加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3.73</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2.6</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主要原因：一是中心人员2024年1月减少1名，2024年6月新增2名；二是工资调标；三是中心项目经费支出减少。</w:t>
      </w:r>
    </w:p>
    <w:p w14:paraId="1B12EF88">
      <w:pPr>
        <w:spacing w:line="594" w:lineRule="exact"/>
        <w:ind w:firstLine="640" w:firstLineChars="20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rPr>
        <w:t>（2）社会保障与就业支出</w:t>
      </w:r>
      <w:r>
        <w:rPr>
          <w:rFonts w:hint="default" w:ascii="Times New Roman" w:hAnsi="Times New Roman" w:eastAsia="方正仿宋_GBK"/>
          <w:sz w:val="32"/>
          <w:szCs w:val="32"/>
          <w:shd w:val="clear" w:color="auto" w:fill="FFFFFF"/>
        </w:rPr>
        <w:t>44.05</w:t>
      </w:r>
      <w:r>
        <w:rPr>
          <w:rFonts w:ascii="Times New Roman" w:hAnsi="Times New Roman" w:eastAsia="方正仿宋_GBK"/>
          <w:sz w:val="32"/>
          <w:szCs w:val="32"/>
        </w:rPr>
        <w:t>万元，占</w:t>
      </w:r>
      <w:r>
        <w:rPr>
          <w:rFonts w:hint="default" w:ascii="Times New Roman" w:hAnsi="Times New Roman" w:eastAsia="方正仿宋_GBK"/>
          <w:sz w:val="32"/>
          <w:szCs w:val="32"/>
          <w:shd w:val="clear" w:color="auto" w:fill="FFFFFF"/>
        </w:rPr>
        <w:t>21.1</w:t>
      </w:r>
      <w:r>
        <w:rPr>
          <w:rFonts w:ascii="Times New Roman" w:hAnsi="Times New Roman" w:eastAsia="方正仿宋_GBK"/>
          <w:sz w:val="32"/>
          <w:szCs w:val="32"/>
        </w:rPr>
        <w:t>%，较年初预算数增加</w:t>
      </w:r>
      <w:r>
        <w:rPr>
          <w:rFonts w:hint="default" w:ascii="Times New Roman" w:hAnsi="Times New Roman" w:eastAsia="方正仿宋_GBK"/>
          <w:sz w:val="32"/>
          <w:szCs w:val="32"/>
          <w:shd w:val="clear" w:color="auto" w:fill="FFFFFF"/>
        </w:rPr>
        <w:t>0.42</w:t>
      </w:r>
      <w:r>
        <w:rPr>
          <w:rFonts w:ascii="Times New Roman" w:hAnsi="Times New Roman" w:eastAsia="方正仿宋_GBK"/>
          <w:sz w:val="32"/>
          <w:szCs w:val="32"/>
        </w:rPr>
        <w:t>万元，增长</w:t>
      </w:r>
      <w:r>
        <w:rPr>
          <w:rFonts w:hint="default" w:ascii="Times New Roman" w:hAnsi="Times New Roman" w:eastAsia="方正仿宋_GBK"/>
          <w:sz w:val="32"/>
          <w:szCs w:val="32"/>
          <w:shd w:val="clear" w:color="auto" w:fill="FFFFFF"/>
        </w:rPr>
        <w:t>1.0</w:t>
      </w:r>
      <w:r>
        <w:rPr>
          <w:rFonts w:ascii="Times New Roman" w:hAnsi="Times New Roman" w:eastAsia="方正仿宋_GBK"/>
          <w:sz w:val="32"/>
          <w:szCs w:val="32"/>
        </w:rPr>
        <w:t>%，</w:t>
      </w:r>
      <w:r>
        <w:rPr>
          <w:rFonts w:hint="eastAsia" w:ascii="Times New Roman" w:hAnsi="Times New Roman" w:eastAsia="方正仿宋_GBK"/>
          <w:sz w:val="32"/>
          <w:szCs w:val="32"/>
          <w:shd w:val="clear" w:color="auto" w:fill="FFFFFF"/>
          <w:lang w:eastAsia="zh-CN"/>
        </w:rPr>
        <w:t>主要原因：一是中心人员2024年1月减少1名，2024年6月新增2名；二是工资调标后社保缴费基数调整。</w:t>
      </w:r>
    </w:p>
    <w:p w14:paraId="4F2CB0B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较年初预算数增加2.26万元，增长17.6%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新增项目</w:t>
      </w:r>
      <w:r>
        <w:rPr>
          <w:rFonts w:hint="eastAsia" w:ascii="方正楷体_GBK" w:hAnsi="方正楷体_GBK" w:eastAsia="方正楷体_GBK" w:cs="方正楷体_GBK"/>
          <w:i w:val="0"/>
          <w:iCs w:val="0"/>
          <w:caps w:val="0"/>
          <w:color w:val="333333"/>
          <w:spacing w:val="0"/>
          <w:kern w:val="2"/>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rPr>
        <w:t>社保专项转移支付老年健康宣传服务活动。</w:t>
      </w:r>
    </w:p>
    <w:p w14:paraId="0D8C6122">
      <w:pPr>
        <w:spacing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w:t>
      </w:r>
      <w:r>
        <w:rPr>
          <w:rFonts w:hint="eastAsia" w:ascii="Times New Roman" w:hAnsi="Times New Roman" w:eastAsia="方正仿宋_GBK"/>
          <w:sz w:val="32"/>
          <w:szCs w:val="32"/>
          <w:shd w:val="clear" w:color="auto" w:fill="FFFFFF"/>
          <w:lang w:eastAsia="zh-CN"/>
        </w:rPr>
        <w:t>增加</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0.87万元，</w:t>
      </w:r>
      <w:r>
        <w:rPr>
          <w:rFonts w:hint="eastAsia" w:ascii="Times New Roman" w:hAnsi="Times New Roman" w:eastAsia="方正仿宋_GBK"/>
          <w:sz w:val="32"/>
          <w:szCs w:val="32"/>
          <w:shd w:val="clear" w:color="auto" w:fill="FFFFFF"/>
          <w:lang w:eastAsia="zh-CN"/>
        </w:rPr>
        <w:t>增长</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中心人员2024年1月减少1名，2024年6月新增2名。</w:t>
      </w:r>
    </w:p>
    <w:p w14:paraId="526BD42B">
      <w:pPr>
        <w:spacing w:line="594" w:lineRule="exact"/>
        <w:ind w:firstLine="640" w:firstLineChars="200"/>
        <w:rPr>
          <w:rFonts w:ascii="Times New Roman" w:hAnsi="Times New Roman" w:eastAsia="方正仿宋_GBK"/>
          <w:b/>
          <w:bCs/>
          <w:sz w:val="32"/>
          <w:szCs w:val="32"/>
        </w:rPr>
      </w:pPr>
      <w:r>
        <w:rPr>
          <w:rFonts w:ascii="Times New Roman" w:hAnsi="Times New Roman" w:eastAsia="方正仿宋_GBK"/>
          <w:sz w:val="32"/>
          <w:szCs w:val="32"/>
        </w:rPr>
        <w:t>3. 结转结余情况。2024年度年末</w:t>
      </w:r>
      <w:r>
        <w:rPr>
          <w:rFonts w:hint="eastAsia" w:ascii="Times New Roman" w:hAnsi="Times New Roman" w:eastAsia="方正仿宋_GBK"/>
          <w:sz w:val="32"/>
          <w:szCs w:val="32"/>
        </w:rPr>
        <w:t>一般公共预算财政拨款</w:t>
      </w:r>
      <w:r>
        <w:rPr>
          <w:rFonts w:ascii="Times New Roman" w:hAnsi="Times New Roman" w:eastAsia="方正仿宋_GBK"/>
          <w:sz w:val="32"/>
          <w:szCs w:val="32"/>
        </w:rPr>
        <w:t>结转和结余</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上年决算数</w:t>
      </w:r>
      <w:r>
        <w:rPr>
          <w:rFonts w:hint="eastAsia" w:ascii="Times New Roman" w:hAnsi="Times New Roman" w:eastAsia="方正仿宋_GBK" w:cs="Times New Roman"/>
          <w:sz w:val="32"/>
          <w:szCs w:val="32"/>
        </w:rPr>
        <w:t>持平。</w:t>
      </w:r>
    </w:p>
    <w:p w14:paraId="5ED90B99">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r>
        <w:rPr>
          <w:rFonts w:hint="eastAsia" w:ascii="Times New Roman" w:hAnsi="Times New Roman" w:eastAsia="方正楷体_GBK"/>
          <w:sz w:val="32"/>
          <w:szCs w:val="32"/>
        </w:rPr>
        <w:t>。</w:t>
      </w:r>
    </w:p>
    <w:p w14:paraId="5E58C4C4">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2024年度一般公共预算财政拨款基本支出</w:t>
      </w:r>
      <w:r>
        <w:rPr>
          <w:rFonts w:hint="default" w:ascii="Times New Roman" w:hAnsi="Times New Roman" w:eastAsia="方正仿宋_GBK"/>
          <w:sz w:val="32"/>
          <w:szCs w:val="32"/>
          <w:shd w:val="clear" w:color="auto" w:fill="FFFFFF"/>
        </w:rPr>
        <w:t>197.60</w:t>
      </w:r>
      <w:r>
        <w:rPr>
          <w:rFonts w:ascii="Times New Roman" w:hAnsi="Times New Roman" w:eastAsia="方正仿宋_GBK"/>
          <w:sz w:val="32"/>
          <w:szCs w:val="32"/>
        </w:rPr>
        <w:t>万元。其中：人员经费</w:t>
      </w:r>
      <w:r>
        <w:rPr>
          <w:rFonts w:hint="default" w:ascii="Times New Roman" w:hAnsi="Times New Roman" w:eastAsia="方正仿宋_GBK"/>
          <w:sz w:val="32"/>
          <w:szCs w:val="32"/>
          <w:shd w:val="clear" w:color="auto" w:fill="FFFFFF"/>
        </w:rPr>
        <w:t>175.09</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6.79</w:t>
      </w:r>
      <w:r>
        <w:rPr>
          <w:rFonts w:ascii="Times New Roman" w:hAnsi="Times New Roman" w:eastAsia="方正仿宋_GBK"/>
          <w:sz w:val="32"/>
          <w:szCs w:val="32"/>
        </w:rPr>
        <w:t>万元，增长</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3.7</w:t>
      </w:r>
      <w:r>
        <w:rPr>
          <w:rFonts w:ascii="Times New Roman" w:hAnsi="Times New Roman" w:eastAsia="方正仿宋_GBK"/>
          <w:sz w:val="32"/>
          <w:szCs w:val="32"/>
        </w:rPr>
        <w:t>%，</w:t>
      </w:r>
      <w:r>
        <w:rPr>
          <w:rFonts w:hint="eastAsia" w:ascii="方正仿宋_GBK" w:hAnsi="方正仿宋_GBK" w:eastAsia="方正仿宋_GBK" w:cs="方正仿宋_GBK"/>
          <w:sz w:val="32"/>
          <w:szCs w:val="32"/>
          <w:shd w:val="clear" w:color="auto" w:fill="FFFFFF"/>
          <w:lang w:eastAsia="zh-CN"/>
        </w:rPr>
        <w:t>主要原因：一是</w:t>
      </w:r>
      <w:r>
        <w:rPr>
          <w:rFonts w:hint="eastAsia" w:ascii="Times New Roman" w:hAnsi="Times New Roman" w:eastAsia="方正仿宋_GBK"/>
          <w:sz w:val="32"/>
          <w:szCs w:val="32"/>
          <w:lang w:eastAsia="zh-CN"/>
        </w:rPr>
        <w:t>中心人员2024年1月减少1名，2024年6月新增2名；二是</w:t>
      </w:r>
      <w:r>
        <w:rPr>
          <w:rFonts w:hint="eastAsia" w:ascii="方正仿宋_GBK" w:hAnsi="方正仿宋_GBK" w:eastAsia="方正仿宋_GBK" w:cs="方正仿宋_GBK"/>
          <w:sz w:val="32"/>
          <w:szCs w:val="32"/>
          <w:shd w:val="clear" w:color="auto" w:fill="FFFFFF"/>
          <w:lang w:eastAsia="zh-CN"/>
        </w:rPr>
        <w:t>工资调标</w:t>
      </w:r>
      <w:r>
        <w:rPr>
          <w:rFonts w:ascii="Times New Roman" w:hAnsi="Times New Roman" w:eastAsia="方正仿宋_GBK"/>
          <w:sz w:val="32"/>
          <w:szCs w:val="32"/>
        </w:rPr>
        <w:t>。人员经费用途主要包括基本工资、津贴补贴</w:t>
      </w:r>
      <w:r>
        <w:rPr>
          <w:rFonts w:ascii="方正仿宋_GBK" w:eastAsia="方正仿宋_GBK"/>
          <w:color w:val="000000"/>
          <w:sz w:val="32"/>
          <w:szCs w:val="32"/>
          <w:shd w:val="clear" w:color="auto" w:fill="FFFFFF"/>
        </w:rPr>
        <w:t>、奖金、社会保障缴费、其他工资福利支出、住房公积金、医疗费、生活补助等支出。</w:t>
      </w:r>
      <w:r>
        <w:rPr>
          <w:rFonts w:ascii="Times New Roman" w:hAnsi="Times New Roman" w:eastAsia="方正仿宋_GBK"/>
          <w:sz w:val="32"/>
          <w:szCs w:val="32"/>
        </w:rPr>
        <w:t>公用经费</w:t>
      </w:r>
      <w:r>
        <w:rPr>
          <w:rFonts w:hint="default" w:ascii="Times New Roman" w:hAnsi="Times New Roman" w:eastAsia="方正仿宋_GBK"/>
          <w:sz w:val="32"/>
          <w:szCs w:val="32"/>
          <w:shd w:val="clear" w:color="auto" w:fill="FFFFFF"/>
        </w:rPr>
        <w:t>22.51</w:t>
      </w:r>
      <w:r>
        <w:rPr>
          <w:rFonts w:ascii="Times New Roman" w:hAnsi="Times New Roman" w:eastAsia="方正仿宋_GBK"/>
          <w:sz w:val="32"/>
          <w:szCs w:val="32"/>
        </w:rPr>
        <w:t>万元，</w:t>
      </w:r>
      <w:r>
        <w:rPr>
          <w:rFonts w:hint="eastAsia" w:ascii="Times New Roman" w:hAnsi="Times New Roman" w:eastAsia="方正仿宋_GBK"/>
          <w:sz w:val="32"/>
          <w:szCs w:val="32"/>
        </w:rPr>
        <w:t>与2</w:t>
      </w:r>
      <w:r>
        <w:rPr>
          <w:rFonts w:ascii="Times New Roman" w:hAnsi="Times New Roman" w:eastAsia="方正仿宋_GBK"/>
          <w:sz w:val="32"/>
          <w:szCs w:val="32"/>
        </w:rPr>
        <w:t>023</w:t>
      </w:r>
      <w:r>
        <w:rPr>
          <w:rFonts w:hint="eastAsia" w:ascii="Times New Roman" w:hAnsi="Times New Roman" w:eastAsia="方正仿宋_GBK"/>
          <w:sz w:val="32"/>
          <w:szCs w:val="32"/>
        </w:rPr>
        <w:t>年度相比，</w:t>
      </w:r>
      <w:r>
        <w:rPr>
          <w:rFonts w:ascii="Times New Roman" w:hAnsi="Times New Roman" w:eastAsia="方正仿宋_GBK"/>
          <w:sz w:val="32"/>
          <w:szCs w:val="32"/>
        </w:rPr>
        <w:t>增加</w:t>
      </w:r>
      <w:r>
        <w:rPr>
          <w:rFonts w:hint="default" w:ascii="Times New Roman" w:hAnsi="Times New Roman" w:eastAsia="方正仿宋_GBK"/>
          <w:sz w:val="32"/>
          <w:szCs w:val="32"/>
          <w:shd w:val="clear" w:color="auto" w:fill="FFFFFF"/>
        </w:rPr>
        <w:t>1.29</w:t>
      </w:r>
      <w:r>
        <w:rPr>
          <w:rFonts w:ascii="Times New Roman" w:hAnsi="Times New Roman" w:eastAsia="方正仿宋_GBK"/>
          <w:sz w:val="32"/>
          <w:szCs w:val="32"/>
        </w:rPr>
        <w:t>万元，增长</w:t>
      </w:r>
      <w:r>
        <w:rPr>
          <w:rFonts w:hint="default" w:ascii="Times New Roman" w:hAnsi="Times New Roman" w:eastAsia="方正仿宋_GBK"/>
          <w:sz w:val="32"/>
          <w:szCs w:val="32"/>
          <w:shd w:val="clear" w:color="auto" w:fill="FFFFFF"/>
        </w:rPr>
        <w:t>6.1</w:t>
      </w:r>
      <w:r>
        <w:rPr>
          <w:rFonts w:ascii="Times New Roman" w:hAnsi="Times New Roman" w:eastAsia="方正仿宋_GBK"/>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中心人员</w:t>
      </w:r>
      <w:r>
        <w:rPr>
          <w:rFonts w:hint="eastAsia" w:ascii="Times New Roman" w:hAnsi="Times New Roman" w:eastAsia="方正仿宋_GBK"/>
          <w:sz w:val="32"/>
          <w:szCs w:val="32"/>
          <w:shd w:val="clear" w:color="auto" w:fill="FFFFFF"/>
          <w:lang w:eastAsia="zh-CN"/>
        </w:rPr>
        <w:t>2024年1月减少1名，2024年6月新增2名。</w:t>
      </w:r>
      <w:r>
        <w:rPr>
          <w:rFonts w:hint="default" w:ascii="Times New Roman" w:hAnsi="Times New Roman" w:eastAsia="方正仿宋_GBK"/>
          <w:sz w:val="32"/>
          <w:szCs w:val="32"/>
          <w:shd w:val="clear" w:color="auto" w:fill="FFFFFF"/>
        </w:rPr>
        <w:t>公用经费用</w:t>
      </w:r>
      <w:r>
        <w:rPr>
          <w:rFonts w:ascii="Times New Roman" w:hAnsi="Times New Roman" w:eastAsia="方正仿宋_GBK"/>
          <w:sz w:val="32"/>
          <w:szCs w:val="32"/>
        </w:rPr>
        <w:t>途主要包括</w:t>
      </w:r>
      <w:r>
        <w:rPr>
          <w:rFonts w:hint="eastAsia" w:ascii="方正仿宋_GBK" w:hAnsi="方正仿宋_GBK" w:eastAsia="方正仿宋_GBK" w:cs="方正仿宋_GBK"/>
          <w:sz w:val="32"/>
          <w:szCs w:val="32"/>
          <w:shd w:val="clear" w:color="auto" w:fill="FFFFFF"/>
          <w:lang w:eastAsia="zh-CN"/>
        </w:rPr>
        <w:t>办</w:t>
      </w:r>
      <w:r>
        <w:rPr>
          <w:rFonts w:ascii="方正仿宋_GBK" w:eastAsia="方正仿宋_GBK"/>
          <w:color w:val="000000"/>
          <w:sz w:val="32"/>
          <w:szCs w:val="32"/>
          <w:shd w:val="clear" w:color="auto" w:fill="FFFFFF"/>
        </w:rPr>
        <w:t>公费、邮电费、差旅费、工会经费、其他交通补贴、公务接待费、培训费、福利费等支出。</w:t>
      </w:r>
    </w:p>
    <w:p w14:paraId="7F3D5DAC">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（五）政府性基金预算收支决算情况说明</w:t>
      </w:r>
      <w:r>
        <w:rPr>
          <w:rFonts w:hint="eastAsia" w:ascii="Times New Roman" w:hAnsi="Times New Roman" w:eastAsia="方正楷体_GBK"/>
          <w:sz w:val="32"/>
          <w:szCs w:val="32"/>
        </w:rPr>
        <w:t>。</w:t>
      </w:r>
    </w:p>
    <w:p w14:paraId="4A8CF0C2">
      <w:pPr>
        <w:pStyle w:val="9"/>
        <w:shd w:val="clear" w:color="auto" w:fill="FFFFFF"/>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w:t>
      </w:r>
      <w:r>
        <w:rPr>
          <w:rFonts w:hint="eastAsia" w:ascii="Times New Roman" w:hAnsi="Times New Roman" w:eastAsia="方正仿宋_GBK" w:cs="Times New Roman"/>
          <w:kern w:val="2"/>
          <w:sz w:val="32"/>
          <w:szCs w:val="32"/>
        </w:rPr>
        <w:t>单位</w:t>
      </w:r>
      <w:r>
        <w:rPr>
          <w:rFonts w:ascii="Times New Roman" w:hAnsi="Times New Roman" w:eastAsia="方正仿宋_GBK" w:cs="Times New Roman"/>
          <w:kern w:val="2"/>
          <w:sz w:val="32"/>
          <w:szCs w:val="32"/>
        </w:rPr>
        <w:t>2024年度无政府性基金预算财政拨款收支。</w:t>
      </w:r>
    </w:p>
    <w:p w14:paraId="76B9645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14:paraId="1ED77462">
      <w:pPr>
        <w:pStyle w:val="9"/>
        <w:shd w:val="clear" w:color="auto" w:fill="FFFFFF"/>
        <w:spacing w:before="0" w:beforeAutospacing="0" w:after="0" w:afterAutospacing="0" w:line="594" w:lineRule="exact"/>
        <w:ind w:firstLine="540" w:firstLineChars="200"/>
        <w:rPr>
          <w:rFonts w:hint="eastAsia" w:ascii="Times New Roman" w:hAnsi="Times New Roman" w:eastAsia="方正仿宋_GBK" w:cs="Times New Roman"/>
          <w:kern w:val="2"/>
          <w:sz w:val="32"/>
          <w:szCs w:val="32"/>
        </w:rPr>
      </w:pPr>
      <w:r>
        <w:rPr>
          <w:rFonts w:ascii="Times New Roman" w:hAnsi="Times New Roman" w:cs="Times New Roman"/>
          <w:sz w:val="27"/>
          <w:szCs w:val="27"/>
        </w:rPr>
        <w:t> </w:t>
      </w:r>
      <w:r>
        <w:rPr>
          <w:rFonts w:hint="eastAsia" w:ascii="Times New Roman" w:hAnsi="Times New Roman" w:eastAsia="方正仿宋_GBK" w:cs="Times New Roman"/>
          <w:kern w:val="2"/>
          <w:sz w:val="32"/>
          <w:szCs w:val="32"/>
        </w:rPr>
        <w:t>本单位2024年度无国有资本经营预算财政拨款支出。</w:t>
      </w:r>
    </w:p>
    <w:p w14:paraId="32892D0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3BAAA92D">
      <w:pPr>
        <w:spacing w:line="594" w:lineRule="exact"/>
        <w:ind w:firstLine="640" w:firstLineChars="200"/>
        <w:rPr>
          <w:rFonts w:hint="eastAsia" w:ascii="Times New Roman" w:hAnsi="Times New Roman" w:eastAsia="方正楷体_GBK"/>
          <w:sz w:val="32"/>
          <w:szCs w:val="32"/>
        </w:rPr>
      </w:pPr>
      <w:r>
        <w:rPr>
          <w:rFonts w:ascii="Times New Roman" w:hAnsi="Times New Roman" w:eastAsia="方正楷体_GBK"/>
          <w:sz w:val="32"/>
          <w:szCs w:val="32"/>
        </w:rPr>
        <w:t>（一）“三公”经费支出总体情况说明</w:t>
      </w:r>
      <w:r>
        <w:rPr>
          <w:rFonts w:hint="eastAsia" w:ascii="Times New Roman" w:hAnsi="Times New Roman" w:eastAsia="方正楷体_GBK"/>
          <w:sz w:val="32"/>
          <w:szCs w:val="32"/>
        </w:rPr>
        <w:t>。</w:t>
      </w:r>
    </w:p>
    <w:p w14:paraId="06AEE74C">
      <w:pPr>
        <w:spacing w:line="594" w:lineRule="exact"/>
        <w:ind w:firstLine="640" w:firstLineChars="200"/>
        <w:rPr>
          <w:rFonts w:ascii="Times New Roman" w:hAnsi="Times New Roman" w:eastAsia="方正仿宋_GBK" w:cs="Times New Roman"/>
          <w:b/>
          <w:bCs/>
          <w:kern w:val="2"/>
          <w:sz w:val="32"/>
          <w:szCs w:val="32"/>
        </w:rPr>
      </w:pPr>
      <w:r>
        <w:rPr>
          <w:rFonts w:ascii="Times New Roman" w:hAnsi="Times New Roman" w:eastAsia="方正仿宋_GBK"/>
          <w:sz w:val="32"/>
          <w:szCs w:val="32"/>
        </w:rPr>
        <w:t>2024年度“三公”经费支出共计</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万元，较年初预算数减少</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万元，下降</w:t>
      </w:r>
      <w:r>
        <w:rPr>
          <w:rFonts w:hint="eastAsia" w:ascii="Times New Roman" w:hAnsi="Times New Roman" w:eastAsia="方正仿宋_GBK"/>
          <w:sz w:val="32"/>
          <w:szCs w:val="32"/>
          <w:lang w:val="en-US" w:eastAsia="zh-CN"/>
        </w:rPr>
        <w:t>0.00</w:t>
      </w:r>
      <w:r>
        <w:rPr>
          <w:rFonts w:ascii="Times New Roman" w:hAnsi="Times New Roman" w:eastAsia="方正仿宋_GBK"/>
          <w:sz w:val="32"/>
          <w:szCs w:val="32"/>
        </w:rPr>
        <w:t>%，主要原因是</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厉行</w:t>
      </w:r>
      <w:r>
        <w:rPr>
          <w:rFonts w:hint="eastAsia" w:ascii="方正仿宋_GBK" w:hAnsi="方正仿宋_GBK" w:eastAsia="方正仿宋_GBK" w:cs="方正仿宋_GBK"/>
          <w:sz w:val="32"/>
          <w:szCs w:val="32"/>
          <w:shd w:val="clear" w:color="auto" w:fill="FFFFFF"/>
        </w:rPr>
        <w:t>中央八项规定</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shd w:val="clear" w:color="auto" w:fill="FFFFFF"/>
        </w:rPr>
        <w:t>年无“三公”经费支出</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lang w:val="en-US" w:eastAsia="zh-CN"/>
        </w:rPr>
        <w:t>与上年决算数持平。</w:t>
      </w:r>
    </w:p>
    <w:p w14:paraId="620B7216">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本单位2024年度未发生因公出国（境）费用支出，与上年决算数持平。</w:t>
      </w:r>
    </w:p>
    <w:p w14:paraId="11C05337">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本单位2024年度未发生</w:t>
      </w:r>
      <w:r>
        <w:rPr>
          <w:rFonts w:ascii="Times New Roman" w:hAnsi="Times New Roman" w:eastAsia="方正仿宋_GBK"/>
          <w:sz w:val="32"/>
          <w:szCs w:val="32"/>
        </w:rPr>
        <w:t>公务车购置</w:t>
      </w:r>
      <w:r>
        <w:rPr>
          <w:rFonts w:hint="eastAsia" w:ascii="Times New Roman" w:hAnsi="Times New Roman" w:eastAsia="方正仿宋_GBK" w:cs="Times New Roman"/>
          <w:sz w:val="32"/>
          <w:szCs w:val="32"/>
          <w:lang w:val="en-US" w:eastAsia="zh-CN"/>
        </w:rPr>
        <w:t>费用支出，与上年决算数持平。</w:t>
      </w:r>
    </w:p>
    <w:p w14:paraId="7A7CB9E8">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本单位2024年度未发生</w:t>
      </w:r>
      <w:r>
        <w:rPr>
          <w:rFonts w:ascii="Times New Roman" w:hAnsi="Times New Roman" w:eastAsia="方正仿宋_GBK"/>
          <w:sz w:val="32"/>
          <w:szCs w:val="32"/>
        </w:rPr>
        <w:t>公务车运行维护费</w:t>
      </w:r>
      <w:r>
        <w:rPr>
          <w:rFonts w:hint="eastAsia" w:ascii="Times New Roman" w:hAnsi="Times New Roman" w:eastAsia="方正仿宋_GBK" w:cs="Times New Roman"/>
          <w:sz w:val="32"/>
          <w:szCs w:val="32"/>
          <w:lang w:val="en-US" w:eastAsia="zh-CN"/>
        </w:rPr>
        <w:t>用支出，与上年决算数持平。</w:t>
      </w:r>
    </w:p>
    <w:p w14:paraId="3FEF3104">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本单位2024年度未发生</w:t>
      </w:r>
      <w:r>
        <w:rPr>
          <w:rFonts w:ascii="Times New Roman" w:hAnsi="Times New Roman" w:eastAsia="方正仿宋_GBK"/>
          <w:sz w:val="32"/>
          <w:szCs w:val="32"/>
        </w:rPr>
        <w:t>公务接待费</w:t>
      </w:r>
      <w:r>
        <w:rPr>
          <w:rFonts w:hint="eastAsia" w:ascii="Times New Roman" w:hAnsi="Times New Roman" w:eastAsia="方正仿宋_GBK" w:cs="Times New Roman"/>
          <w:sz w:val="32"/>
          <w:szCs w:val="32"/>
          <w:lang w:val="en-US" w:eastAsia="zh-CN"/>
        </w:rPr>
        <w:t>用支出，与上年决算数持平。</w:t>
      </w:r>
    </w:p>
    <w:p w14:paraId="5A1804D3">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（三）三公”经费实物量情况</w:t>
      </w:r>
      <w:r>
        <w:rPr>
          <w:rFonts w:hint="eastAsia" w:ascii="Times New Roman" w:hAnsi="Times New Roman" w:eastAsia="方正楷体_GBK"/>
          <w:sz w:val="32"/>
          <w:szCs w:val="32"/>
        </w:rPr>
        <w:t>。</w:t>
      </w: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因公出国（境）共计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个团组，</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人；公务用车购置</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辆，公务车保有量为</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辆；国内公务接待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人，其中：国内外事接待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人；国（境）外公务接待</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批次，</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人。2024年本</w:t>
      </w:r>
      <w:r>
        <w:rPr>
          <w:rFonts w:hint="eastAsia" w:ascii="Times New Roman" w:hAnsi="Times New Roman" w:eastAsia="方正仿宋_GBK"/>
          <w:sz w:val="32"/>
          <w:szCs w:val="32"/>
        </w:rPr>
        <w:t>单位</w:t>
      </w:r>
      <w:r>
        <w:rPr>
          <w:rFonts w:ascii="Times New Roman" w:hAnsi="Times New Roman" w:eastAsia="方正仿宋_GBK"/>
          <w:sz w:val="32"/>
          <w:szCs w:val="32"/>
        </w:rPr>
        <w:t>人均接待费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元，车均购置费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万元，车均维护费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p>
    <w:p w14:paraId="19E1D10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7E75859">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（一）财政拨款会议费、培训费和差旅费情况说明。</w:t>
      </w:r>
    </w:p>
    <w:p w14:paraId="16D01777">
      <w:pPr>
        <w:pStyle w:val="9"/>
        <w:shd w:val="clear" w:color="auto" w:fill="FFFFFF"/>
        <w:spacing w:before="0" w:beforeAutospacing="0" w:after="0" w:afterAutospacing="0" w:line="594"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default" w:ascii="Times New Roman" w:hAnsi="Times New Roman" w:eastAsia="方正仿宋_GBK"/>
          <w:sz w:val="32"/>
          <w:szCs w:val="32"/>
          <w:shd w:val="clear" w:color="auto" w:fill="FFFFFF"/>
        </w:rPr>
        <w:t>1.00</w:t>
      </w:r>
      <w:r>
        <w:rPr>
          <w:rFonts w:ascii="Times New Roman" w:hAnsi="Times New Roman" w:eastAsia="方正仿宋_GBK" w:cs="Times New Roman"/>
          <w:kern w:val="2"/>
          <w:sz w:val="32"/>
          <w:szCs w:val="32"/>
        </w:rPr>
        <w:t>万元，下降</w:t>
      </w:r>
      <w:r>
        <w:rPr>
          <w:rFonts w:hint="default" w:ascii="Times New Roman" w:hAnsi="Times New Roman" w:eastAsia="方正仿宋_GBK"/>
          <w:sz w:val="32"/>
          <w:szCs w:val="32"/>
          <w:shd w:val="clear" w:color="auto" w:fill="FFFFFF"/>
        </w:rPr>
        <w:t>100.0</w:t>
      </w:r>
      <w:r>
        <w:rPr>
          <w:rFonts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厉行中央八项规定</w:t>
      </w:r>
      <w:r>
        <w:rPr>
          <w:rFonts w:hint="eastAsia" w:ascii="方正仿宋_GBK" w:hAnsi="方正仿宋_GBK" w:eastAsia="方正仿宋_GBK" w:cs="方正仿宋_GBK"/>
          <w:sz w:val="32"/>
          <w:szCs w:val="32"/>
          <w:shd w:val="clear" w:color="auto" w:fill="FFFFFF"/>
          <w:lang w:eastAsia="zh-CN"/>
        </w:rPr>
        <w:t>，精简会议活动</w:t>
      </w:r>
      <w:r>
        <w:rPr>
          <w:rFonts w:ascii="Times New Roman" w:hAnsi="Times New Roman" w:eastAsia="方正仿宋_GBK" w:cs="Times New Roman"/>
          <w:kern w:val="2"/>
          <w:sz w:val="32"/>
          <w:szCs w:val="32"/>
        </w:rPr>
        <w:t>。本年度培训费支出</w:t>
      </w:r>
      <w:r>
        <w:rPr>
          <w:rFonts w:hint="default" w:ascii="Times New Roman" w:hAnsi="Times New Roman" w:eastAsia="方正仿宋_GBK"/>
          <w:sz w:val="32"/>
          <w:szCs w:val="32"/>
          <w:shd w:val="clear" w:color="auto" w:fill="FFFFFF"/>
        </w:rPr>
        <w:t>0.14</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sz w:val="32"/>
          <w:szCs w:val="32"/>
          <w:shd w:val="clear" w:color="auto" w:fill="FFFFFF"/>
        </w:rPr>
        <w:t>0.14</w:t>
      </w:r>
      <w:r>
        <w:rPr>
          <w:rFonts w:ascii="Times New Roman" w:hAnsi="Times New Roman" w:eastAsia="方正仿宋_GBK" w:cs="Times New Roman"/>
          <w:kern w:val="2"/>
          <w:sz w:val="32"/>
          <w:szCs w:val="32"/>
        </w:rPr>
        <w:t>万元，下降</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sz w:val="32"/>
          <w:szCs w:val="32"/>
          <w:shd w:val="clear" w:color="auto" w:fill="FFFFFF"/>
        </w:rPr>
        <w:t>100.0</w:t>
      </w:r>
      <w:r>
        <w:rPr>
          <w:rFonts w:ascii="Times New Roman" w:hAnsi="Times New Roman" w:eastAsia="方正仿宋_GBK" w:cs="Times New Roman"/>
          <w:kern w:val="2"/>
          <w:sz w:val="32"/>
          <w:szCs w:val="32"/>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w:t>
      </w:r>
      <w:r>
        <w:rPr>
          <w:rFonts w:hint="eastAsia" w:ascii="方正仿宋_GBK" w:hAnsi="方正仿宋_GBK" w:eastAsia="方正仿宋_GBK" w:cs="方正仿宋_GBK"/>
          <w:color w:val="auto"/>
          <w:sz w:val="32"/>
          <w:szCs w:val="32"/>
          <w:shd w:val="clear" w:color="auto" w:fill="FFFFFF"/>
          <w:lang w:val="en-US" w:eastAsia="zh-CN"/>
        </w:rPr>
        <w:t>2人，参加初任培训</w:t>
      </w:r>
      <w:r>
        <w:rPr>
          <w:rFonts w:ascii="方正仿宋_GBK" w:hAnsi="方正仿宋_GBK" w:eastAsia="方正仿宋_GBK" w:cs="方正仿宋_GBK"/>
          <w:color w:val="auto"/>
          <w:sz w:val="32"/>
          <w:szCs w:val="32"/>
          <w:shd w:val="clear" w:color="auto" w:fill="FFFFFF"/>
        </w:rPr>
        <w:t>。</w:t>
      </w:r>
      <w:r>
        <w:rPr>
          <w:rFonts w:ascii="Times New Roman" w:hAnsi="Times New Roman" w:eastAsia="方正仿宋_GBK" w:cs="Times New Roman"/>
          <w:kern w:val="2"/>
          <w:sz w:val="32"/>
          <w:szCs w:val="32"/>
        </w:rPr>
        <w:t>本年度</w:t>
      </w:r>
      <w:r>
        <w:rPr>
          <w:rFonts w:hint="eastAsia" w:ascii="Times New Roman" w:hAnsi="Times New Roman" w:eastAsia="方正仿宋_GBK" w:cs="Times New Roman"/>
          <w:kern w:val="2"/>
          <w:sz w:val="32"/>
          <w:szCs w:val="32"/>
        </w:rPr>
        <w:t>差旅</w:t>
      </w:r>
      <w:r>
        <w:rPr>
          <w:rFonts w:ascii="Times New Roman" w:hAnsi="Times New Roman" w:eastAsia="方正仿宋_GBK" w:cs="Times New Roman"/>
          <w:kern w:val="2"/>
          <w:sz w:val="32"/>
          <w:szCs w:val="32"/>
        </w:rPr>
        <w:t>费支出</w:t>
      </w:r>
      <w:r>
        <w:rPr>
          <w:rFonts w:hint="default" w:ascii="Times New Roman" w:hAnsi="Times New Roman" w:eastAsia="方正仿宋_GBK"/>
          <w:color w:val="auto"/>
          <w:sz w:val="32"/>
          <w:szCs w:val="32"/>
          <w:shd w:val="clear" w:color="auto" w:fill="FFFFFF"/>
        </w:rPr>
        <w:t>0.90</w:t>
      </w:r>
      <w:r>
        <w:rPr>
          <w:rFonts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rPr>
        <w:t>与2</w:t>
      </w:r>
      <w:r>
        <w:rPr>
          <w:rFonts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rPr>
        <w:t>年度相比，</w:t>
      </w:r>
      <w:r>
        <w:rPr>
          <w:rFonts w:ascii="Times New Roman" w:hAnsi="Times New Roman" w:eastAsia="方正仿宋_GBK" w:cs="Times New Roman"/>
          <w:kern w:val="2"/>
          <w:sz w:val="32"/>
          <w:szCs w:val="32"/>
        </w:rPr>
        <w:t>减少</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olor w:val="auto"/>
          <w:sz w:val="32"/>
          <w:szCs w:val="32"/>
          <w:shd w:val="clear" w:color="auto" w:fill="FFFFFF"/>
        </w:rPr>
        <w:t>0.43</w:t>
      </w:r>
      <w:r>
        <w:rPr>
          <w:rFonts w:ascii="Times New Roman" w:hAnsi="Times New Roman" w:eastAsia="方正仿宋_GBK" w:cs="Times New Roman"/>
          <w:kern w:val="2"/>
          <w:sz w:val="32"/>
          <w:szCs w:val="32"/>
        </w:rPr>
        <w:t>万元，下降</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olor w:val="auto"/>
          <w:sz w:val="32"/>
          <w:szCs w:val="32"/>
          <w:shd w:val="clear" w:color="auto" w:fill="FFFFFF"/>
        </w:rPr>
        <w:t>91.5</w:t>
      </w:r>
      <w:r>
        <w:rPr>
          <w:rFonts w:ascii="Times New Roman" w:hAnsi="Times New Roman" w:eastAsia="方正仿宋_GBK" w:cs="Times New Roman"/>
          <w:kern w:val="2"/>
          <w:sz w:val="32"/>
          <w:szCs w:val="32"/>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中心对新招公务员开展政审</w:t>
      </w:r>
      <w:r>
        <w:rPr>
          <w:rFonts w:ascii="方正仿宋_GBK" w:hAnsi="方正仿宋_GBK" w:eastAsia="方正仿宋_GBK" w:cs="方正仿宋_GBK"/>
          <w:color w:val="auto"/>
          <w:sz w:val="32"/>
          <w:szCs w:val="32"/>
          <w:shd w:val="clear" w:color="auto" w:fill="FFFFFF"/>
        </w:rPr>
        <w:t>。</w:t>
      </w:r>
    </w:p>
    <w:p w14:paraId="7C3F338C">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（二）机关运行经费情况说明。</w:t>
      </w:r>
    </w:p>
    <w:p w14:paraId="25E61856">
      <w:pPr>
        <w:spacing w:line="594"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2024年度本</w:t>
      </w:r>
      <w:r>
        <w:rPr>
          <w:rFonts w:hint="eastAsia" w:ascii="Times New Roman" w:hAnsi="Times New Roman" w:eastAsia="方正仿宋_GBK"/>
          <w:sz w:val="32"/>
          <w:szCs w:val="32"/>
        </w:rPr>
        <w:t>单位</w:t>
      </w:r>
      <w:r>
        <w:rPr>
          <w:rFonts w:ascii="Times New Roman" w:hAnsi="Times New Roman" w:eastAsia="方正仿宋_GBK"/>
          <w:sz w:val="32"/>
          <w:szCs w:val="32"/>
        </w:rPr>
        <w:t>机关运行经费支出</w:t>
      </w:r>
      <w:r>
        <w:rPr>
          <w:rFonts w:hint="default" w:ascii="Times New Roman" w:hAnsi="Times New Roman" w:eastAsia="方正仿宋_GBK"/>
          <w:sz w:val="32"/>
          <w:szCs w:val="32"/>
          <w:shd w:val="clear" w:color="auto" w:fill="FFFFFF"/>
        </w:rPr>
        <w:t>22.51</w:t>
      </w:r>
      <w:r>
        <w:rPr>
          <w:rFonts w:ascii="Times New Roman" w:hAnsi="Times New Roman" w:eastAsia="方正仿宋_GBK"/>
          <w:sz w:val="32"/>
          <w:szCs w:val="32"/>
        </w:rPr>
        <w:t>万元，主要用于</w:t>
      </w:r>
      <w:r>
        <w:rPr>
          <w:rFonts w:hint="eastAsia" w:ascii="Times New Roman" w:hAnsi="Times New Roman" w:eastAsia="方正仿宋_GBK"/>
          <w:sz w:val="32"/>
          <w:szCs w:val="32"/>
        </w:rPr>
        <w:t>开支</w:t>
      </w:r>
      <w:r>
        <w:rPr>
          <w:rFonts w:ascii="方正仿宋_GBK" w:eastAsia="方正仿宋_GBK"/>
          <w:color w:val="000000"/>
          <w:sz w:val="32"/>
          <w:szCs w:val="32"/>
          <w:shd w:val="clear" w:color="auto" w:fill="FFFFFF"/>
        </w:rPr>
        <w:t>办公费、</w:t>
      </w:r>
      <w:r>
        <w:rPr>
          <w:rFonts w:hint="eastAsia" w:ascii="方正仿宋_GBK" w:eastAsia="方正仿宋_GBK"/>
          <w:color w:val="000000"/>
          <w:sz w:val="32"/>
          <w:szCs w:val="32"/>
          <w:shd w:val="clear" w:color="auto" w:fill="FFFFFF"/>
          <w:lang w:eastAsia="zh-CN"/>
        </w:rPr>
        <w:t>印刷费、水费、电费、</w:t>
      </w:r>
      <w:r>
        <w:rPr>
          <w:rFonts w:ascii="方正仿宋_GBK" w:eastAsia="方正仿宋_GBK"/>
          <w:color w:val="000000"/>
          <w:sz w:val="32"/>
          <w:szCs w:val="32"/>
          <w:shd w:val="clear" w:color="auto" w:fill="FFFFFF"/>
        </w:rPr>
        <w:t>邮电费、</w:t>
      </w:r>
      <w:r>
        <w:rPr>
          <w:rFonts w:hint="eastAsia" w:ascii="方正仿宋_GBK" w:eastAsia="方正仿宋_GBK"/>
          <w:color w:val="000000"/>
          <w:sz w:val="32"/>
          <w:szCs w:val="32"/>
          <w:shd w:val="clear" w:color="auto" w:fill="FFFFFF"/>
          <w:lang w:eastAsia="zh-CN"/>
        </w:rPr>
        <w:t>物业管理费、</w:t>
      </w:r>
      <w:r>
        <w:rPr>
          <w:rFonts w:ascii="方正仿宋_GBK" w:eastAsia="方正仿宋_GBK"/>
          <w:color w:val="000000"/>
          <w:sz w:val="32"/>
          <w:szCs w:val="32"/>
          <w:shd w:val="clear" w:color="auto" w:fill="FFFFFF"/>
        </w:rPr>
        <w:t>差旅费、</w:t>
      </w:r>
      <w:r>
        <w:rPr>
          <w:rFonts w:hint="eastAsia" w:ascii="方正仿宋_GBK" w:eastAsia="方正仿宋_GBK"/>
          <w:color w:val="000000"/>
          <w:sz w:val="32"/>
          <w:szCs w:val="32"/>
          <w:shd w:val="clear" w:color="auto" w:fill="FFFFFF"/>
          <w:lang w:eastAsia="zh-CN"/>
        </w:rPr>
        <w:t>维修（护）费、</w:t>
      </w:r>
      <w:r>
        <w:rPr>
          <w:rFonts w:ascii="方正仿宋_GBK" w:eastAsia="方正仿宋_GBK"/>
          <w:color w:val="000000"/>
          <w:sz w:val="32"/>
          <w:szCs w:val="32"/>
          <w:shd w:val="clear" w:color="auto" w:fill="FFFFFF"/>
        </w:rPr>
        <w:t>培训费、</w:t>
      </w:r>
      <w:r>
        <w:rPr>
          <w:rFonts w:hint="eastAsia" w:ascii="方正仿宋_GBK" w:eastAsia="方正仿宋_GBK"/>
          <w:color w:val="000000"/>
          <w:sz w:val="32"/>
          <w:szCs w:val="32"/>
          <w:shd w:val="clear" w:color="auto" w:fill="FFFFFF"/>
          <w:lang w:eastAsia="zh-CN"/>
        </w:rPr>
        <w:t>劳务费、</w:t>
      </w:r>
      <w:r>
        <w:rPr>
          <w:rFonts w:ascii="方正仿宋_GBK" w:eastAsia="方正仿宋_GBK"/>
          <w:color w:val="000000"/>
          <w:sz w:val="32"/>
          <w:szCs w:val="32"/>
          <w:shd w:val="clear" w:color="auto" w:fill="FFFFFF"/>
        </w:rPr>
        <w:t>工会经费、其他交通补贴</w:t>
      </w:r>
      <w:r>
        <w:rPr>
          <w:rFonts w:hint="eastAsia" w:ascii="方正仿宋_GBK" w:eastAsia="方正仿宋_GBK"/>
          <w:color w:val="000000"/>
          <w:sz w:val="32"/>
          <w:szCs w:val="32"/>
          <w:shd w:val="clear" w:color="auto" w:fill="FFFFFF"/>
          <w:lang w:eastAsia="zh-CN"/>
        </w:rPr>
        <w:t>、</w:t>
      </w:r>
      <w:r>
        <w:rPr>
          <w:rFonts w:ascii="方正仿宋_GBK" w:eastAsia="方正仿宋_GBK"/>
          <w:color w:val="000000"/>
          <w:sz w:val="32"/>
          <w:szCs w:val="32"/>
          <w:shd w:val="clear" w:color="auto" w:fill="FFFFFF"/>
        </w:rPr>
        <w:t>福利费</w:t>
      </w:r>
      <w:r>
        <w:rPr>
          <w:rFonts w:hint="eastAsia" w:ascii="方正仿宋_GBK" w:eastAsia="方正仿宋_GBK"/>
          <w:color w:val="000000"/>
          <w:sz w:val="32"/>
          <w:szCs w:val="32"/>
          <w:shd w:val="clear" w:color="auto" w:fill="FFFFFF"/>
          <w:lang w:eastAsia="zh-CN"/>
        </w:rPr>
        <w:t>、税金及附加费用</w:t>
      </w:r>
      <w:r>
        <w:rPr>
          <w:rFonts w:hint="eastAsia" w:ascii="Times New Roman" w:hAnsi="Times New Roman" w:eastAsia="方正仿宋_GBK"/>
          <w:sz w:val="32"/>
          <w:szCs w:val="32"/>
        </w:rPr>
        <w:t>等维持单位正常运转经费开支</w:t>
      </w:r>
      <w:r>
        <w:rPr>
          <w:rFonts w:ascii="Times New Roman" w:hAnsi="Times New Roman" w:eastAsia="方正仿宋_GBK"/>
          <w:sz w:val="32"/>
          <w:szCs w:val="32"/>
        </w:rPr>
        <w:t>。机关运行经费较上年</w:t>
      </w:r>
      <w:r>
        <w:rPr>
          <w:rFonts w:hint="eastAsia" w:ascii="Times New Roman" w:hAnsi="Times New Roman" w:eastAsia="方正仿宋_GBK"/>
          <w:sz w:val="32"/>
          <w:szCs w:val="32"/>
        </w:rPr>
        <w:t>支出</w:t>
      </w:r>
      <w:r>
        <w:rPr>
          <w:rFonts w:ascii="Times New Roman" w:hAnsi="Times New Roman" w:eastAsia="方正仿宋_GBK"/>
          <w:sz w:val="32"/>
          <w:szCs w:val="32"/>
        </w:rPr>
        <w:t>数</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1.29</w:t>
      </w:r>
      <w:r>
        <w:rPr>
          <w:rFonts w:ascii="Times New Roman" w:hAnsi="Times New Roman" w:eastAsia="方正仿宋_GBK"/>
          <w:sz w:val="32"/>
          <w:szCs w:val="32"/>
        </w:rPr>
        <w:t>万元，</w:t>
      </w:r>
      <w:r>
        <w:rPr>
          <w:rFonts w:hint="eastAsia" w:ascii="Times New Roman" w:hAnsi="Times New Roman" w:eastAsia="方正仿宋_GBK"/>
          <w:sz w:val="32"/>
          <w:szCs w:val="32"/>
        </w:rPr>
        <w:t>下降</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shd w:val="clear" w:color="auto" w:fill="FFFFFF"/>
        </w:rPr>
        <w:t>6.1</w:t>
      </w:r>
      <w:r>
        <w:rPr>
          <w:rFonts w:ascii="Times New Roman" w:hAnsi="Times New Roman" w:eastAsia="方正仿宋_GBK"/>
          <w:sz w:val="32"/>
          <w:szCs w:val="32"/>
        </w:rPr>
        <w:t>%，主要原因是</w:t>
      </w:r>
      <w:r>
        <w:rPr>
          <w:rFonts w:hint="eastAsia" w:ascii="Times New Roman" w:hAnsi="Times New Roman" w:eastAsia="方正仿宋_GBK" w:cs="Times New Roman"/>
          <w:sz w:val="32"/>
          <w:szCs w:val="32"/>
          <w:lang w:eastAsia="zh-CN"/>
        </w:rPr>
        <w:t>中心人员2024年1月减少1名，2024年6月新增2名</w:t>
      </w:r>
      <w:r>
        <w:rPr>
          <w:rFonts w:ascii="Times New Roman" w:hAnsi="Times New Roman" w:eastAsia="方正仿宋_GBK"/>
          <w:sz w:val="32"/>
          <w:szCs w:val="32"/>
        </w:rPr>
        <w:t>。</w:t>
      </w:r>
    </w:p>
    <w:p w14:paraId="47979751">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（三）国有资产占用情况说明。</w:t>
      </w:r>
    </w:p>
    <w:p w14:paraId="49258011">
      <w:pPr>
        <w:spacing w:line="594"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截至2024年12月31日，本</w:t>
      </w:r>
      <w:r>
        <w:rPr>
          <w:rFonts w:hint="eastAsia" w:ascii="Times New Roman" w:hAnsi="Times New Roman" w:eastAsia="方正仿宋_GBK"/>
          <w:kern w:val="0"/>
          <w:sz w:val="32"/>
          <w:szCs w:val="32"/>
        </w:rPr>
        <w:t>单位</w:t>
      </w:r>
      <w:r>
        <w:rPr>
          <w:rFonts w:ascii="Times New Roman" w:hAnsi="Times New Roman" w:eastAsia="方正仿宋_GBK"/>
          <w:kern w:val="0"/>
          <w:sz w:val="32"/>
          <w:szCs w:val="32"/>
        </w:rPr>
        <w:t>共有车辆</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辆，其中，副部（省）级及以上领导用车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辆、主要</w:t>
      </w:r>
      <w:r>
        <w:rPr>
          <w:rFonts w:hint="eastAsia" w:ascii="Times New Roman" w:hAnsi="Times New Roman" w:eastAsia="方正仿宋_GBK"/>
          <w:kern w:val="0"/>
          <w:sz w:val="32"/>
          <w:szCs w:val="32"/>
        </w:rPr>
        <w:t>领导干部</w:t>
      </w:r>
      <w:r>
        <w:rPr>
          <w:rFonts w:ascii="Times New Roman" w:hAnsi="Times New Roman" w:eastAsia="方正仿宋_GBK"/>
          <w:b w:val="0"/>
          <w:bCs/>
          <w:kern w:val="0"/>
          <w:sz w:val="32"/>
          <w:szCs w:val="32"/>
        </w:rPr>
        <w:t>用</w:t>
      </w:r>
      <w:r>
        <w:rPr>
          <w:rFonts w:ascii="Times New Roman" w:hAnsi="Times New Roman" w:eastAsia="方正仿宋_GBK"/>
          <w:kern w:val="0"/>
          <w:sz w:val="32"/>
          <w:szCs w:val="32"/>
        </w:rPr>
        <w:t>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辆、机要通信用车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辆、应急保障用车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辆、执法执勤用车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辆，特种专业技术用车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辆，离退休干部用车</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辆。单价100万元（含）以上设备</w:t>
      </w:r>
      <w:r>
        <w:rPr>
          <w:rFonts w:hint="eastAsia" w:ascii="Times New Roman" w:hAnsi="Times New Roman" w:eastAsia="方正仿宋_GBK"/>
          <w:kern w:val="0"/>
          <w:sz w:val="32"/>
          <w:szCs w:val="32"/>
        </w:rPr>
        <w:t>（不含车辆）</w:t>
      </w:r>
      <w:r>
        <w:rPr>
          <w:rFonts w:hint="eastAsia" w:ascii="Times New Roman" w:hAnsi="Times New Roman" w:eastAsia="方正仿宋_GBK"/>
          <w:kern w:val="0"/>
          <w:sz w:val="32"/>
          <w:szCs w:val="32"/>
          <w:lang w:val="en-US" w:eastAsia="zh-CN"/>
        </w:rPr>
        <w:t>0</w:t>
      </w:r>
      <w:r>
        <w:rPr>
          <w:rFonts w:ascii="Times New Roman" w:hAnsi="Times New Roman" w:eastAsia="方正仿宋_GBK"/>
          <w:kern w:val="0"/>
          <w:sz w:val="32"/>
          <w:szCs w:val="32"/>
        </w:rPr>
        <w:t>台（套）。</w:t>
      </w:r>
    </w:p>
    <w:p w14:paraId="58DF36F0">
      <w:pPr>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（四）政府采购支出情况说明。</w:t>
      </w:r>
    </w:p>
    <w:p w14:paraId="129D0080">
      <w:pPr>
        <w:spacing w:line="594"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2024年度本</w:t>
      </w:r>
      <w:r>
        <w:rPr>
          <w:rFonts w:hint="eastAsia" w:ascii="Times New Roman" w:hAnsi="Times New Roman" w:eastAsia="方正仿宋_GBK"/>
          <w:kern w:val="0"/>
          <w:sz w:val="32"/>
          <w:szCs w:val="32"/>
        </w:rPr>
        <w:t>单位</w:t>
      </w:r>
      <w:r>
        <w:rPr>
          <w:rFonts w:ascii="Times New Roman" w:hAnsi="Times New Roman" w:eastAsia="方正仿宋_GBK"/>
          <w:kern w:val="0"/>
          <w:sz w:val="32"/>
          <w:szCs w:val="32"/>
        </w:rPr>
        <w:t>政府采购支出总额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万元，其中：政府采购货物支出</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万元、政府采购工程支出</w:t>
      </w:r>
      <w:r>
        <w:rPr>
          <w:rFonts w:hint="default" w:ascii="Times New Roman" w:hAnsi="Times New Roman" w:eastAsia="方正仿宋_GBK"/>
          <w:sz w:val="32"/>
          <w:szCs w:val="32"/>
          <w:shd w:val="clear" w:color="auto" w:fill="FFFFFF"/>
        </w:rPr>
        <w:t>0.00</w:t>
      </w:r>
      <w:r>
        <w:rPr>
          <w:rFonts w:ascii="Times New Roman" w:hAnsi="Times New Roman" w:eastAsia="方正仿宋_GBK"/>
          <w:kern w:val="0"/>
          <w:sz w:val="32"/>
          <w:szCs w:val="32"/>
        </w:rPr>
        <w:t>万元、政府采购服务支出</w:t>
      </w:r>
      <w:r>
        <w:rPr>
          <w:rFonts w:hint="default" w:ascii="Times New Roman" w:hAnsi="Times New Roman" w:eastAsia="方正仿宋_GBK"/>
          <w:sz w:val="32"/>
          <w:szCs w:val="32"/>
          <w:shd w:val="clear" w:color="auto" w:fill="FFFFFF"/>
        </w:rPr>
        <w:t>0.00</w:t>
      </w:r>
      <w:r>
        <w:rPr>
          <w:rFonts w:ascii="Times New Roman" w:hAnsi="Times New Roman" w:eastAsia="方正仿宋_GBK"/>
          <w:kern w:val="0"/>
          <w:sz w:val="32"/>
          <w:szCs w:val="32"/>
        </w:rPr>
        <w:t>万元。授予中小企业合同金额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kern w:val="0"/>
          <w:sz w:val="32"/>
          <w:szCs w:val="32"/>
        </w:rPr>
        <w:t>%，其中：授予小微企业合同金额</w:t>
      </w:r>
      <w:r>
        <w:rPr>
          <w:rFonts w:hint="default" w:ascii="Times New Roman" w:hAnsi="Times New Roman" w:eastAsia="方正仿宋_GBK"/>
          <w:sz w:val="32"/>
          <w:szCs w:val="32"/>
          <w:shd w:val="clear" w:color="auto" w:fill="FFFFFF"/>
        </w:rPr>
        <w:t>0.89</w:t>
      </w:r>
      <w:r>
        <w:rPr>
          <w:rFonts w:ascii="Times New Roman" w:hAnsi="Times New Roman" w:eastAsia="方正仿宋_GBK"/>
          <w:kern w:val="0"/>
          <w:sz w:val="32"/>
          <w:szCs w:val="32"/>
        </w:rPr>
        <w:t>万元，占政府采购支出总额的</w:t>
      </w:r>
      <w:r>
        <w:rPr>
          <w:rFonts w:hint="default" w:ascii="Times New Roman" w:hAnsi="Times New Roman" w:eastAsia="方正仿宋_GBK"/>
          <w:sz w:val="32"/>
          <w:szCs w:val="32"/>
          <w:shd w:val="clear" w:color="auto" w:fill="FFFFFF"/>
        </w:rPr>
        <w:t>100.0</w:t>
      </w:r>
      <w:r>
        <w:rPr>
          <w:rFonts w:ascii="Times New Roman" w:hAnsi="Times New Roman" w:eastAsia="方正仿宋_GBK"/>
          <w:kern w:val="0"/>
          <w:sz w:val="32"/>
          <w:szCs w:val="32"/>
        </w:rPr>
        <w:t>%。 主要用于采购</w:t>
      </w:r>
      <w:r>
        <w:rPr>
          <w:rFonts w:hint="eastAsia" w:ascii="方正仿宋_GBK" w:hAnsi="方正仿宋_GBK" w:eastAsia="方正仿宋_GBK" w:cs="方正仿宋_GBK"/>
          <w:sz w:val="32"/>
          <w:szCs w:val="32"/>
          <w:shd w:val="clear" w:color="auto" w:fill="FFFFFF"/>
          <w:lang w:eastAsia="zh-CN"/>
        </w:rPr>
        <w:t>一体机</w:t>
      </w:r>
      <w:r>
        <w:rPr>
          <w:rFonts w:hint="eastAsia" w:ascii="Times New Roman" w:hAnsi="Times New Roman" w:eastAsia="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台</w:t>
      </w:r>
      <w:r>
        <w:rPr>
          <w:rFonts w:ascii="Times New Roman" w:hAnsi="Times New Roman" w:eastAsia="方正仿宋_GBK"/>
          <w:kern w:val="0"/>
          <w:sz w:val="32"/>
          <w:szCs w:val="32"/>
        </w:rPr>
        <w:t>。</w:t>
      </w:r>
    </w:p>
    <w:p w14:paraId="7D96CE0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48EEF9D4">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（一）</w:t>
      </w:r>
      <w:r>
        <w:rPr>
          <w:rFonts w:hint="eastAsia" w:ascii="Times New Roman" w:hAnsi="Times New Roman" w:eastAsia="方正楷体_GBK"/>
          <w:sz w:val="32"/>
          <w:szCs w:val="32"/>
        </w:rPr>
        <w:t>单位自评</w:t>
      </w:r>
      <w:r>
        <w:rPr>
          <w:rFonts w:ascii="Times New Roman" w:hAnsi="Times New Roman" w:eastAsia="方正楷体_GBK"/>
          <w:sz w:val="32"/>
          <w:szCs w:val="32"/>
        </w:rPr>
        <w:t>情况</w:t>
      </w:r>
    </w:p>
    <w:p w14:paraId="1AE6CF30">
      <w:pPr>
        <w:spacing w:line="594" w:lineRule="exact"/>
        <w:ind w:firstLine="640" w:firstLineChars="200"/>
        <w:rPr>
          <w:rFonts w:hint="eastAsia"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rPr>
        <w:t>根据预算绩效管理要求，</w:t>
      </w:r>
      <w:r>
        <w:rPr>
          <w:rFonts w:hint="eastAsia" w:ascii="Times New Roman" w:hAnsi="Times New Roman" w:eastAsia="方正仿宋_GBK" w:cs="Times New Roman"/>
          <w:kern w:val="0"/>
          <w:sz w:val="32"/>
          <w:szCs w:val="32"/>
        </w:rPr>
        <w:t>我单位</w:t>
      </w:r>
      <w:r>
        <w:rPr>
          <w:rFonts w:ascii="Times New Roman" w:hAnsi="Times New Roman" w:eastAsia="方正仿宋_GBK" w:cs="Times New Roman"/>
          <w:kern w:val="0"/>
          <w:sz w:val="32"/>
          <w:szCs w:val="32"/>
        </w:rPr>
        <w:t>对2个项目开展了绩效自评</w:t>
      </w:r>
      <w:r>
        <w:rPr>
          <w:rFonts w:hint="eastAsia" w:ascii="Times New Roman" w:hAnsi="Times New Roman" w:eastAsia="方正仿宋_GBK" w:cs="Times New Roman"/>
          <w:kern w:val="0"/>
          <w:sz w:val="32"/>
          <w:szCs w:val="32"/>
        </w:rPr>
        <w:t>，涉及财政拨款项目支出资金</w:t>
      </w:r>
      <w:r>
        <w:rPr>
          <w:rFonts w:hint="eastAsia" w:ascii="Times New Roman" w:hAnsi="Times New Roman" w:eastAsia="方正仿宋_GBK" w:cs="Times New Roman"/>
          <w:kern w:val="0"/>
          <w:sz w:val="32"/>
          <w:szCs w:val="32"/>
          <w:lang w:val="en-US" w:eastAsia="zh-CN"/>
        </w:rPr>
        <w:t>11.08</w:t>
      </w:r>
      <w:r>
        <w:rPr>
          <w:rFonts w:hint="eastAsia"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p>
    <w:p w14:paraId="05453240">
      <w:pPr>
        <w:spacing w:line="594" w:lineRule="exact"/>
        <w:ind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rPr>
        <w:t>项目支出绩效自评表</w:t>
      </w:r>
      <w:r>
        <w:rPr>
          <w:rFonts w:hint="eastAsia" w:ascii="Times New Roman" w:hAnsi="Times New Roman" w:eastAsia="方正仿宋_GBK" w:cs="Times New Roman"/>
          <w:kern w:val="0"/>
          <w:sz w:val="32"/>
          <w:szCs w:val="32"/>
          <w:lang w:eastAsia="zh-CN"/>
        </w:rPr>
        <w:t>（附件</w:t>
      </w:r>
      <w:r>
        <w:rPr>
          <w:rFonts w:hint="eastAsia"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kern w:val="0"/>
          <w:sz w:val="32"/>
          <w:szCs w:val="32"/>
          <w:lang w:eastAsia="zh-CN"/>
        </w:rPr>
        <w:t>）</w:t>
      </w:r>
    </w:p>
    <w:p w14:paraId="54180C81">
      <w:pPr>
        <w:spacing w:line="594" w:lineRule="exact"/>
        <w:ind w:firstLine="640" w:firstLineChars="200"/>
        <w:rPr>
          <w:rFonts w:ascii="Times New Roman" w:hAnsi="Times New Roman" w:eastAsia="方正楷体_GBK"/>
          <w:sz w:val="32"/>
          <w:szCs w:val="32"/>
        </w:rPr>
      </w:pPr>
      <w:r>
        <w:rPr>
          <w:rFonts w:ascii="Times New Roman" w:hAnsi="Times New Roman" w:eastAsia="方正楷体_GBK"/>
          <w:sz w:val="32"/>
          <w:szCs w:val="32"/>
        </w:rPr>
        <w:t>（二）</w:t>
      </w:r>
      <w:r>
        <w:rPr>
          <w:rFonts w:hint="eastAsia" w:ascii="Times New Roman" w:hAnsi="Times New Roman" w:eastAsia="方正楷体_GBK"/>
          <w:sz w:val="32"/>
          <w:szCs w:val="32"/>
        </w:rPr>
        <w:t>单位绩效评价情况</w:t>
      </w:r>
    </w:p>
    <w:p w14:paraId="78CD92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60" w:afterAutospacing="0" w:line="560" w:lineRule="atLeast"/>
        <w:ind w:left="0" w:right="0" w:firstLine="640"/>
      </w:pPr>
      <w:r>
        <w:rPr>
          <w:rFonts w:ascii="方正仿宋_GBK" w:hAnsi="方正仿宋_GBK" w:eastAsia="方正仿宋_GBK" w:cs="方正仿宋_GBK"/>
          <w:i w:val="0"/>
          <w:iCs w:val="0"/>
          <w:caps w:val="0"/>
          <w:color w:val="333333"/>
          <w:spacing w:val="0"/>
          <w:sz w:val="32"/>
          <w:szCs w:val="32"/>
          <w:shd w:val="clear" w:color="auto" w:fill="FFFFFF"/>
        </w:rPr>
        <w:t>我单位未组织开展绩效评价。</w:t>
      </w:r>
    </w:p>
    <w:p w14:paraId="14F9E0FB">
      <w:pPr>
        <w:pStyle w:val="17"/>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14:paraId="325E99C1">
      <w:pPr>
        <w:spacing w:line="570" w:lineRule="exact"/>
        <w:ind w:firstLine="640" w:firstLineChars="200"/>
        <w:rPr>
          <w:rFonts w:ascii="方正仿宋_GBK" w:hAnsi="方正仿宋_GBK" w:eastAsia="方正仿宋_GBK" w:cs="方正仿宋_GBK"/>
          <w:i w:val="0"/>
          <w:iCs w:val="0"/>
          <w:caps w:val="0"/>
          <w:color w:val="333333"/>
          <w:spacing w:val="0"/>
          <w:kern w:val="0"/>
          <w:sz w:val="32"/>
          <w:szCs w:val="32"/>
          <w:shd w:val="clear" w:color="auto" w:fill="FFFFFF"/>
          <w:lang w:val="en-US" w:eastAsia="zh-CN" w:bidi="ar-SA"/>
        </w:rPr>
      </w:pPr>
      <w:r>
        <w:rPr>
          <w:rFonts w:hint="eastAsia" w:ascii="方正仿宋_GBK" w:hAnsi="方正仿宋_GBK" w:eastAsia="方正仿宋_GBK" w:cs="方正仿宋_GBK"/>
          <w:i w:val="0"/>
          <w:iCs w:val="0"/>
          <w:caps w:val="0"/>
          <w:color w:val="333333"/>
          <w:spacing w:val="0"/>
          <w:kern w:val="0"/>
          <w:sz w:val="32"/>
          <w:szCs w:val="32"/>
          <w:shd w:val="clear" w:color="auto" w:fill="FFFFFF"/>
          <w:lang w:val="en-US" w:eastAsia="zh-CN" w:bidi="ar-SA"/>
        </w:rPr>
        <w:t>县财政局未委托第三方对我单位开展绩效评价。</w:t>
      </w:r>
    </w:p>
    <w:p w14:paraId="4A0617A5">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6D057E8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D9CFA4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27274F0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DEBA0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072928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66EB2E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F42C36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5782AD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90E0E5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8D36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4915C1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D56719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44BF1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979D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C62809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655DE7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9BAF88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C9035F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0A9DDE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23461F0">
      <w:pPr>
        <w:spacing w:line="57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李丹</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023-</w:t>
      </w:r>
      <w:r>
        <w:rPr>
          <w:rFonts w:hint="eastAsia" w:ascii="Times New Roman" w:hAnsi="Times New Roman" w:eastAsia="方正仿宋_GBK"/>
          <w:sz w:val="32"/>
          <w:szCs w:val="32"/>
          <w:lang w:val="en-US" w:eastAsia="zh-CN"/>
        </w:rPr>
        <w:t>81858128</w:t>
      </w:r>
    </w:p>
    <w:p w14:paraId="5C6045C8">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5BE01C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5EE373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38B0F4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6DFCA83">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EF13B8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5D8596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FA197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267DCB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4B56F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丰都县老龄工作事务中心（本级）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62386D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B710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10EC8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270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515CE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7032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CD3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391C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8AD9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F98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D4C7E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415F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AFD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ACA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5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137.82</w:t>
            </w:r>
            <w:r>
              <w:rPr>
                <w:rFonts w:ascii="Times New Roman" w:hAnsi="Times New Roman"/>
                <w:color w:val="000000"/>
                <w:sz w:val="20"/>
                <w:u w:color="auto"/>
              </w:rPr>
              <w:t xml:space="preserve"> </w:t>
            </w:r>
          </w:p>
        </w:tc>
      </w:tr>
      <w:tr w14:paraId="00E76F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385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56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7FA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374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21C5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EB6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3A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CDE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A8E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ACB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D6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5B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75B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E0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6CE2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3A5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3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7E34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C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F5A9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709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14E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6B6B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2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4372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FE7D">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97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CC8C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A96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8810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496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F2E5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D46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0F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44.05</w:t>
            </w:r>
            <w:r>
              <w:rPr>
                <w:rFonts w:ascii="Times New Roman" w:hAnsi="Times New Roman"/>
                <w:color w:val="000000"/>
                <w:sz w:val="20"/>
                <w:u w:color="auto"/>
              </w:rPr>
              <w:t xml:space="preserve"> </w:t>
            </w:r>
          </w:p>
        </w:tc>
      </w:tr>
      <w:tr w14:paraId="4EBAAE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924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DE48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1551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187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15.14</w:t>
            </w:r>
            <w:r>
              <w:rPr>
                <w:rFonts w:ascii="Times New Roman" w:hAnsi="Times New Roman"/>
                <w:color w:val="000000"/>
                <w:sz w:val="20"/>
                <w:u w:color="auto"/>
              </w:rPr>
              <w:t xml:space="preserve"> </w:t>
            </w:r>
          </w:p>
        </w:tc>
      </w:tr>
      <w:tr w14:paraId="5B970E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455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FFA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A54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864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957A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EDA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389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A91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31B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24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158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6965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057C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52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3206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1B7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926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EC3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64B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652A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8E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AA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77BA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E1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967D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DEA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7CF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F6CB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13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44E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81B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A0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361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A21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0746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833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3C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1CF9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E0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F6585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FA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05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F80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90D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E41C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C8F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EA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1D6E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8AB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r>
      <w:tr w14:paraId="6E7E6F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3F1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14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735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BC6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B3EF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6E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AC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85B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6F2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F76C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0F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E42D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635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6B7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F7F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FE5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52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0B9C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1C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F486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B87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B1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257C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B42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EB09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80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532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0D9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6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B322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90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FE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BFEE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EC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8CF6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421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0A8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40CB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82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r>
      <w:tr w14:paraId="277BD1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6688">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669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781A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57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9D30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96A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462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AF3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C3A1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0D68E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48E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A4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5131D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9140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208.68</w:t>
            </w:r>
            <w:r>
              <w:rPr>
                <w:rFonts w:ascii="Times New Roman" w:hAnsi="Times New Roman"/>
                <w:color w:val="000000"/>
                <w:sz w:val="20"/>
                <w:u w:color="auto"/>
              </w:rPr>
              <w:t xml:space="preserve"> </w:t>
            </w:r>
          </w:p>
        </w:tc>
      </w:tr>
    </w:tbl>
    <w:p w14:paraId="642B5EF6">
      <w:pPr>
        <w:rPr>
          <w:rFonts w:hint="default" w:cs="宋体"/>
          <w:sz w:val="21"/>
          <w:szCs w:val="21"/>
        </w:rPr>
      </w:pPr>
    </w:p>
    <w:p w14:paraId="79E8E81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5119C04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EC29286">
            <w:pPr>
              <w:jc w:val="center"/>
              <w:textAlignment w:val="bottom"/>
              <w:rPr>
                <w:rFonts w:hint="default" w:cs="宋体"/>
                <w:b/>
                <w:color w:val="000000"/>
                <w:sz w:val="32"/>
                <w:szCs w:val="32"/>
              </w:rPr>
            </w:pPr>
            <w:r>
              <w:rPr>
                <w:rFonts w:cs="宋体"/>
                <w:b/>
                <w:color w:val="000000"/>
                <w:sz w:val="32"/>
                <w:szCs w:val="32"/>
              </w:rPr>
              <w:t>收入决算表</w:t>
            </w:r>
          </w:p>
        </w:tc>
      </w:tr>
      <w:tr w14:paraId="32FC768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3465A4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丰都县老龄工作事务中心（本级）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DE608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C30544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2892AC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99FCB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688AEF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A00D7F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ACB9C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7FD732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9DF105E">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DFA177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9E4AB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7BF794F">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E1DEAF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213277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FD48B8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D4532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CDCD8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62ECF2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787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AC63">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B76A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3E4CD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046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B8A0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4AFF5">
            <w:pPr>
              <w:jc w:val="center"/>
              <w:textAlignment w:val="center"/>
              <w:rPr>
                <w:rFonts w:hint="default" w:cs="宋体"/>
                <w:b/>
                <w:color w:val="000000"/>
                <w:sz w:val="20"/>
                <w:szCs w:val="20"/>
              </w:rPr>
            </w:pPr>
            <w:r>
              <w:rPr>
                <w:rFonts w:cs="宋体"/>
                <w:b/>
                <w:color w:val="000000"/>
                <w:sz w:val="20"/>
                <w:szCs w:val="20"/>
              </w:rPr>
              <w:t>其他收入</w:t>
            </w:r>
          </w:p>
        </w:tc>
      </w:tr>
      <w:tr w14:paraId="0273FE2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3AC">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2EB0B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45D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39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4BD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0E26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1B4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3E97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12DA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0017A">
            <w:pPr>
              <w:jc w:val="center"/>
              <w:rPr>
                <w:rFonts w:hint="default" w:cs="宋体"/>
                <w:b/>
                <w:color w:val="000000"/>
                <w:sz w:val="20"/>
                <w:szCs w:val="20"/>
              </w:rPr>
            </w:pPr>
          </w:p>
        </w:tc>
      </w:tr>
      <w:tr w14:paraId="631A766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7B9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1A4A2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78A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B87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174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9EA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1BD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455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4E89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0A1D">
            <w:pPr>
              <w:jc w:val="center"/>
              <w:rPr>
                <w:rFonts w:hint="default" w:cs="宋体"/>
                <w:b/>
                <w:color w:val="000000"/>
                <w:sz w:val="20"/>
                <w:szCs w:val="20"/>
              </w:rPr>
            </w:pPr>
          </w:p>
        </w:tc>
      </w:tr>
      <w:tr w14:paraId="1906659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7F24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4FB54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21D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F1F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C5D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044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450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99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8A49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10C4">
            <w:pPr>
              <w:jc w:val="center"/>
              <w:rPr>
                <w:rFonts w:hint="default" w:cs="宋体"/>
                <w:b/>
                <w:color w:val="000000"/>
                <w:sz w:val="20"/>
                <w:szCs w:val="20"/>
              </w:rPr>
            </w:pPr>
          </w:p>
        </w:tc>
      </w:tr>
      <w:tr w14:paraId="5B1997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F1A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41298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932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631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3808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B66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D5D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13B5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AD64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55DD">
            <w:pPr>
              <w:jc w:val="center"/>
              <w:rPr>
                <w:rFonts w:hint="default" w:cs="宋体"/>
                <w:b/>
                <w:color w:val="000000"/>
                <w:sz w:val="20"/>
                <w:szCs w:val="20"/>
              </w:rPr>
            </w:pPr>
          </w:p>
        </w:tc>
      </w:tr>
      <w:tr w14:paraId="0ECD48E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FC6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23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C70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41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5D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DAB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AE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449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28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8FD89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EFF9">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C77B">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6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B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3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9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4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1D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3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3EAF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0CC15">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22D4">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9E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6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D4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E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A3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2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0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B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232F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23DB">
            <w:pPr>
              <w:textAlignment w:val="center"/>
              <w:rPr>
                <w:rFonts w:hint="default" w:cs="宋体"/>
                <w:color w:val="000000"/>
                <w:sz w:val="20"/>
                <w:szCs w:val="20"/>
              </w:rPr>
            </w:pPr>
            <w:r>
              <w:rPr>
                <w:rFonts w:cs="宋体"/>
                <w:color w:val="000000"/>
                <w:sz w:val="20"/>
                <w:szCs w:val="20"/>
              </w:rPr>
              <w:t>2013601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30C7F">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5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F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0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8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E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C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6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2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8A7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8225">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3D24B">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5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8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A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F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1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F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2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D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7A87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D934">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470A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F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E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C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5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3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5CD0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C059">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FB1F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2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1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C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7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6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F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30F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200">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772E">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7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C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8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7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6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F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D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259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FB8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440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14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A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D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8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1D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F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0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6800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D5E8">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DB1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C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A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8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B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88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A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3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A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173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06D0">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F512">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6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5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D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C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5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9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B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1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E24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5460">
            <w:pPr>
              <w:textAlignment w:val="center"/>
              <w:rPr>
                <w:rFonts w:hint="default"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260B">
            <w:pPr>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9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3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7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E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0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2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A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5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2577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D2DF">
            <w:pPr>
              <w:textAlignment w:val="center"/>
              <w:rPr>
                <w:rFonts w:hint="default" w:cs="宋体"/>
                <w:color w:val="000000"/>
                <w:sz w:val="20"/>
                <w:szCs w:val="20"/>
              </w:rPr>
            </w:pPr>
            <w:r>
              <w:rPr>
                <w:rFonts w:cs="宋体"/>
                <w:color w:val="000000"/>
                <w:sz w:val="20"/>
                <w:szCs w:val="20"/>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CBC5">
            <w:pPr>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A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1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B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B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6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9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070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24B8">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9C7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C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2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D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7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8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B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E38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9A6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22DB1">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6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0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4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8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9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B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A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AE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982A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72C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8B5D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5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8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3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3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5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0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99A0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5F3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0636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6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3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3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5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5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F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C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98C3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4DBF">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2552">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1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4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7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3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0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F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F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B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6ACF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F07A">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770A">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D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0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2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7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8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2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E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6C116E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D5C37B2">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1B99C2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EE95BD">
            <w:pPr>
              <w:jc w:val="center"/>
              <w:textAlignment w:val="bottom"/>
              <w:rPr>
                <w:rFonts w:hint="default" w:cs="宋体"/>
                <w:b/>
                <w:color w:val="000000"/>
                <w:sz w:val="32"/>
                <w:szCs w:val="32"/>
              </w:rPr>
            </w:pPr>
            <w:r>
              <w:rPr>
                <w:rFonts w:cs="宋体"/>
                <w:b/>
                <w:color w:val="000000"/>
                <w:sz w:val="32"/>
                <w:szCs w:val="32"/>
              </w:rPr>
              <w:t>支出决算表</w:t>
            </w:r>
          </w:p>
        </w:tc>
      </w:tr>
      <w:tr w14:paraId="10E175C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C50F4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丰都县老龄工作事务中心（本级）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17A6813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49591D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DA8EED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541212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E2C61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20F66B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5458CE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DA7DC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492F0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2DD095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CE481C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75FA75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615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EE25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133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69DB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0384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71F6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AC56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715E">
            <w:pPr>
              <w:jc w:val="center"/>
              <w:textAlignment w:val="center"/>
              <w:rPr>
                <w:rFonts w:hint="default" w:cs="宋体"/>
                <w:b/>
                <w:color w:val="000000"/>
                <w:sz w:val="20"/>
                <w:szCs w:val="20"/>
              </w:rPr>
            </w:pPr>
            <w:r>
              <w:rPr>
                <w:rFonts w:cs="宋体"/>
                <w:b/>
                <w:color w:val="000000"/>
                <w:sz w:val="20"/>
                <w:szCs w:val="20"/>
              </w:rPr>
              <w:t>对附属单位补助支出</w:t>
            </w:r>
          </w:p>
        </w:tc>
      </w:tr>
      <w:tr w14:paraId="4A437CED">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BD6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7E8026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48C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31B7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874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31C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D2D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D577">
            <w:pPr>
              <w:jc w:val="center"/>
              <w:rPr>
                <w:rFonts w:hint="default" w:cs="宋体"/>
                <w:b/>
                <w:color w:val="000000"/>
                <w:sz w:val="20"/>
                <w:szCs w:val="20"/>
              </w:rPr>
            </w:pPr>
          </w:p>
        </w:tc>
      </w:tr>
      <w:tr w14:paraId="7E144D2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D82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4059B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BD8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5E9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B6DB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06C4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FC8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03638">
            <w:pPr>
              <w:jc w:val="center"/>
              <w:rPr>
                <w:rFonts w:hint="default" w:cs="宋体"/>
                <w:b/>
                <w:color w:val="000000"/>
                <w:sz w:val="20"/>
                <w:szCs w:val="20"/>
              </w:rPr>
            </w:pPr>
          </w:p>
        </w:tc>
      </w:tr>
      <w:tr w14:paraId="5ED73B2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AE2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1045E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55FB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E77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DA3F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64E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5F7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2D1B">
            <w:pPr>
              <w:jc w:val="center"/>
              <w:rPr>
                <w:rFonts w:hint="default" w:cs="宋体"/>
                <w:b/>
                <w:color w:val="000000"/>
                <w:sz w:val="20"/>
                <w:szCs w:val="20"/>
              </w:rPr>
            </w:pPr>
          </w:p>
        </w:tc>
      </w:tr>
      <w:tr w14:paraId="7AA396E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F2F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FB71C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1DA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B89B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B82E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9E0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2FC9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0B918">
            <w:pPr>
              <w:jc w:val="center"/>
              <w:rPr>
                <w:rFonts w:hint="default" w:cs="宋体"/>
                <w:b/>
                <w:color w:val="000000"/>
                <w:sz w:val="20"/>
                <w:szCs w:val="20"/>
              </w:rPr>
            </w:pPr>
          </w:p>
        </w:tc>
      </w:tr>
      <w:tr w14:paraId="01107B8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B09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C5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62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197.60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9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DD4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ED0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11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242D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DB7">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19B12">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A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0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0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1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2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D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24D9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B590">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571E">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E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9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9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5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F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9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4F64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6742">
            <w:pPr>
              <w:textAlignment w:val="center"/>
              <w:rPr>
                <w:rFonts w:hint="default" w:cs="宋体"/>
                <w:color w:val="000000"/>
                <w:sz w:val="20"/>
                <w:szCs w:val="20"/>
              </w:rPr>
            </w:pPr>
            <w:r>
              <w:rPr>
                <w:rFonts w:cs="宋体"/>
                <w:color w:val="000000"/>
                <w:sz w:val="20"/>
                <w:szCs w:val="20"/>
              </w:rPr>
              <w:t>2013601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77944">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B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2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9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1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C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9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D83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6CB1">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E332E">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C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A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C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5A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B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434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BC5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31E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6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4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1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E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6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CFB5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474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307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8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87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4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77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57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6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C0220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A82C">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71CD">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B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8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8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1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2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863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973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3DC2">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1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F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0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F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C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6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928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7DA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4C94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5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C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0F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F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E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5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2B07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C5B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A2D1">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0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2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F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0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4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31A6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11A1">
            <w:pPr>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3FB1">
            <w:pPr>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E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9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8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4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D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8DE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47F9">
            <w:pPr>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D188D">
            <w:pPr>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C7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F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E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2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B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76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DBB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D85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E4E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7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3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2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0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3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3E07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894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124ED">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0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5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D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D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E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F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C56B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6CF7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BBCE">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0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2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5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3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5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5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6E4E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B79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172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A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9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DD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C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1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6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EA6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DE42">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7404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8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3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E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9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F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7FC9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541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E6E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B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A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7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8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7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38CE1F2">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4A80FF">
      <w:pPr>
        <w:rPr>
          <w:rFonts w:hint="default" w:cs="宋体"/>
          <w:sz w:val="21"/>
          <w:szCs w:val="21"/>
        </w:rPr>
      </w:pPr>
      <w:r>
        <w:rPr>
          <w:rFonts w:cs="宋体"/>
          <w:sz w:val="21"/>
          <w:szCs w:val="21"/>
        </w:rPr>
        <w:br w:type="page"/>
      </w:r>
    </w:p>
    <w:p w14:paraId="2EFD76A4">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9697A5B">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6FD2D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26651A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CC7F9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3435EE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DD386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A82E7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8EE5A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749423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F92D3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D72FC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C2565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E1039A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806DF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B2D6B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D1A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927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7830E2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61E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C1C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2BD5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407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FDFFF9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B79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C7E2">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A27A9">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9A9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DE5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7DE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F8A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38339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987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C7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617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B1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EA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B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8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E3E5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484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1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EB4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A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9C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1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E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E1B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ABA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4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9D2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C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5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6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A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040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DC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1B2F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DA9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E2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C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E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AE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9C5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EB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C129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268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7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3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C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9C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6F1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1C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9F0B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687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3A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F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6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C5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D7D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5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04A3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41A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6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7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F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B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66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C70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8A3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4A0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EF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DD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83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2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529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EA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85E8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FF3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DD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E1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3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926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8B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F4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55D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1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3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5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17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AF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6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90F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15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6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8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9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CB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872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5B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5B4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C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5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36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5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C58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99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5BA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02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06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D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B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49BE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64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46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DFE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79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1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EE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D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2F5C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19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3BB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BF2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8A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C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C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6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B852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FF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30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EF0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2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23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15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E6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93F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D2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47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A5E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6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24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0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74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EF8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20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05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7E8C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A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B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65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C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E93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54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23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09B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91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E8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B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1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7CE8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19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0F4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65E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9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4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1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6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4FA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2F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8A0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F3B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4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45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E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71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A6B2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CF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86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F5A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0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4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5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6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F914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4D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293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03BF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C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3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C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3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382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ECD3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03C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5C1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C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8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4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7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19C4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CC0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F9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4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B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A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7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F4F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F11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59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18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8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E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B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E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DB07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20A0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FA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5A1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83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DA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D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2F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420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9D4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4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C0F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C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6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F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3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20A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E31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D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EA41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61EF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7CF9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6E45C">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29C90">
            <w:pPr>
              <w:spacing w:line="200" w:lineRule="exact"/>
              <w:rPr>
                <w:rFonts w:hint="default" w:ascii="Times New Roman" w:hAnsi="Times New Roman"/>
                <w:color w:val="000000"/>
                <w:sz w:val="18"/>
                <w:szCs w:val="18"/>
              </w:rPr>
            </w:pPr>
          </w:p>
        </w:tc>
      </w:tr>
      <w:tr w14:paraId="57ADA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407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8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84C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695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886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294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119">
            <w:pPr>
              <w:spacing w:line="200" w:lineRule="exact"/>
              <w:jc w:val="right"/>
              <w:rPr>
                <w:rFonts w:hint="default" w:ascii="Times New Roman" w:hAnsi="Times New Roman"/>
                <w:color w:val="000000"/>
                <w:sz w:val="18"/>
                <w:szCs w:val="18"/>
              </w:rPr>
            </w:pPr>
          </w:p>
        </w:tc>
      </w:tr>
      <w:tr w14:paraId="35049B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9C0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5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2ED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CA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8A6F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777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80ED">
            <w:pPr>
              <w:spacing w:line="200" w:lineRule="exact"/>
              <w:jc w:val="right"/>
              <w:rPr>
                <w:rFonts w:hint="default" w:ascii="Times New Roman" w:hAnsi="Times New Roman"/>
                <w:color w:val="000000"/>
                <w:sz w:val="18"/>
                <w:szCs w:val="18"/>
              </w:rPr>
            </w:pPr>
          </w:p>
        </w:tc>
      </w:tr>
      <w:tr w14:paraId="0AF06B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C9F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25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4F4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F7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FC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2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EC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EA444C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FBB7FC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42B9F7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1D70DF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99186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5AF780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80B81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4E4BB4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A8341F5">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B22F90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F507D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1FD65E">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1952C">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360B4E">
            <w:pPr>
              <w:jc w:val="center"/>
              <w:textAlignment w:val="center"/>
              <w:rPr>
                <w:rFonts w:hint="default" w:cs="宋体"/>
                <w:b/>
                <w:color w:val="000000"/>
                <w:sz w:val="20"/>
                <w:szCs w:val="20"/>
              </w:rPr>
            </w:pPr>
            <w:r>
              <w:rPr>
                <w:rFonts w:cs="宋体"/>
                <w:b/>
                <w:color w:val="000000"/>
                <w:sz w:val="20"/>
                <w:szCs w:val="20"/>
              </w:rPr>
              <w:t>本年支出</w:t>
            </w:r>
          </w:p>
        </w:tc>
      </w:tr>
      <w:tr w14:paraId="4AA70372">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A2A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03E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4964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16B5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D3A57">
            <w:pPr>
              <w:jc w:val="center"/>
              <w:textAlignment w:val="center"/>
              <w:rPr>
                <w:rFonts w:hint="default" w:cs="宋体"/>
                <w:b/>
                <w:color w:val="000000"/>
                <w:sz w:val="20"/>
                <w:szCs w:val="20"/>
              </w:rPr>
            </w:pPr>
            <w:r>
              <w:rPr>
                <w:rFonts w:cs="宋体"/>
                <w:b/>
                <w:color w:val="000000"/>
                <w:sz w:val="20"/>
                <w:szCs w:val="20"/>
              </w:rPr>
              <w:t>项目支出</w:t>
            </w:r>
          </w:p>
        </w:tc>
      </w:tr>
      <w:tr w14:paraId="1B5E689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5948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F3054">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22F6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7259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A49F1">
            <w:pPr>
              <w:jc w:val="center"/>
              <w:rPr>
                <w:rFonts w:hint="default" w:cs="宋体"/>
                <w:b/>
                <w:color w:val="000000"/>
                <w:sz w:val="20"/>
                <w:szCs w:val="20"/>
              </w:rPr>
            </w:pPr>
          </w:p>
        </w:tc>
      </w:tr>
      <w:tr w14:paraId="76A6F0B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1CD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046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28C2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A1FC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1F16E">
            <w:pPr>
              <w:jc w:val="center"/>
              <w:rPr>
                <w:rFonts w:hint="default" w:cs="宋体"/>
                <w:b/>
                <w:color w:val="000000"/>
                <w:sz w:val="20"/>
                <w:szCs w:val="20"/>
              </w:rPr>
            </w:pPr>
          </w:p>
        </w:tc>
      </w:tr>
      <w:tr w14:paraId="749D82F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EFA5">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E6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7D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F0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11.08</w:t>
            </w:r>
            <w:r>
              <w:rPr>
                <w:rFonts w:ascii="Times New Roman" w:hAnsi="Times New Roman"/>
                <w:b/>
                <w:color w:val="000000"/>
                <w:sz w:val="20"/>
                <w:u w:color="auto"/>
              </w:rPr>
              <w:t xml:space="preserve"> </w:t>
            </w:r>
          </w:p>
        </w:tc>
      </w:tr>
      <w:tr w14:paraId="1B7B90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88ED">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688A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D7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E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81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r>
      <w:tr w14:paraId="697877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3E9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1D1A">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CB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2BF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50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8.08</w:t>
            </w:r>
            <w:r>
              <w:rPr>
                <w:rFonts w:ascii="Times New Roman" w:hAnsi="Times New Roman"/>
                <w:b/>
                <w:color w:val="000000"/>
                <w:sz w:val="20"/>
                <w:u w:color="auto"/>
              </w:rPr>
              <w:t xml:space="preserve"> </w:t>
            </w:r>
          </w:p>
        </w:tc>
      </w:tr>
      <w:tr w14:paraId="6BD070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CBAD">
            <w:pPr>
              <w:textAlignment w:val="center"/>
              <w:rPr>
                <w:rFonts w:hint="default" w:cs="宋体"/>
                <w:color w:val="000000"/>
                <w:sz w:val="20"/>
                <w:szCs w:val="20"/>
              </w:rPr>
            </w:pPr>
            <w:r>
              <w:rPr>
                <w:rFonts w:cs="宋体"/>
                <w:color w:val="000000"/>
                <w:sz w:val="20"/>
                <w:szCs w:val="20"/>
              </w:rPr>
              <w:t>2013601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63E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805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AA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FF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D88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8230">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EF9C">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85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0E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0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r>
      <w:tr w14:paraId="5BEB3E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508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31B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8C9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1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C5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09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5FC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43DE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30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9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8F2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2D3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23A5">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62A8E">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D8D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07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E5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D7B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87E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D623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B7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36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BB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628E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4ABE">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D345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22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2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F22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E80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F6D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957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6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A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C5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E79B5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1B29">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1FA3D">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86F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F2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61D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599DFD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DB66">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74215">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FE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5F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5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5FEED4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1F5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AFD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C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CD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5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92E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2757">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48CB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72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F1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11B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1F61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E0E6">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F2C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C22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AC7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29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B07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1474">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D18C6">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05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F56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AE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D4D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447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86E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94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C4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03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A7D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80C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DE2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21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8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322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3C46D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3B020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AE42C2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4A8438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400E2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6E225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19383A1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44F5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C1727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5CCB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6D95A0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4A17E8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4BA1D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7E0BC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1E9A0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847D3C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0F618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C4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3BFF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E054F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03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65B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22D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6A3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959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F1DE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60F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C4F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F0C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90757D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19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B79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C49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3C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472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3DB0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0E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1AF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D25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328FA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0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D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3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1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F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13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0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5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6D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r>
      <w:tr w14:paraId="57FD11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BD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AD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6A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5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D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B7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4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5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7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BEE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3E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7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E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00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9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A7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8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4E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7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r>
      <w:tr w14:paraId="6C7C99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35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B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FE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5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5A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B5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D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5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A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784C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9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0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24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F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0E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F2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7D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C5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C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876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AA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E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EB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4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3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F4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8D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1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4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0AD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9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3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5C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E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2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2F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C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2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3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CC52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B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E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F7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A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B0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0F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2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0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D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81B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5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F0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0D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8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E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6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EA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28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1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E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8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F09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8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8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5D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39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F25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87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FA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4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46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B1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51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D2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A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DCB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7D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9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F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6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3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30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1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8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0B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4A0D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8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08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A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DE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2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4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60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56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F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5EA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0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5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05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A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B4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01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7F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F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5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56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3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F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AC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E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0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05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D5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6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33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7A1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0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9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9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F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2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C4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F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0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5A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0EDF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69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7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18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6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AA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86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6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E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9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1FC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4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33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72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D9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FE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82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A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0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20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166E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7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B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C5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C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F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2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3B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D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5E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052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C0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A7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A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6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52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B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A4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5C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13D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8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5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8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C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C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D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72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0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C4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5F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3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D8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34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E7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C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69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0F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E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2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8D76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A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9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1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1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8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4E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6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51E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BF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167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F8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E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76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42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7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28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D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B6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E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700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A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9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07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9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6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6D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7A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8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8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56A9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5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55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7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AD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A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1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3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8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A14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E6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9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5C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7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6C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FF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00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1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0B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5DC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F7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AF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26BF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8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9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1D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9E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C0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9BA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F9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99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DC21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A3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EE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1B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0A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E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9F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703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65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44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3C27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2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38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6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05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B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A9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1C9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2D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B4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D34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C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B1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41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FD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E8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5B3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19D0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47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7C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74C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2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58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16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BC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55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2CB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BF457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A9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4D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B8F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5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83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5E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E8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EA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185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A4881B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34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11813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175.09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AD1E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2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bl>
    <w:p w14:paraId="4C0A81A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A4454A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B3DE5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319BCE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E0A61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0D81878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71AED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3787F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20CF8B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036BC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AE29C5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477E73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73695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8BB9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A349D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B7C23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7E3FF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F4118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E4C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0C3F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621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C898E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F415">
            <w:pPr>
              <w:jc w:val="center"/>
              <w:textAlignment w:val="center"/>
              <w:rPr>
                <w:rFonts w:hint="default" w:cs="宋体"/>
                <w:b/>
                <w:color w:val="000000"/>
                <w:sz w:val="20"/>
                <w:szCs w:val="20"/>
              </w:rPr>
            </w:pPr>
            <w:r>
              <w:rPr>
                <w:rFonts w:cs="宋体"/>
                <w:b/>
                <w:color w:val="000000"/>
                <w:sz w:val="20"/>
                <w:szCs w:val="20"/>
              </w:rPr>
              <w:t>年末结转和结余</w:t>
            </w:r>
          </w:p>
        </w:tc>
      </w:tr>
      <w:tr w14:paraId="129A2499">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8093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D7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467A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B24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038BE">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768D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BDA0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AD07">
            <w:pPr>
              <w:jc w:val="center"/>
              <w:rPr>
                <w:rFonts w:hint="default" w:cs="宋体"/>
                <w:b/>
                <w:color w:val="000000"/>
                <w:sz w:val="20"/>
                <w:szCs w:val="20"/>
              </w:rPr>
            </w:pPr>
          </w:p>
        </w:tc>
      </w:tr>
      <w:tr w14:paraId="1FBA066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AE5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200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B0DB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19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78BF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8992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5A82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D825">
            <w:pPr>
              <w:jc w:val="center"/>
              <w:rPr>
                <w:rFonts w:hint="default" w:cs="宋体"/>
                <w:b/>
                <w:color w:val="000000"/>
                <w:sz w:val="20"/>
                <w:szCs w:val="20"/>
              </w:rPr>
            </w:pPr>
          </w:p>
        </w:tc>
      </w:tr>
      <w:tr w14:paraId="1AEBF94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CA0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386E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58CF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A8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B771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566F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BF1E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0144D">
            <w:pPr>
              <w:jc w:val="center"/>
              <w:rPr>
                <w:rFonts w:hint="default" w:cs="宋体"/>
                <w:b/>
                <w:color w:val="000000"/>
                <w:sz w:val="20"/>
                <w:szCs w:val="20"/>
              </w:rPr>
            </w:pPr>
          </w:p>
        </w:tc>
      </w:tr>
      <w:tr w14:paraId="4D15CD7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B7A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731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D9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83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473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C01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A9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28D2D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B26C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BCB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FC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E7B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8BD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3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B8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A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5EBCE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0E36C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F9BAD9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96F44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244D28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D9ACFB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丰都县老龄工作事务中心（本级）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6564E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84FFB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93EA2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BC92E2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C462E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85462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0DAE6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5BFB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B25754">
            <w:pPr>
              <w:jc w:val="center"/>
              <w:textAlignment w:val="bottom"/>
              <w:rPr>
                <w:rFonts w:hint="default" w:cs="宋体"/>
                <w:b/>
                <w:color w:val="000000"/>
                <w:sz w:val="20"/>
                <w:szCs w:val="20"/>
              </w:rPr>
            </w:pPr>
            <w:r>
              <w:rPr>
                <w:rFonts w:cs="宋体"/>
                <w:b/>
                <w:color w:val="000000"/>
                <w:sz w:val="20"/>
                <w:szCs w:val="20"/>
              </w:rPr>
              <w:t>本年支出</w:t>
            </w:r>
          </w:p>
        </w:tc>
      </w:tr>
      <w:tr w14:paraId="6B41D49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E91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AC31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4A4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E4EE1">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461A1">
            <w:pPr>
              <w:jc w:val="center"/>
              <w:textAlignment w:val="center"/>
              <w:rPr>
                <w:rFonts w:hint="default" w:cs="宋体"/>
                <w:b/>
                <w:color w:val="000000"/>
                <w:sz w:val="20"/>
                <w:szCs w:val="20"/>
              </w:rPr>
            </w:pPr>
            <w:r>
              <w:rPr>
                <w:rFonts w:cs="宋体"/>
                <w:b/>
                <w:color w:val="000000"/>
                <w:sz w:val="20"/>
                <w:szCs w:val="20"/>
              </w:rPr>
              <w:t>项目支出</w:t>
            </w:r>
          </w:p>
        </w:tc>
      </w:tr>
      <w:tr w14:paraId="13D3BF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89F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4C94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1D5C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7A54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6C02">
            <w:pPr>
              <w:jc w:val="center"/>
              <w:rPr>
                <w:rFonts w:hint="default" w:cs="宋体"/>
                <w:b/>
                <w:color w:val="000000"/>
                <w:sz w:val="20"/>
                <w:szCs w:val="20"/>
              </w:rPr>
            </w:pPr>
          </w:p>
        </w:tc>
      </w:tr>
      <w:tr w14:paraId="0BEB5D6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4B6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13A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D2F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1A6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E3C2B">
            <w:pPr>
              <w:jc w:val="center"/>
              <w:rPr>
                <w:rFonts w:hint="default" w:cs="宋体"/>
                <w:b/>
                <w:color w:val="000000"/>
                <w:sz w:val="20"/>
                <w:szCs w:val="20"/>
              </w:rPr>
            </w:pPr>
          </w:p>
        </w:tc>
      </w:tr>
      <w:tr w14:paraId="0DEA26B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841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99FE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5D2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2552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77D95">
            <w:pPr>
              <w:jc w:val="center"/>
              <w:rPr>
                <w:rFonts w:hint="default" w:cs="宋体"/>
                <w:b/>
                <w:color w:val="000000"/>
                <w:sz w:val="20"/>
                <w:szCs w:val="20"/>
              </w:rPr>
            </w:pPr>
          </w:p>
        </w:tc>
      </w:tr>
      <w:tr w14:paraId="75DE56A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F19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EBD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847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83F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6F62E0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6834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E21E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1A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087F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4A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56209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373BA6E">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890E0C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EC15D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62E2C7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D46B3C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AFB3E7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033715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4BBE46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DFE317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DAE84F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74A974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丰都县老龄工作事务中心（本级）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8D228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4C5274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CFD83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1AEF48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02A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0A8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C74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11E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DEA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C78FFA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ADA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F8C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3DC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D20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4D4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r w14:paraId="07604D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741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F122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F20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90E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3DC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6FC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40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0AA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96C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25C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9FB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22.51</w:t>
            </w:r>
            <w:r>
              <w:rPr>
                <w:rFonts w:ascii="Times New Roman" w:hAnsi="Times New Roman"/>
                <w:color w:val="000000"/>
                <w:sz w:val="18"/>
                <w:u w:color="auto"/>
              </w:rPr>
              <w:t xml:space="preserve"> </w:t>
            </w:r>
          </w:p>
        </w:tc>
      </w:tr>
      <w:tr w14:paraId="0440C7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A8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7A9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5A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DBE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B0A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835A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FE7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003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19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9B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257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39D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F6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978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5F1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F04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B19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388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89E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E50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7B2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39A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601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8D8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F41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762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54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C2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3B7C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BCC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C7C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063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EF9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1BA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FF0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8CE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250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191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CDF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F3C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82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0DF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5DC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08E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E094F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D7C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AAF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F9EE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6A7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EF6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7F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B4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C76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2F0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24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000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4B0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A6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09E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FB6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C89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55F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69B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A51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5AD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9DF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F3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BB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6C72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64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814C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F82D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B5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DBA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BD4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2CB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85F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3ADFFE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E01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FA4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5D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CB0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0EB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35E72B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99C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13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54B6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6DE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ED66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13B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8FD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F28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E60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123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8F4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928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2B9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DE4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D838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64B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890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7261E3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8F2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1B76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7B6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0E6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5B49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0199AC8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48E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6C6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456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4C17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7D26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28BF95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C4D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E9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836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E379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09FCA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3E2DD9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243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70A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C13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CC32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30D3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5EBC27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B882">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D072E79">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9890">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EDC1D8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32BC148">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3A6A">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9A9FE"/>
    <w:multiLevelType w:val="singleLevel"/>
    <w:tmpl w:val="CFD9A9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9E49FB"/>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DBA07C"/>
    <w:rsid w:val="1B6F15B6"/>
    <w:rsid w:val="1BAA2EDC"/>
    <w:rsid w:val="1CA55E64"/>
    <w:rsid w:val="1D014A01"/>
    <w:rsid w:val="1D022362"/>
    <w:rsid w:val="1D1B04B0"/>
    <w:rsid w:val="1DA52501"/>
    <w:rsid w:val="1DBD6767"/>
    <w:rsid w:val="1DC52125"/>
    <w:rsid w:val="1DD26311"/>
    <w:rsid w:val="1E374ACB"/>
    <w:rsid w:val="1E6F31A3"/>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ADC81F"/>
    <w:rsid w:val="2BF81A22"/>
    <w:rsid w:val="2C636760"/>
    <w:rsid w:val="2C6762A3"/>
    <w:rsid w:val="2FCA4B37"/>
    <w:rsid w:val="2FDFCEB3"/>
    <w:rsid w:val="2FE029D7"/>
    <w:rsid w:val="2FEF9A71"/>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EC757BB"/>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FF064F"/>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CBE9AC"/>
    <w:rsid w:val="5BF41F67"/>
    <w:rsid w:val="5C263CE4"/>
    <w:rsid w:val="5C5D2777"/>
    <w:rsid w:val="5CF66BF3"/>
    <w:rsid w:val="5D290C69"/>
    <w:rsid w:val="5DA80C2C"/>
    <w:rsid w:val="5DDF4CFA"/>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B9184A"/>
    <w:rsid w:val="68EB1B71"/>
    <w:rsid w:val="696C0310"/>
    <w:rsid w:val="6A6C7940"/>
    <w:rsid w:val="6A9F1565"/>
    <w:rsid w:val="6AAD2300"/>
    <w:rsid w:val="6B474EF5"/>
    <w:rsid w:val="6BC938E5"/>
    <w:rsid w:val="6C0A5AC5"/>
    <w:rsid w:val="6C560CAE"/>
    <w:rsid w:val="6C576495"/>
    <w:rsid w:val="6D7537BD"/>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2FE07D9"/>
    <w:rsid w:val="73934AD2"/>
    <w:rsid w:val="747FCD7C"/>
    <w:rsid w:val="750837F0"/>
    <w:rsid w:val="754758CF"/>
    <w:rsid w:val="75595ECD"/>
    <w:rsid w:val="764F62AB"/>
    <w:rsid w:val="765C45EC"/>
    <w:rsid w:val="768A7619"/>
    <w:rsid w:val="76BD23AB"/>
    <w:rsid w:val="76DBB20E"/>
    <w:rsid w:val="772E1EBA"/>
    <w:rsid w:val="781926BC"/>
    <w:rsid w:val="796D60A4"/>
    <w:rsid w:val="79A031D5"/>
    <w:rsid w:val="79B47FDF"/>
    <w:rsid w:val="79E569A9"/>
    <w:rsid w:val="7A1525F7"/>
    <w:rsid w:val="7B420052"/>
    <w:rsid w:val="7B67F144"/>
    <w:rsid w:val="7BD06A28"/>
    <w:rsid w:val="7C3A7C0B"/>
    <w:rsid w:val="7C5248E4"/>
    <w:rsid w:val="7C566698"/>
    <w:rsid w:val="7C5866A3"/>
    <w:rsid w:val="7CF93CBC"/>
    <w:rsid w:val="7D5DC22C"/>
    <w:rsid w:val="7D7406BB"/>
    <w:rsid w:val="7DE94331"/>
    <w:rsid w:val="7DFB1431"/>
    <w:rsid w:val="7E6FB878"/>
    <w:rsid w:val="7F446A19"/>
    <w:rsid w:val="7F7452B9"/>
    <w:rsid w:val="7FBF6CE6"/>
    <w:rsid w:val="7FDDE6B2"/>
    <w:rsid w:val="9FDF6769"/>
    <w:rsid w:val="9FF6A549"/>
    <w:rsid w:val="ABDF524F"/>
    <w:rsid w:val="B1D7E853"/>
    <w:rsid w:val="BD5E331F"/>
    <w:rsid w:val="D77FFC95"/>
    <w:rsid w:val="DDBD4D9D"/>
    <w:rsid w:val="E26EC551"/>
    <w:rsid w:val="E7E8E07B"/>
    <w:rsid w:val="F37D28C6"/>
    <w:rsid w:val="F5FFA355"/>
    <w:rsid w:val="F9DF39A9"/>
    <w:rsid w:val="FDFF6DE2"/>
    <w:rsid w:val="FE764BBB"/>
    <w:rsid w:val="FEED41DC"/>
    <w:rsid w:val="FF47E5B5"/>
    <w:rsid w:val="FFBF640D"/>
    <w:rsid w:val="FFFFE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3935</Words>
  <Characters>22430</Characters>
  <Lines>186</Lines>
  <Paragraphs>52</Paragraphs>
  <TotalTime>1</TotalTime>
  <ScaleCrop>false</ScaleCrop>
  <LinksUpToDate>false</LinksUpToDate>
  <CharactersWithSpaces>26313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changcheng</cp:lastModifiedBy>
  <dcterms:modified xsi:type="dcterms:W3CDTF">2025-09-16T11:13:06Z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ies>
</file>