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丰都县殡仪馆</w:t>
      </w:r>
    </w:p>
    <w:p>
      <w:pPr>
        <w:ind w:right="85"/>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服务楼新建工程绩效目标自评报告</w:t>
      </w:r>
    </w:p>
    <w:p>
      <w:pPr>
        <w:spacing w:line="560" w:lineRule="exact"/>
        <w:ind w:firstLine="600" w:firstLineChars="200"/>
        <w:rPr>
          <w:sz w:val="30"/>
          <w:szCs w:val="30"/>
        </w:rPr>
      </w:pPr>
      <w:r>
        <w:rPr>
          <w:rFonts w:hint="eastAsia" w:ascii="仿宋_GB2312" w:hAnsi="仿宋" w:eastAsia="仿宋_GB2312"/>
          <w:sz w:val="30"/>
          <w:szCs w:val="30"/>
        </w:rPr>
        <w:t>为加强财政资金的管理，提高财政资金的使用效益，贯彻落实《中共丰都县委丰都县人民政府关于全面落实预算绩效管理的实施方案》（丰委办〔2019〕32号）、根据《中共重庆市委重庆市人民政府关于全面实施预算绩效管理的实施意见》（渝委发〔2019〕12号）、《重庆市财政专项资金绩效评价管理暂行办法》，形成自评报告如下：</w:t>
      </w:r>
    </w:p>
    <w:p>
      <w:pPr>
        <w:spacing w:line="560" w:lineRule="exact"/>
        <w:ind w:firstLine="600" w:firstLineChars="200"/>
        <w:rPr>
          <w:rFonts w:ascii="黑体" w:hAnsi="仿宋" w:eastAsia="黑体"/>
          <w:sz w:val="30"/>
          <w:szCs w:val="30"/>
        </w:rPr>
      </w:pPr>
      <w:r>
        <w:rPr>
          <w:rFonts w:hint="eastAsia" w:ascii="黑体" w:hAnsi="黑体" w:eastAsia="黑体"/>
          <w:sz w:val="30"/>
          <w:szCs w:val="30"/>
        </w:rPr>
        <w:t>一、项目基本概况</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（一）项目概况</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1、立项背景</w:t>
      </w:r>
    </w:p>
    <w:p>
      <w:pPr>
        <w:spacing w:line="360" w:lineRule="auto"/>
        <w:ind w:firstLine="600"/>
        <w:rPr>
          <w:rFonts w:ascii="仿宋_GB2312" w:eastAsia="仿宋_GB2312"/>
          <w:sz w:val="30"/>
          <w:szCs w:val="30"/>
        </w:rPr>
      </w:pPr>
      <w:r>
        <w:rPr>
          <w:rFonts w:hint="eastAsia" w:ascii="仿宋_GB2312" w:eastAsia="仿宋_GB2312"/>
          <w:sz w:val="30"/>
          <w:szCs w:val="30"/>
        </w:rPr>
        <w:t>殡葬活动早在人类社会产生的初期，就成为社会当中一项重要的生活内容。而当今社会殡仪馆建筑既是作为城市中公共建筑配套中必不可少的一个环节，也是一个城市文明高低程度的象征与标志。</w:t>
      </w:r>
    </w:p>
    <w:p>
      <w:pPr>
        <w:spacing w:line="360" w:lineRule="auto"/>
        <w:ind w:firstLine="600"/>
        <w:rPr>
          <w:rFonts w:ascii="仿宋_GB2312" w:eastAsia="仿宋_GB2312"/>
          <w:sz w:val="30"/>
          <w:szCs w:val="30"/>
        </w:rPr>
      </w:pPr>
      <w:r>
        <w:rPr>
          <w:rFonts w:hint="eastAsia" w:ascii="仿宋_GB2312" w:eastAsia="仿宋_GB2312"/>
          <w:sz w:val="30"/>
          <w:szCs w:val="30"/>
        </w:rPr>
        <w:t>殡仪馆建设随社会主义精神文明建设提高而提升，随生产力的发展而发展，是社会进步的产物。殡仪馆是为全社会服务的窗口，其功能是通过人们在殡仪馆举行的一系列活动，使人们的悲伤心灵得到慰藉，哀思有所寄托，生者得到安慰，逝者得到安息，起到移风易俗，升华人们的思想的作用，从而达到整个丧葬过程文明、健康、进步。与此同时，殡仪馆建设对集约、节约用地和保护生态环境等具有重要实现意义。</w:t>
      </w:r>
    </w:p>
    <w:p>
      <w:pPr>
        <w:spacing w:line="360" w:lineRule="auto"/>
        <w:ind w:firstLine="600"/>
        <w:rPr>
          <w:rFonts w:ascii="仿宋_GB2312" w:eastAsia="仿宋_GB2312"/>
          <w:sz w:val="30"/>
          <w:szCs w:val="30"/>
        </w:rPr>
      </w:pPr>
      <w:r>
        <w:rPr>
          <w:rFonts w:hint="eastAsia" w:ascii="仿宋_GB2312" w:eastAsia="仿宋_GB2312"/>
          <w:sz w:val="30"/>
          <w:szCs w:val="30"/>
        </w:rPr>
        <w:t>随着经济社会的不断发展，导致人们对殡葬事业的需求越来越强烈，和谐殡葬是构建社会主义和谐社会不可或缺的一部分，殡仪馆作为目前殡葬服务的主要提供者，在贯彻落实党和 政府的</w:t>
      </w:r>
      <w:r>
        <w:rPr>
          <w:rFonts w:hint="eastAsia"/>
          <w:sz w:val="30"/>
          <w:szCs w:val="30"/>
        </w:rPr>
        <w:t>“</w:t>
      </w:r>
      <w:r>
        <w:rPr>
          <w:rFonts w:hint="eastAsia" w:ascii="仿宋_GB2312" w:eastAsia="仿宋_GB2312"/>
          <w:sz w:val="30"/>
          <w:szCs w:val="30"/>
        </w:rPr>
        <w:t>亲民、为民、利民</w:t>
      </w:r>
      <w:r>
        <w:rPr>
          <w:rFonts w:hint="eastAsia"/>
          <w:sz w:val="30"/>
          <w:szCs w:val="30"/>
        </w:rPr>
        <w:t>”</w:t>
      </w:r>
      <w:r>
        <w:rPr>
          <w:rFonts w:hint="eastAsia" w:ascii="仿宋_GB2312" w:eastAsia="仿宋_GB2312"/>
          <w:sz w:val="30"/>
          <w:szCs w:val="30"/>
        </w:rPr>
        <w:t>政策上具有不可替代的作用。</w:t>
      </w:r>
    </w:p>
    <w:p>
      <w:pPr>
        <w:spacing w:line="360" w:lineRule="auto"/>
        <w:ind w:firstLine="600"/>
        <w:rPr>
          <w:rFonts w:eastAsia="仿宋_GB2312"/>
          <w:sz w:val="30"/>
          <w:szCs w:val="30"/>
        </w:rPr>
      </w:pPr>
      <w:r>
        <w:rPr>
          <w:rFonts w:hint="eastAsia" w:ascii="仿宋_GB2312" w:eastAsia="仿宋_GB2312"/>
          <w:sz w:val="30"/>
          <w:szCs w:val="30"/>
        </w:rPr>
        <w:t>丰都县是三峡库区移民重点县，</w:t>
      </w:r>
      <w:r>
        <w:rPr>
          <w:rFonts w:hint="eastAsia" w:ascii="仿宋_GB2312" w:eastAsia="仿宋_GB2312"/>
          <w:spacing w:val="10"/>
          <w:sz w:val="30"/>
          <w:szCs w:val="30"/>
        </w:rPr>
        <w:t>全县辖</w:t>
      </w:r>
      <w:r>
        <w:rPr>
          <w:rFonts w:hint="eastAsia"/>
          <w:bCs/>
          <w:sz w:val="30"/>
          <w:szCs w:val="30"/>
        </w:rPr>
        <w:t>30</w:t>
      </w:r>
      <w:r>
        <w:rPr>
          <w:rFonts w:hint="eastAsia" w:ascii="仿宋_GB2312" w:eastAsia="仿宋_GB2312"/>
          <w:bCs/>
          <w:sz w:val="30"/>
          <w:szCs w:val="30"/>
        </w:rPr>
        <w:t>个乡（镇、街道）</w:t>
      </w:r>
      <w:r>
        <w:rPr>
          <w:rFonts w:hint="eastAsia"/>
          <w:bCs/>
          <w:sz w:val="30"/>
          <w:szCs w:val="30"/>
        </w:rPr>
        <w:t>280</w:t>
      </w:r>
      <w:r>
        <w:rPr>
          <w:rFonts w:hint="eastAsia" w:ascii="仿宋_GB2312" w:eastAsia="仿宋_GB2312"/>
          <w:bCs/>
          <w:sz w:val="30"/>
          <w:szCs w:val="30"/>
        </w:rPr>
        <w:t>个行政村、</w:t>
      </w:r>
      <w:r>
        <w:rPr>
          <w:rFonts w:hint="eastAsia"/>
          <w:bCs/>
          <w:sz w:val="30"/>
          <w:szCs w:val="30"/>
        </w:rPr>
        <w:t>48</w:t>
      </w:r>
      <w:r>
        <w:rPr>
          <w:rFonts w:hint="eastAsia" w:ascii="仿宋_GB2312" w:eastAsia="仿宋_GB2312"/>
          <w:bCs/>
          <w:sz w:val="30"/>
          <w:szCs w:val="30"/>
        </w:rPr>
        <w:t>个居委会，总人口</w:t>
      </w:r>
      <w:r>
        <w:rPr>
          <w:rFonts w:hint="eastAsia"/>
          <w:bCs/>
          <w:sz w:val="30"/>
          <w:szCs w:val="30"/>
        </w:rPr>
        <w:t>82.37</w:t>
      </w:r>
      <w:r>
        <w:rPr>
          <w:rFonts w:hint="eastAsia" w:ascii="仿宋_GB2312" w:eastAsia="仿宋_GB2312"/>
          <w:bCs/>
          <w:sz w:val="30"/>
          <w:szCs w:val="30"/>
        </w:rPr>
        <w:t>万人，其中农业人口</w:t>
      </w:r>
      <w:r>
        <w:rPr>
          <w:rFonts w:hint="eastAsia"/>
          <w:bCs/>
          <w:sz w:val="30"/>
          <w:szCs w:val="30"/>
        </w:rPr>
        <w:t>66.3</w:t>
      </w:r>
      <w:r>
        <w:rPr>
          <w:rFonts w:hint="eastAsia" w:ascii="仿宋_GB2312" w:eastAsia="仿宋_GB2312"/>
          <w:bCs/>
          <w:sz w:val="30"/>
          <w:szCs w:val="30"/>
        </w:rPr>
        <w:t>万人，非农业人口</w:t>
      </w:r>
      <w:r>
        <w:rPr>
          <w:rFonts w:hint="eastAsia"/>
          <w:bCs/>
          <w:sz w:val="30"/>
          <w:szCs w:val="30"/>
        </w:rPr>
        <w:t>16.12</w:t>
      </w:r>
      <w:r>
        <w:rPr>
          <w:rFonts w:hint="eastAsia" w:ascii="仿宋_GB2312" w:eastAsia="仿宋_GB2312"/>
          <w:bCs/>
          <w:sz w:val="30"/>
          <w:szCs w:val="30"/>
        </w:rPr>
        <w:t>万人。</w:t>
      </w:r>
      <w:r>
        <w:rPr>
          <w:rFonts w:hint="eastAsia" w:ascii="仿宋_GB2312" w:eastAsia="仿宋_GB2312"/>
          <w:sz w:val="30"/>
          <w:szCs w:val="30"/>
        </w:rPr>
        <w:t>每年死亡人数约</w:t>
      </w:r>
      <w:r>
        <w:rPr>
          <w:rFonts w:hint="eastAsia"/>
          <w:sz w:val="30"/>
          <w:szCs w:val="30"/>
        </w:rPr>
        <w:t>5000</w:t>
      </w:r>
      <w:r>
        <w:rPr>
          <w:rFonts w:hint="eastAsia" w:ascii="仿宋_GB2312" w:eastAsia="仿宋_GB2312"/>
          <w:sz w:val="30"/>
          <w:szCs w:val="30"/>
        </w:rPr>
        <w:t>多人。如按常规土葬每冢坟占地</w:t>
      </w:r>
      <w:r>
        <w:rPr>
          <w:rFonts w:hint="eastAsia"/>
          <w:sz w:val="30"/>
          <w:szCs w:val="30"/>
        </w:rPr>
        <w:t>20</w:t>
      </w:r>
      <w:r>
        <w:rPr>
          <w:rFonts w:hint="eastAsia" w:ascii="仿宋_GB2312" w:eastAsia="仿宋_GB2312"/>
          <w:sz w:val="30"/>
          <w:szCs w:val="30"/>
        </w:rPr>
        <w:t>平方米计算，则每年将占地</w:t>
      </w:r>
      <w:r>
        <w:rPr>
          <w:rFonts w:hint="eastAsia"/>
          <w:sz w:val="30"/>
          <w:szCs w:val="30"/>
        </w:rPr>
        <w:t>149</w:t>
      </w:r>
      <w:r>
        <w:rPr>
          <w:rFonts w:hint="eastAsia" w:ascii="仿宋_GB2312" w:eastAsia="仿宋_GB2312"/>
          <w:sz w:val="30"/>
          <w:szCs w:val="30"/>
        </w:rPr>
        <w:t>亩，且其中</w:t>
      </w:r>
      <w:r>
        <w:rPr>
          <w:rFonts w:hint="eastAsia"/>
          <w:sz w:val="30"/>
          <w:szCs w:val="30"/>
        </w:rPr>
        <w:t>1/3</w:t>
      </w:r>
      <w:r>
        <w:rPr>
          <w:rFonts w:hint="eastAsia" w:ascii="仿宋_GB2312" w:eastAsia="仿宋_GB2312"/>
          <w:sz w:val="30"/>
          <w:szCs w:val="30"/>
        </w:rPr>
        <w:t>以上是耕地。长此以往，死人与活人争地的局面将愈演愈烈，而能开垦的荒山荒地将逐年下降，利用率将越来越低，可耕作的土地也将越来越少，势必从根本上制约着全县人民群众生活水平的提高和贫困山区脱贫致富。另外，在丧葬过程中，受传统思想和封建迷信的影响，大操大办在当地农村盛行已久，铺张浪费较严重。据不完全统计，仅此一项该县每年开销达</w:t>
      </w:r>
      <w:r>
        <w:rPr>
          <w:rFonts w:hint="eastAsia"/>
          <w:sz w:val="30"/>
          <w:szCs w:val="30"/>
        </w:rPr>
        <w:t>9000</w:t>
      </w:r>
      <w:r>
        <w:rPr>
          <w:rFonts w:hint="eastAsia" w:ascii="仿宋_GB2312" w:eastAsia="仿宋_GB2312"/>
          <w:sz w:val="30"/>
          <w:szCs w:val="30"/>
        </w:rPr>
        <w:t>万元，极大地浪费人力、物力和财力，影响两个文明建设，同时也影响全县全面小康社会的进程。</w:t>
      </w:r>
    </w:p>
    <w:p>
      <w:pPr>
        <w:spacing w:line="360" w:lineRule="auto"/>
        <w:ind w:firstLine="576" w:firstLineChars="192"/>
        <w:rPr>
          <w:rFonts w:ascii="仿宋_GB2312" w:eastAsia="仿宋_GB2312"/>
          <w:sz w:val="30"/>
          <w:szCs w:val="30"/>
        </w:rPr>
      </w:pPr>
      <w:r>
        <w:rPr>
          <w:rFonts w:hint="eastAsia" w:ascii="仿宋_GB2312" w:eastAsia="仿宋_GB2312"/>
          <w:bCs/>
          <w:sz w:val="30"/>
          <w:szCs w:val="30"/>
        </w:rPr>
        <w:t>目前，</w:t>
      </w:r>
      <w:r>
        <w:rPr>
          <w:rFonts w:hint="eastAsia" w:ascii="仿宋_GB2312" w:eastAsia="仿宋_GB2312"/>
          <w:sz w:val="30"/>
          <w:szCs w:val="30"/>
        </w:rPr>
        <w:t>丰都县殡仪馆始建于</w:t>
      </w:r>
      <w:r>
        <w:rPr>
          <w:rFonts w:hint="eastAsia"/>
          <w:sz w:val="30"/>
          <w:szCs w:val="30"/>
        </w:rPr>
        <w:t>1976</w:t>
      </w:r>
      <w:r>
        <w:rPr>
          <w:rFonts w:hint="eastAsia" w:ascii="仿宋_GB2312" w:eastAsia="仿宋_GB2312"/>
          <w:sz w:val="30"/>
          <w:szCs w:val="30"/>
        </w:rPr>
        <w:t>年，占地面积仅约</w:t>
      </w:r>
      <w:r>
        <w:rPr>
          <w:rFonts w:hint="eastAsia"/>
          <w:sz w:val="30"/>
          <w:szCs w:val="30"/>
        </w:rPr>
        <w:t>10</w:t>
      </w:r>
      <w:r>
        <w:rPr>
          <w:rFonts w:hint="eastAsia" w:ascii="仿宋_GB2312" w:eastAsia="仿宋_GB2312"/>
          <w:sz w:val="30"/>
          <w:szCs w:val="30"/>
        </w:rPr>
        <w:t>亩，建筑面积仅</w:t>
      </w:r>
      <w:r>
        <w:rPr>
          <w:rFonts w:hint="eastAsia"/>
          <w:sz w:val="30"/>
          <w:szCs w:val="30"/>
        </w:rPr>
        <w:t>2000</w:t>
      </w:r>
      <w:r>
        <w:rPr>
          <w:rFonts w:hint="eastAsia" w:ascii="仿宋_GB2312" w:eastAsia="仿宋_GB2312"/>
          <w:sz w:val="30"/>
          <w:szCs w:val="30"/>
        </w:rPr>
        <w:t>平方米，且大部分是危房，整体规划不够合理，建筑简陋，设备陈旧，设施落后，年平均火化量</w:t>
      </w:r>
      <w:r>
        <w:rPr>
          <w:rFonts w:hint="eastAsia"/>
          <w:sz w:val="30"/>
          <w:szCs w:val="30"/>
        </w:rPr>
        <w:t>1500</w:t>
      </w:r>
      <w:r>
        <w:rPr>
          <w:rFonts w:hint="eastAsia" w:ascii="仿宋_GB2312" w:eastAsia="仿宋_GB2312"/>
          <w:sz w:val="30"/>
          <w:szCs w:val="30"/>
        </w:rPr>
        <w:t>具左右，现有的条件不能担负着全县的殡仪服务和火化任务，与两个文明建设的要求不相适应</w:t>
      </w:r>
      <w:r>
        <w:rPr>
          <w:rFonts w:hint="eastAsia" w:ascii="仿宋_GB2312" w:hAnsi="Arial" w:eastAsia="仿宋_GB2312"/>
          <w:sz w:val="30"/>
          <w:szCs w:val="30"/>
        </w:rPr>
        <w:t>。</w:t>
      </w:r>
    </w:p>
    <w:p>
      <w:pPr>
        <w:spacing w:line="360" w:lineRule="auto"/>
        <w:ind w:firstLine="576" w:firstLineChars="192"/>
        <w:rPr>
          <w:rFonts w:ascii="仿宋_GB2312" w:eastAsia="仿宋_GB2312"/>
          <w:sz w:val="30"/>
          <w:szCs w:val="30"/>
        </w:rPr>
      </w:pPr>
      <w:r>
        <w:rPr>
          <w:rFonts w:hint="eastAsia" w:ascii="仿宋_GB2312" w:eastAsia="仿宋_GB2312"/>
          <w:sz w:val="30"/>
          <w:szCs w:val="30"/>
        </w:rPr>
        <w:t>建设丰都县殡仪馆，使之成为与丰都城市规模和经济发展战略功能定位相适应的社会主义精神文明建设阵地。能够承担起丰都县30个乡镇非农业人口，16个火化乡镇死亡人员的全部殡葬火化任务，是新形势下构建和谐社会、落实</w:t>
      </w:r>
      <w:r>
        <w:rPr>
          <w:rFonts w:hint="eastAsia"/>
          <w:sz w:val="30"/>
          <w:szCs w:val="30"/>
        </w:rPr>
        <w:t>“</w:t>
      </w:r>
      <w:r>
        <w:rPr>
          <w:rFonts w:hint="eastAsia" w:ascii="仿宋_GB2312" w:eastAsia="仿宋_GB2312"/>
          <w:sz w:val="30"/>
          <w:szCs w:val="30"/>
        </w:rPr>
        <w:t>以人为本</w:t>
      </w:r>
      <w:r>
        <w:rPr>
          <w:rFonts w:hint="eastAsia"/>
          <w:sz w:val="30"/>
          <w:szCs w:val="30"/>
        </w:rPr>
        <w:t>”</w:t>
      </w:r>
      <w:r>
        <w:rPr>
          <w:rFonts w:hint="eastAsia" w:ascii="仿宋_GB2312" w:eastAsia="仿宋_GB2312"/>
          <w:sz w:val="30"/>
          <w:szCs w:val="30"/>
        </w:rPr>
        <w:t>科学发展观的具体体现，也是发展社会福利事业和完善社会保障制度的要求。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2、项目实施情况</w:t>
      </w:r>
    </w:p>
    <w:p>
      <w:pPr>
        <w:ind w:firstLine="600" w:firstLineChars="200"/>
        <w:rPr>
          <w:rFonts w:ascii="仿宋_GB2312" w:hAnsi="仿宋" w:eastAsia="仿宋_GB2312"/>
          <w:sz w:val="30"/>
          <w:szCs w:val="30"/>
        </w:rPr>
      </w:pPr>
      <w:r>
        <w:rPr>
          <w:rFonts w:hint="eastAsia" w:ascii="仿宋_GB2312" w:hAnsi="仿宋" w:eastAsia="仿宋_GB2312"/>
          <w:sz w:val="30"/>
          <w:szCs w:val="30"/>
        </w:rPr>
        <w:t>殡仪馆殡葬新建工程2555.31万元，其中：中央资金1700万元，市财政455.52万元，县财政399.79万元；用于殡仪馆殡葬新建工程。本项目支出资金1760.33万元，余额794.98万元。</w:t>
      </w:r>
      <w:r>
        <w:rPr>
          <w:rFonts w:hint="eastAsia" w:ascii="仿宋_GB2312" w:hAnsi="仿宋" w:eastAsia="仿宋_GB2312"/>
          <w:sz w:val="30"/>
          <w:szCs w:val="30"/>
        </w:rPr>
        <w:br w:type="textWrapping"/>
      </w:r>
      <w:r>
        <w:rPr>
          <w:rFonts w:hint="eastAsia" w:ascii="仿宋_GB2312" w:hAnsi="仿宋" w:eastAsia="仿宋_GB2312"/>
          <w:sz w:val="30"/>
          <w:szCs w:val="30"/>
        </w:rPr>
        <w:t xml:space="preserve">   3、项目经费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2020年，丰都县殡仪馆服务楼新建工程项目资金总补助资金2555.31万元。其中：中央资金1700万元，市财政455.52万元，县财政399.79万元，资金到位率100%。</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（二）项目绩效目标</w:t>
      </w:r>
    </w:p>
    <w:p>
      <w:pPr>
        <w:pStyle w:val="3"/>
        <w:topLinePunct/>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殡仪馆殡葬新建工程。绩效总目标是建成占地6667平方，总建筑面积7200平方，其中火花流水服务车间800平方，骨灰堂800平方，治丧大厅5600平方，主要建设内容包括土建、装饰、道路、边坡、土石方及设备工程。由于缺乏资金，工程尚未完工。</w:t>
      </w:r>
    </w:p>
    <w:p>
      <w:pPr>
        <w:numPr>
          <w:ilvl w:val="0"/>
          <w:numId w:val="1"/>
        </w:numPr>
        <w:spacing w:line="560" w:lineRule="exact"/>
        <w:ind w:firstLine="600" w:firstLineChars="200"/>
        <w:rPr>
          <w:rFonts w:ascii="黑体" w:hAnsi="仿宋" w:eastAsia="黑体"/>
          <w:sz w:val="30"/>
          <w:szCs w:val="30"/>
        </w:rPr>
      </w:pPr>
      <w:r>
        <w:rPr>
          <w:rFonts w:hint="eastAsia" w:ascii="黑体" w:hAnsi="黑体" w:eastAsia="黑体"/>
          <w:sz w:val="30"/>
          <w:szCs w:val="30"/>
        </w:rPr>
        <w:t>项目绩效评价工作情况</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2020年2月20日，成立殡仪馆项目绩效评价工作组，负责绩效自评工作，工作组的主要成员及职责如下：</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1、工作组成员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组  长：胡志涛</w:t>
      </w:r>
    </w:p>
    <w:p>
      <w:pPr>
        <w:spacing w:line="560" w:lineRule="exact"/>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rPr>
        <w:t>副组长：王国</w:t>
      </w:r>
      <w:r>
        <w:rPr>
          <w:rFonts w:hint="eastAsia" w:ascii="仿宋_GB2312" w:hAnsi="仿宋" w:eastAsia="仿宋_GB2312"/>
          <w:sz w:val="30"/>
          <w:szCs w:val="30"/>
          <w:lang w:eastAsia="zh-CN"/>
        </w:rPr>
        <w:t>斌</w:t>
      </w:r>
    </w:p>
    <w:p>
      <w:pPr>
        <w:spacing w:line="560" w:lineRule="exact"/>
        <w:ind w:firstLine="600" w:firstLineChars="200"/>
        <w:rPr>
          <w:rFonts w:ascii="仿宋_GB2312" w:hAnsi="仿宋" w:eastAsia="仿宋_GB2312"/>
          <w:sz w:val="30"/>
          <w:szCs w:val="30"/>
        </w:rPr>
      </w:pPr>
      <w:bookmarkStart w:id="0" w:name="_GoBack"/>
      <w:bookmarkEnd w:id="0"/>
      <w:r>
        <w:rPr>
          <w:rFonts w:hint="eastAsia" w:ascii="仿宋_GB2312" w:hAnsi="仿宋" w:eastAsia="仿宋_GB2312"/>
          <w:sz w:val="30"/>
          <w:szCs w:val="30"/>
        </w:rPr>
        <w:t>成  员：李娟华、杨能益</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办公室设在财务室。</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2、工作职责</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（1）组长职责：审批绩效自评方案，监督、检查、核实绩效自评结果。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（2）副组长职责：审核修改拟定的绩效自评方案，并提交考评工作组会议讨论通过；监督、部署、确认绩效自评过程及反馈意见的处理。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60" w:lineRule="exact"/>
        <w:ind w:firstLine="600" w:firstLineChars="200"/>
        <w:rPr>
          <w:rFonts w:ascii="仿宋_GB2312" w:eastAsia="仿宋_GB2312"/>
          <w:b/>
          <w:sz w:val="30"/>
          <w:szCs w:val="30"/>
        </w:rPr>
      </w:pPr>
      <w:r>
        <w:rPr>
          <w:rFonts w:hint="eastAsia" w:ascii="仿宋_GB2312" w:hAnsi="仿宋" w:eastAsia="仿宋_GB2312"/>
          <w:sz w:val="30"/>
          <w:szCs w:val="30"/>
        </w:rPr>
        <w:t>2021年2月22日，考评工作组按照项目批复文件、合同条款、项目设计概算等，开展自评检查工作，对项目整体实施情况和质量进行评定，核实资金拨付情况等。</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3、工作进展</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本次绩效评价工作分为三个阶段：</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第一个阶段为评价准备阶段，考评工作组与中介机构沟通项目基本情况，梳理和研读了国家层面、市级层面、县级层面与本次评价项目有关的政策文件，获取项目资料。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第二个阶段为实施评价阶段，中介机构于2021年2月22日至3月1日开展评价实施。取得殡仪馆评价项目的进度和资金筹集支出情况等资料，通过研读与搭建指标体系进行评价，并进行报告撰写。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第三个阶段为评价完成阶段，2021年3月3日至3月11日，考评工作组对自评表与绩效评价初稿进行审核，按照项目文件、资金拨付资料，开展自评检查工作，对项目整体实施情况和质量进行评定。提出修改意见并与中介机构沟通，形成绩效报告。</w:t>
      </w:r>
    </w:p>
    <w:p>
      <w:pPr>
        <w:spacing w:line="560" w:lineRule="exact"/>
        <w:ind w:firstLine="600" w:firstLineChars="200"/>
        <w:rPr>
          <w:rFonts w:ascii="楷体_GB2312" w:hAnsi="仿宋" w:eastAsia="楷体_GB2312"/>
          <w:sz w:val="30"/>
          <w:szCs w:val="30"/>
        </w:rPr>
      </w:pPr>
      <w:r>
        <w:rPr>
          <w:rFonts w:hint="eastAsia" w:ascii="黑体" w:hAnsi="黑体" w:eastAsia="黑体"/>
          <w:sz w:val="30"/>
          <w:szCs w:val="30"/>
        </w:rPr>
        <w:t>三、绩效分析及评价结论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评价工作组通过资料收集分析、指标体系搭建等方式，对丰都县殡仪馆四大项目进行综合绩效评分。单个项目绩效指标分值为100分，其中投入20分，管理20分，产出与效益60分。</w:t>
      </w:r>
      <w:r>
        <w:rPr>
          <w:rFonts w:hint="eastAsia" w:ascii="仿宋_GB2312" w:hAnsi="仿宋" w:eastAsia="仿宋_GB2312"/>
          <w:sz w:val="30"/>
          <w:szCs w:val="30"/>
        </w:rPr>
        <w:br w:type="textWrapping"/>
      </w:r>
      <w:r>
        <w:rPr>
          <w:rFonts w:hint="eastAsia" w:ascii="仿宋_GB2312" w:hAnsi="仿宋" w:eastAsia="仿宋_GB2312"/>
          <w:sz w:val="30"/>
          <w:szCs w:val="30"/>
        </w:rPr>
        <w:t>殡仪馆服务楼新建工程绩效总得分91分，绩效评级为</w:t>
      </w:r>
      <w:r>
        <w:rPr>
          <w:rFonts w:hint="eastAsia" w:ascii="仿宋" w:hAnsi="仿宋" w:eastAsia="仿宋"/>
          <w:sz w:val="30"/>
          <w:szCs w:val="30"/>
        </w:rPr>
        <w:t>“</w:t>
      </w:r>
      <w:r>
        <w:rPr>
          <w:rFonts w:hint="eastAsia" w:ascii="仿宋_GB2312" w:hAnsi="仿宋" w:eastAsia="仿宋_GB2312"/>
          <w:sz w:val="30"/>
          <w:szCs w:val="30"/>
        </w:rPr>
        <w:t>优</w:t>
      </w:r>
      <w:r>
        <w:rPr>
          <w:rFonts w:hint="eastAsia" w:ascii="仿宋" w:hAnsi="仿宋" w:eastAsia="仿宋"/>
          <w:sz w:val="30"/>
          <w:szCs w:val="30"/>
        </w:rPr>
        <w:t>”</w:t>
      </w:r>
      <w:r>
        <w:rPr>
          <w:rFonts w:hint="eastAsia" w:ascii="仿宋_GB2312" w:hAnsi="仿宋" w:eastAsia="仿宋_GB2312"/>
          <w:sz w:val="30"/>
          <w:szCs w:val="30"/>
        </w:rPr>
        <w:t>。</w:t>
      </w:r>
    </w:p>
    <w:p>
      <w:pPr>
        <w:topLinePunct/>
        <w:ind w:firstLine="480" w:firstLineChars="200"/>
        <w:jc w:val="center"/>
      </w:pPr>
      <w:r>
        <w:rPr>
          <w:rFonts w:ascii="方正仿宋_GBK" w:hAnsi="方正仿宋_GBK"/>
          <w:bCs/>
        </w:rPr>
        <w:t>绩效项目得分表</w:t>
      </w:r>
    </w:p>
    <w:tbl>
      <w:tblPr>
        <w:tblStyle w:val="8"/>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16"/>
        <w:gridCol w:w="1197"/>
        <w:gridCol w:w="1173"/>
        <w:gridCol w:w="1294"/>
        <w:gridCol w:w="102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序号</w:t>
            </w:r>
          </w:p>
        </w:tc>
        <w:tc>
          <w:tcPr>
            <w:tcW w:w="2116"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项目</w:t>
            </w: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投入</w:t>
            </w:r>
          </w:p>
          <w:p>
            <w:pPr>
              <w:widowControl/>
              <w:topLinePunct/>
              <w:spacing w:line="240" w:lineRule="atLeast"/>
              <w:jc w:val="center"/>
              <w:rPr>
                <w:rFonts w:ascii="方正仿宋_GBK" w:cs="Arial"/>
                <w:bCs/>
              </w:rPr>
            </w:pPr>
            <w:r>
              <w:rPr>
                <w:rFonts w:ascii="方正仿宋_GBK" w:hAnsi="方正仿宋_GBK"/>
                <w:bCs/>
              </w:rPr>
              <w:t>（</w:t>
            </w:r>
            <w:r>
              <w:rPr>
                <w:rFonts w:ascii="方正仿宋_GBK" w:hAnsi="方正仿宋_GBK" w:cs="Arial"/>
                <w:bCs/>
              </w:rPr>
              <w:t>20%）</w:t>
            </w: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管理</w:t>
            </w:r>
          </w:p>
          <w:p>
            <w:pPr>
              <w:widowControl/>
              <w:topLinePunct/>
              <w:spacing w:line="240" w:lineRule="atLeast"/>
              <w:jc w:val="center"/>
              <w:rPr>
                <w:rFonts w:ascii="方正仿宋_GBK" w:cs="Arial"/>
                <w:bCs/>
              </w:rPr>
            </w:pPr>
            <w:r>
              <w:rPr>
                <w:rFonts w:ascii="方正仿宋_GBK" w:hAnsi="方正仿宋_GBK"/>
                <w:bCs/>
              </w:rPr>
              <w:t>（</w:t>
            </w:r>
            <w:r>
              <w:rPr>
                <w:rFonts w:ascii="方正仿宋_GBK" w:hAnsi="方正仿宋_GBK" w:cs="Arial"/>
                <w:bCs/>
              </w:rPr>
              <w:t>20%）</w:t>
            </w: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产出与效益</w:t>
            </w:r>
            <w:r>
              <w:rPr>
                <w:rFonts w:ascii="方正仿宋_GBK" w:hAnsi="方正仿宋_GBK" w:cs="Arial"/>
                <w:bCs/>
              </w:rPr>
              <w:t xml:space="preserve"> （</w:t>
            </w:r>
            <w:r>
              <w:rPr>
                <w:rFonts w:ascii="方正仿宋_GBK" w:cs="Arial"/>
                <w:bCs/>
              </w:rPr>
              <w:t>60%）</w:t>
            </w: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总分</w:t>
            </w:r>
          </w:p>
          <w:p>
            <w:pPr>
              <w:widowControl/>
              <w:topLinePunct/>
              <w:spacing w:line="240" w:lineRule="atLeast"/>
              <w:jc w:val="center"/>
              <w:rPr>
                <w:rFonts w:ascii="方正仿宋_GBK" w:cs="Arial"/>
                <w:bCs/>
              </w:rPr>
            </w:pPr>
            <w:r>
              <w:rPr>
                <w:rFonts w:ascii="方正仿宋_GBK" w:hAnsi="方正仿宋_GBK"/>
                <w:bCs/>
              </w:rPr>
              <w:t>（</w:t>
            </w:r>
            <w:r>
              <w:rPr>
                <w:rFonts w:ascii="方正仿宋_GBK" w:hAnsi="方正仿宋_GBK" w:cs="Arial"/>
                <w:bCs/>
              </w:rPr>
              <w:t>100%）</w:t>
            </w: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绩效得分</w:t>
            </w:r>
          </w:p>
          <w:p>
            <w:pPr>
              <w:widowControl/>
              <w:topLinePunct/>
              <w:spacing w:line="240" w:lineRule="atLeast"/>
              <w:jc w:val="center"/>
              <w:rPr>
                <w:rFonts w:ascii="方正仿宋_GBK" w:cs="Arial"/>
                <w:bCs/>
              </w:rPr>
            </w:pPr>
            <w:r>
              <w:rPr>
                <w:rFonts w:ascii="方正仿宋_GBK" w:hAnsi="方正仿宋_GBK"/>
                <w:bCs/>
              </w:rPr>
              <w:t>（总分</w:t>
            </w:r>
            <w:r>
              <w:rPr>
                <w:rFonts w:ascii="方正仿宋_GBK" w:hAnsi="方正仿宋_GBK" w:cs="Arial"/>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1</w:t>
            </w:r>
          </w:p>
        </w:tc>
        <w:tc>
          <w:tcPr>
            <w:tcW w:w="2116"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殡仪馆服务楼新建工程</w:t>
            </w:r>
            <w:r>
              <w:rPr>
                <w:rFonts w:ascii="方正仿宋_GBK" w:hAnsi="方正仿宋_GBK" w:cs="Arial"/>
                <w:bCs/>
              </w:rPr>
              <w:t xml:space="preserve"> </w:t>
            </w:r>
            <w:r>
              <w:rPr>
                <w:rFonts w:ascii="方正仿宋_GBK" w:hAnsi="方正仿宋_GBK"/>
                <w:bCs/>
              </w:rPr>
              <w:t xml:space="preserve"> </w:t>
            </w: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20</w:t>
            </w: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20</w:t>
            </w: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5</w:t>
            </w:r>
            <w:r>
              <w:rPr>
                <w:rFonts w:ascii="方正仿宋_GBK" w:hAnsi="方正仿宋_GBK"/>
                <w:bCs/>
                <w:color w:val="FF0000"/>
              </w:rPr>
              <w:t>1</w:t>
            </w: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91</w:t>
            </w: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2</w:t>
            </w:r>
          </w:p>
        </w:tc>
        <w:tc>
          <w:tcPr>
            <w:tcW w:w="2116"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3</w:t>
            </w:r>
          </w:p>
        </w:tc>
        <w:tc>
          <w:tcPr>
            <w:tcW w:w="2116"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4</w:t>
            </w:r>
          </w:p>
        </w:tc>
        <w:tc>
          <w:tcPr>
            <w:tcW w:w="2116"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left"/>
              <w:rPr>
                <w:rFonts w:ascii="方正仿宋_GBK" w:cs="Arial"/>
                <w:bCs/>
              </w:rPr>
            </w:pP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left"/>
              <w:rPr>
                <w:rFonts w:ascii="方正仿宋_GBK" w:cs="Arial"/>
                <w:bCs/>
                <w:color w:val="FF0000"/>
              </w:rPr>
            </w:pP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2116"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color w:val="FF0000"/>
              </w:rPr>
            </w:pP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color w:val="FF0000"/>
              </w:rPr>
            </w:pP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811" w:type="dxa"/>
            <w:gridSpan w:val="2"/>
            <w:tcBorders>
              <w:top w:val="single" w:color="auto" w:sz="4" w:space="0"/>
              <w:left w:val="single" w:color="auto" w:sz="4" w:space="0"/>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合计</w:t>
            </w:r>
          </w:p>
        </w:tc>
        <w:tc>
          <w:tcPr>
            <w:tcW w:w="1197"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20</w:t>
            </w:r>
          </w:p>
        </w:tc>
        <w:tc>
          <w:tcPr>
            <w:tcW w:w="1173"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20</w:t>
            </w:r>
          </w:p>
        </w:tc>
        <w:tc>
          <w:tcPr>
            <w:tcW w:w="1294"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51</w:t>
            </w:r>
          </w:p>
        </w:tc>
        <w:tc>
          <w:tcPr>
            <w:tcW w:w="1025"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rPr>
            </w:pPr>
            <w:r>
              <w:rPr>
                <w:rFonts w:ascii="方正仿宋_GBK" w:hAnsi="方正仿宋_GBK"/>
                <w:bCs/>
              </w:rPr>
              <w:t>91</w:t>
            </w:r>
          </w:p>
        </w:tc>
        <w:tc>
          <w:tcPr>
            <w:tcW w:w="1589" w:type="dxa"/>
            <w:tcBorders>
              <w:top w:val="single" w:color="auto" w:sz="4" w:space="0"/>
              <w:left w:val="nil"/>
              <w:bottom w:val="single" w:color="auto" w:sz="4" w:space="0"/>
              <w:right w:val="single" w:color="auto" w:sz="4" w:space="0"/>
            </w:tcBorders>
            <w:vAlign w:val="center"/>
          </w:tcPr>
          <w:p>
            <w:pPr>
              <w:widowControl/>
              <w:topLinePunct/>
              <w:spacing w:line="240" w:lineRule="atLeast"/>
              <w:jc w:val="center"/>
              <w:rPr>
                <w:rFonts w:ascii="方正仿宋_GBK" w:cs="Arial"/>
                <w:bCs/>
                <w:color w:val="FF0000"/>
              </w:rPr>
            </w:pPr>
            <w:r>
              <w:rPr>
                <w:rFonts w:ascii="方正仿宋_GBK" w:hAnsi="方正仿宋_GBK"/>
                <w:bCs/>
                <w:color w:val="FF0000"/>
              </w:rPr>
              <w:t>18.2</w:t>
            </w:r>
          </w:p>
        </w:tc>
      </w:tr>
    </w:tbl>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（一）投入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投入类指标从殡仪馆殡葬服务楼新建工程，指标分值20分，得分20分。指标的得分情况如下表所示。</w:t>
      </w:r>
    </w:p>
    <w:p>
      <w:pPr>
        <w:topLinePunct/>
        <w:ind w:firstLine="480" w:firstLineChars="200"/>
        <w:jc w:val="center"/>
        <w:rPr>
          <w:bCs/>
        </w:rPr>
      </w:pPr>
      <w:r>
        <w:rPr>
          <w:rFonts w:ascii="方正仿宋_GBK" w:hAnsi="方正仿宋_GBK"/>
          <w:bCs/>
        </w:rPr>
        <w:t>投入类指标分值表</w:t>
      </w:r>
    </w:p>
    <w:tbl>
      <w:tblPr>
        <w:tblStyle w:val="7"/>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34"/>
        <w:gridCol w:w="210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序号</w:t>
            </w:r>
          </w:p>
        </w:tc>
        <w:tc>
          <w:tcPr>
            <w:tcW w:w="343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项目</w:t>
            </w:r>
          </w:p>
        </w:tc>
        <w:tc>
          <w:tcPr>
            <w:tcW w:w="2108"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分值</w:t>
            </w:r>
          </w:p>
        </w:tc>
        <w:tc>
          <w:tcPr>
            <w:tcW w:w="211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1</w:t>
            </w:r>
          </w:p>
        </w:tc>
        <w:tc>
          <w:tcPr>
            <w:tcW w:w="3434" w:type="dxa"/>
            <w:tcBorders>
              <w:top w:val="single" w:color="auto" w:sz="4" w:space="0"/>
              <w:left w:val="nil"/>
              <w:bottom w:val="single" w:color="auto" w:sz="4" w:space="0"/>
              <w:right w:val="single" w:color="auto" w:sz="4" w:space="0"/>
            </w:tcBorders>
            <w:vAlign w:val="center"/>
          </w:tcPr>
          <w:p>
            <w:pPr>
              <w:topLinePunct/>
              <w:spacing w:line="240" w:lineRule="atLeast"/>
              <w:jc w:val="center"/>
              <w:rPr>
                <w:rFonts w:ascii="方正仿宋_GBK" w:cs="Arial"/>
                <w:bCs/>
              </w:rPr>
            </w:pPr>
            <w:r>
              <w:rPr>
                <w:rFonts w:ascii="方正仿宋_GBK" w:hAnsi="方正仿宋_GBK"/>
                <w:bCs/>
              </w:rPr>
              <w:t>殡仪馆服务楼新建工程</w:t>
            </w:r>
            <w:r>
              <w:rPr>
                <w:rFonts w:ascii="方正仿宋_GBK" w:hAnsi="方正仿宋_GBK" w:cs="Arial"/>
                <w:bCs/>
              </w:rPr>
              <w:t xml:space="preserve"> </w:t>
            </w:r>
            <w:r>
              <w:rPr>
                <w:rFonts w:ascii="方正仿宋_GBK" w:hAnsi="方正仿宋_GBK"/>
                <w:bCs/>
              </w:rPr>
              <w:t xml:space="preserve"> </w:t>
            </w:r>
          </w:p>
        </w:tc>
        <w:tc>
          <w:tcPr>
            <w:tcW w:w="2108"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20</w:t>
            </w:r>
          </w:p>
        </w:tc>
        <w:tc>
          <w:tcPr>
            <w:tcW w:w="211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6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合计</w:t>
            </w: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20</w:t>
            </w: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20</w:t>
            </w:r>
          </w:p>
        </w:tc>
      </w:tr>
    </w:tbl>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投入类指标从项目立项、预算执行率、资金到位率进行考核。</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殡仪馆服务楼新建工程项目申请批复文件完整，工程类项目前期审查、审批程序严格，验收及审计档案资料完整。2020年度，丰都县馆殡仪馆服务楼新建工程项目资金总补助资金2555.31万元。其中：中央资金1700万元，市财政455.52万元，县财政399.79万元，根据评分细则，投入类指标满分20分，得分20分。</w:t>
      </w:r>
    </w:p>
    <w:p>
      <w:pPr>
        <w:spacing w:line="560" w:lineRule="exact"/>
        <w:ind w:firstLine="600" w:firstLineChars="200"/>
        <w:rPr>
          <w:sz w:val="30"/>
          <w:szCs w:val="30"/>
        </w:rPr>
      </w:pPr>
      <w:r>
        <w:rPr>
          <w:rFonts w:hint="eastAsia" w:ascii="楷体_GB2312" w:hAnsi="仿宋" w:eastAsia="楷体_GB2312"/>
          <w:sz w:val="30"/>
          <w:szCs w:val="30"/>
        </w:rPr>
        <w:t>（二）管理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管理类指标从殡仪馆服务楼新建工程项目进行考核。指标分值20分，得分20分。指标的得分情况如下表所示。</w:t>
      </w:r>
    </w:p>
    <w:p>
      <w:pPr>
        <w:topLinePunct/>
        <w:ind w:firstLine="600" w:firstLineChars="200"/>
        <w:jc w:val="center"/>
        <w:rPr>
          <w:rFonts w:ascii="方正仿宋_GBK" w:cs="Arial"/>
          <w:bCs/>
          <w:sz w:val="30"/>
          <w:szCs w:val="30"/>
        </w:rPr>
      </w:pPr>
      <w:r>
        <w:rPr>
          <w:rFonts w:ascii="方正仿宋_GBK" w:hAnsi="方正仿宋_GBK"/>
          <w:bCs/>
          <w:sz w:val="30"/>
          <w:szCs w:val="30"/>
        </w:rPr>
        <w:t>管理类指标分值表</w:t>
      </w:r>
    </w:p>
    <w:tbl>
      <w:tblPr>
        <w:tblStyle w:val="7"/>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34"/>
        <w:gridCol w:w="210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序号</w:t>
            </w:r>
          </w:p>
        </w:tc>
        <w:tc>
          <w:tcPr>
            <w:tcW w:w="343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项目</w:t>
            </w:r>
          </w:p>
        </w:tc>
        <w:tc>
          <w:tcPr>
            <w:tcW w:w="2108"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分值</w:t>
            </w:r>
          </w:p>
        </w:tc>
        <w:tc>
          <w:tcPr>
            <w:tcW w:w="211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1</w:t>
            </w:r>
          </w:p>
        </w:tc>
        <w:tc>
          <w:tcPr>
            <w:tcW w:w="3434" w:type="dxa"/>
            <w:tcBorders>
              <w:top w:val="single" w:color="auto" w:sz="4" w:space="0"/>
              <w:left w:val="nil"/>
              <w:bottom w:val="single" w:color="auto" w:sz="4" w:space="0"/>
              <w:right w:val="single" w:color="auto" w:sz="4" w:space="0"/>
            </w:tcBorders>
            <w:vAlign w:val="center"/>
          </w:tcPr>
          <w:p>
            <w:pPr>
              <w:topLinePunct/>
              <w:spacing w:line="240" w:lineRule="atLeast"/>
              <w:jc w:val="center"/>
              <w:rPr>
                <w:rFonts w:ascii="方正仿宋_GBK" w:cs="Arial"/>
                <w:bCs/>
              </w:rPr>
            </w:pPr>
            <w:r>
              <w:rPr>
                <w:rFonts w:hint="eastAsia" w:ascii="仿宋_GB2312" w:hAnsi="仿宋" w:eastAsia="仿宋_GB2312"/>
              </w:rPr>
              <w:t>殡仪馆服务楼新建工程项目</w:t>
            </w:r>
          </w:p>
        </w:tc>
        <w:tc>
          <w:tcPr>
            <w:tcW w:w="2108"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20</w:t>
            </w:r>
          </w:p>
        </w:tc>
        <w:tc>
          <w:tcPr>
            <w:tcW w:w="211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6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合计</w:t>
            </w: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20</w:t>
            </w: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20</w:t>
            </w:r>
          </w:p>
        </w:tc>
      </w:tr>
    </w:tbl>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管理类指标从业务制度完整性、财务制度完整性进行考核。</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丰都县殡仪馆管理制度比较健全。对于建设项目，殡仪馆建立了《基本建设项目内部控制制度》，涵盖项目立项管理、招标与合同管理、项目实施管理、竣工验收与决算(结算)管理、修缮与维修管理、资金与财务管理、信息与档案管理等方面。</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对于资金管理，殡仪馆建立了《专项资金管理办法》，在实际运行中，殡仪馆按制度执行。</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根据评分细则，管理类指标满分20分，得分20分。</w:t>
      </w:r>
    </w:p>
    <w:p>
      <w:pPr>
        <w:spacing w:line="560" w:lineRule="exact"/>
        <w:ind w:firstLine="600" w:firstLineChars="200"/>
        <w:rPr>
          <w:rFonts w:eastAsia="楷体_GB2312"/>
          <w:sz w:val="30"/>
          <w:szCs w:val="30"/>
        </w:rPr>
      </w:pPr>
      <w:r>
        <w:rPr>
          <w:rFonts w:hint="eastAsia" w:ascii="楷体_GB2312" w:hAnsi="仿宋" w:eastAsia="楷体_GB2312"/>
          <w:sz w:val="30"/>
          <w:szCs w:val="30"/>
        </w:rPr>
        <w:t>（三）产出与效益</w:t>
      </w:r>
    </w:p>
    <w:p>
      <w:pPr>
        <w:pStyle w:val="3"/>
        <w:topLinePunct/>
        <w:spacing w:line="560" w:lineRule="atLeast"/>
        <w:ind w:firstLine="600" w:firstLineChars="200"/>
        <w:rPr>
          <w:rFonts w:ascii="仿宋_GB2312" w:hAnsi="仿宋" w:eastAsia="仿宋_GB2312"/>
          <w:sz w:val="30"/>
          <w:szCs w:val="30"/>
        </w:rPr>
      </w:pPr>
      <w:r>
        <w:rPr>
          <w:rFonts w:hint="eastAsia" w:ascii="仿宋_GB2312" w:hAnsi="仿宋" w:eastAsia="仿宋_GB2312"/>
          <w:sz w:val="30"/>
          <w:szCs w:val="30"/>
        </w:rPr>
        <w:t>产出与效益类指标从殡仪馆服务楼新建工程项目进行考核。指标分值合计60分，得分51分。指标的得分情况如下表所示。</w:t>
      </w:r>
    </w:p>
    <w:p>
      <w:pPr>
        <w:topLinePunct/>
        <w:ind w:firstLine="480" w:firstLineChars="200"/>
        <w:jc w:val="center"/>
        <w:rPr>
          <w:rFonts w:ascii="仿宋_GB2312" w:hAnsi="仿宋" w:eastAsia="仿宋_GB2312"/>
        </w:rPr>
      </w:pPr>
      <w:r>
        <w:rPr>
          <w:rFonts w:ascii="方正仿宋_GBK" w:hAnsi="方正仿宋_GBK"/>
          <w:bCs/>
        </w:rPr>
        <w:t>产出与效益类指标分值表</w:t>
      </w:r>
    </w:p>
    <w:tbl>
      <w:tblPr>
        <w:tblStyle w:val="7"/>
        <w:tblW w:w="8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34"/>
        <w:gridCol w:w="2108"/>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序号</w:t>
            </w:r>
          </w:p>
        </w:tc>
        <w:tc>
          <w:tcPr>
            <w:tcW w:w="343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项目</w:t>
            </w:r>
          </w:p>
        </w:tc>
        <w:tc>
          <w:tcPr>
            <w:tcW w:w="2108"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分值</w:t>
            </w:r>
          </w:p>
        </w:tc>
        <w:tc>
          <w:tcPr>
            <w:tcW w:w="211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1</w:t>
            </w:r>
          </w:p>
        </w:tc>
        <w:tc>
          <w:tcPr>
            <w:tcW w:w="3434" w:type="dxa"/>
            <w:tcBorders>
              <w:top w:val="single" w:color="auto" w:sz="4" w:space="0"/>
              <w:left w:val="nil"/>
              <w:bottom w:val="single" w:color="auto" w:sz="4" w:space="0"/>
              <w:right w:val="single" w:color="auto" w:sz="4" w:space="0"/>
            </w:tcBorders>
            <w:vAlign w:val="center"/>
          </w:tcPr>
          <w:p>
            <w:pPr>
              <w:topLinePunct/>
              <w:spacing w:line="240" w:lineRule="atLeast"/>
              <w:jc w:val="center"/>
              <w:rPr>
                <w:rFonts w:ascii="方正仿宋_GBK" w:cs="Arial"/>
                <w:bCs/>
              </w:rPr>
            </w:pPr>
            <w:r>
              <w:rPr>
                <w:rFonts w:ascii="方正仿宋_GBK" w:hAnsi="方正仿宋_GBK"/>
                <w:bCs/>
              </w:rPr>
              <w:t>殡仪馆服务楼新建工程</w:t>
            </w:r>
            <w:r>
              <w:rPr>
                <w:rFonts w:ascii="方正仿宋_GBK" w:hAnsi="方正仿宋_GBK" w:cs="Arial"/>
                <w:bCs/>
              </w:rPr>
              <w:t xml:space="preserve"> </w:t>
            </w:r>
            <w:r>
              <w:rPr>
                <w:rFonts w:ascii="方正仿宋_GBK" w:hAnsi="方正仿宋_GBK"/>
                <w:bCs/>
              </w:rPr>
              <w:t xml:space="preserve"> </w:t>
            </w:r>
          </w:p>
        </w:tc>
        <w:tc>
          <w:tcPr>
            <w:tcW w:w="2108"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60</w:t>
            </w:r>
          </w:p>
        </w:tc>
        <w:tc>
          <w:tcPr>
            <w:tcW w:w="2114" w:type="dxa"/>
            <w:tcBorders>
              <w:top w:val="single" w:color="auto" w:sz="4" w:space="0"/>
              <w:left w:val="nil"/>
              <w:bottom w:val="single" w:color="auto" w:sz="4" w:space="0"/>
              <w:right w:val="single" w:color="auto" w:sz="4" w:space="0"/>
            </w:tcBorders>
            <w:vAlign w:val="center"/>
          </w:tcPr>
          <w:p>
            <w:pPr>
              <w:topLinePunct/>
              <w:jc w:val="center"/>
              <w:rPr>
                <w:rFonts w:ascii="方正仿宋_GBK" w:cs="Arial"/>
                <w:bCs/>
              </w:rPr>
            </w:pPr>
            <w:r>
              <w:rPr>
                <w:rFonts w:ascii="方正仿宋_GBK" w:hAnsi="方正仿宋_GBK"/>
                <w:bC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2</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3</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4</w:t>
            </w: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01" w:type="dxa"/>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3434" w:type="dxa"/>
            <w:tcBorders>
              <w:top w:val="single" w:color="auto" w:sz="4" w:space="0"/>
              <w:left w:val="nil"/>
              <w:bottom w:val="single" w:color="auto" w:sz="4" w:space="0"/>
              <w:right w:val="single" w:color="auto" w:sz="4" w:space="0"/>
            </w:tcBorders>
            <w:shd w:val="clear" w:color="auto" w:fill="FFFFFF"/>
            <w:vAlign w:val="center"/>
          </w:tcPr>
          <w:p>
            <w:pPr>
              <w:topLinePunct/>
              <w:spacing w:line="240" w:lineRule="atLeast"/>
              <w:jc w:val="center"/>
              <w:rPr>
                <w:rFonts w:ascii="方正仿宋_GBK" w:cs="Arial"/>
                <w:bCs/>
              </w:rPr>
            </w:pP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6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合计</w:t>
            </w:r>
          </w:p>
        </w:tc>
        <w:tc>
          <w:tcPr>
            <w:tcW w:w="2108"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60</w:t>
            </w:r>
          </w:p>
        </w:tc>
        <w:tc>
          <w:tcPr>
            <w:tcW w:w="2114" w:type="dxa"/>
            <w:tcBorders>
              <w:top w:val="single" w:color="auto" w:sz="4" w:space="0"/>
              <w:left w:val="nil"/>
              <w:bottom w:val="single" w:color="auto" w:sz="4" w:space="0"/>
              <w:right w:val="single" w:color="auto" w:sz="4" w:space="0"/>
            </w:tcBorders>
            <w:shd w:val="clear" w:color="auto" w:fill="FFFFFF"/>
            <w:vAlign w:val="center"/>
          </w:tcPr>
          <w:p>
            <w:pPr>
              <w:topLinePunct/>
              <w:jc w:val="center"/>
              <w:rPr>
                <w:rFonts w:ascii="方正仿宋_GBK" w:cs="Arial"/>
                <w:bCs/>
              </w:rPr>
            </w:pPr>
            <w:r>
              <w:rPr>
                <w:rFonts w:ascii="方正仿宋_GBK" w:hAnsi="方正仿宋_GBK"/>
                <w:bCs/>
              </w:rPr>
              <w:t>51</w:t>
            </w:r>
          </w:p>
        </w:tc>
      </w:tr>
    </w:tbl>
    <w:p>
      <w:pPr>
        <w:autoSpaceDE w:val="0"/>
        <w:autoSpaceDN w:val="0"/>
        <w:adjustRightInd w:val="0"/>
        <w:spacing w:line="560" w:lineRule="atLeast"/>
        <w:ind w:firstLine="600" w:firstLineChars="200"/>
        <w:rPr>
          <w:rFonts w:cs="Arial"/>
          <w:sz w:val="30"/>
          <w:szCs w:val="30"/>
        </w:rPr>
      </w:pPr>
      <w:r>
        <w:rPr>
          <w:rFonts w:hint="eastAsia"/>
          <w:sz w:val="30"/>
          <w:szCs w:val="30"/>
        </w:rPr>
        <w:t>四、问题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今年以来,在县财政领导的关心和支持下,我馆整体工作较以往有所进步,也取得了一定的成绩,但仍存在一定的问题,离上级要求还存在一定差距。</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1、财务人员队伍素质有待提高,工作有待进一步细化。</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2、规章制度需进一步完善,管理需进一步规范。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3、由于殡仪馆是特殊行业 ,工作内容特殊、职业风险大、存在社会歧视等原因,无法招聘到高素质的专业人员,更无法留住优秀人才,导致一线骨干极为缺乏,技术力量薄弱。</w:t>
      </w:r>
    </w:p>
    <w:p>
      <w:pPr>
        <w:topLinePunct/>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五、改进措施</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针对上述存在的问题,为进一步做好单位的财务工作,严格按照预算编制的相关制度和要求进行预算的编制,编制范围尽可能的全面、不漏项,进一步提高预算编制的科学性、合理性、严谨性和可控性。主要做好如下改进工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(一)规范账务管理,提高财务信息质量</w:t>
      </w:r>
      <w:r>
        <w:rPr>
          <w:rFonts w:hint="eastAsia" w:ascii="仿宋" w:hAnsi="仿宋" w:eastAsia="仿宋"/>
          <w:sz w:val="30"/>
          <w:szCs w:val="30"/>
        </w:rPr>
        <w:t xml:space="preserve"> </w:t>
      </w:r>
      <w:r>
        <w:rPr>
          <w:rFonts w:hint="eastAsia" w:ascii="仿宋_GB2312" w:hAnsi="仿宋" w:eastAsia="仿宋_GB2312"/>
          <w:sz w:val="30"/>
          <w:szCs w:val="30"/>
        </w:rPr>
        <w:t>。</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严格按照</w:t>
      </w:r>
      <w:r>
        <w:rPr>
          <w:rFonts w:hint="eastAsia" w:ascii="仿宋_GB2312" w:hAnsi="仿宋" w:eastAsia="仿宋_GB2312"/>
          <w:sz w:val="30"/>
          <w:szCs w:val="30"/>
          <w:lang w:eastAsia="zh-CN"/>
        </w:rPr>
        <w:t>《</w:t>
      </w:r>
      <w:r>
        <w:rPr>
          <w:rFonts w:hint="eastAsia" w:ascii="仿宋_GB2312" w:hAnsi="仿宋" w:eastAsia="仿宋_GB2312"/>
          <w:sz w:val="30"/>
          <w:szCs w:val="30"/>
        </w:rPr>
        <w:t>会计法</w:t>
      </w:r>
      <w:r>
        <w:rPr>
          <w:rFonts w:hint="eastAsia" w:ascii="仿宋_GB2312" w:hAnsi="仿宋" w:eastAsia="仿宋_GB2312"/>
          <w:sz w:val="30"/>
          <w:szCs w:val="30"/>
          <w:lang w:eastAsia="zh-CN"/>
        </w:rPr>
        <w:t>》《</w:t>
      </w:r>
      <w:r>
        <w:rPr>
          <w:rFonts w:hint="eastAsia" w:ascii="仿宋_GB2312" w:hAnsi="仿宋" w:eastAsia="仿宋_GB2312"/>
          <w:sz w:val="30"/>
          <w:szCs w:val="30"/>
        </w:rPr>
        <w:t>行政单位会计制度</w:t>
      </w:r>
      <w:r>
        <w:rPr>
          <w:rFonts w:hint="eastAsia" w:ascii="仿宋_GB2312" w:hAnsi="仿宋" w:eastAsia="仿宋_GB2312"/>
          <w:sz w:val="30"/>
          <w:szCs w:val="30"/>
          <w:lang w:eastAsia="zh-CN"/>
        </w:rPr>
        <w:t>》</w:t>
      </w:r>
      <w:r>
        <w:rPr>
          <w:rFonts w:hint="eastAsia" w:ascii="仿宋_GB2312" w:hAnsi="仿宋" w:eastAsia="仿宋_GB2312"/>
          <w:sz w:val="30"/>
          <w:szCs w:val="30"/>
        </w:rPr>
        <w:t>《行政单位财务规则》等规定执行财务核算,并结合实际情况,完整、准确地披露相关信息,加强预决算工作,做到决算与预算相衔接。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(二)落实管理制度,进一步加强资产管理。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加强往来款项的管理,按月对帐,固定资产按时盘点,加强资金使用效率和保证资产安全。</w:t>
      </w:r>
      <w:r>
        <w:rPr>
          <w:rFonts w:hint="eastAsia" w:ascii="仿宋" w:hAnsi="仿宋" w:eastAsia="仿宋"/>
          <w:sz w:val="30"/>
          <w:szCs w:val="30"/>
        </w:rPr>
        <w:t xml:space="preserve"> </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(三)加大资金投入,建立长效机制。</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我国即将步入老龄化社会,为保障殡葬事业健康有序发展,殡仪馆所需经费,应列入财政全额拨款预算,并建立动态保障机制。各级政府应将殡葬事业纳入国民经济和社会发展计划,逐步增加对殡葬福利事业的投入,加强基础设施建设,支持和鼓励社会力量多形式、多渠道投入,积极引导社会各界参与殡葬福利事业的建设,使殡葬福利事业与经济、社会协调发展。</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(四)完善队伍建设,提升管理、服务水平。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F5FF2"/>
    <w:multiLevelType w:val="multilevel"/>
    <w:tmpl w:val="5C6F5FF2"/>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6A"/>
    <w:rsid w:val="00060CC7"/>
    <w:rsid w:val="00173D6A"/>
    <w:rsid w:val="004B046C"/>
    <w:rsid w:val="00CA6D48"/>
    <w:rsid w:val="10FD3550"/>
    <w:rsid w:val="286A68EF"/>
    <w:rsid w:val="2B04331B"/>
    <w:rsid w:val="2C2D110F"/>
    <w:rsid w:val="2FE51658"/>
    <w:rsid w:val="477D415F"/>
    <w:rsid w:val="56AA1295"/>
    <w:rsid w:val="66A77ED8"/>
    <w:rsid w:val="79DC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2">
    <w:name w:val="heading 6"/>
    <w:basedOn w:val="1"/>
    <w:next w:val="1"/>
    <w:link w:val="12"/>
    <w:semiHidden/>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1"/>
    <w:qFormat/>
    <w:uiPriority w:val="99"/>
    <w:rPr>
      <w:sz w:val="32"/>
      <w:szCs w:val="32"/>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uiPriority w:val="99"/>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正文文本 Char"/>
    <w:basedOn w:val="6"/>
    <w:link w:val="3"/>
    <w:uiPriority w:val="99"/>
    <w:rPr>
      <w:rFonts w:ascii="宋体" w:hAnsi="宋体" w:eastAsia="宋体" w:cs="宋体"/>
      <w:kern w:val="0"/>
      <w:sz w:val="32"/>
      <w:szCs w:val="32"/>
    </w:rPr>
  </w:style>
  <w:style w:type="character" w:customStyle="1" w:styleId="12">
    <w:name w:val="标题 6 Char"/>
    <w:basedOn w:val="6"/>
    <w:link w:val="2"/>
    <w:semiHidden/>
    <w:qFormat/>
    <w:uiPriority w:val="9"/>
    <w:rPr>
      <w:rFonts w:asciiTheme="majorHAnsi" w:hAnsiTheme="majorHAnsi" w:eastAsiaTheme="majorEastAsia" w:cstheme="majorBidi"/>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589</Words>
  <Characters>3363</Characters>
  <Lines>28</Lines>
  <Paragraphs>7</Paragraphs>
  <TotalTime>4</TotalTime>
  <ScaleCrop>false</ScaleCrop>
  <LinksUpToDate>false</LinksUpToDate>
  <CharactersWithSpaces>3945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2021-11-30T08:49:00Z</dcterms:created>
  <dc:creator>刘素兰</dc:creator>
  <cp:lastModifiedBy>Administrator</cp:lastModifiedBy>
  <dcterms:modified xsi:type="dcterms:W3CDTF">2022-10-26T03:10:00Z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