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丰都县林木种苗管理站</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丰都县林木种苗管理站为县林业局所属正股级全额拨款公益一类事业单位，主要职责是：依法管理林木种苗；负责林业科技工作；负责全县天然林保护工程的各项政策兑现落实；指导国有林场工作。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丰都县林木种苗管理站设站长、副站长各1名，无其他内设机构。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eastAsia="zh-CN"/>
        </w:rPr>
        <w:t>二</w:t>
      </w:r>
      <w:r>
        <w:rPr>
          <w:rStyle w:val="13"/>
          <w:rFonts w:hint="eastAsia" w:ascii="方正黑体_GBK" w:hAnsi="方正黑体_GBK" w:eastAsia="方正黑体_GBK" w:cs="方正黑体_GBK"/>
          <w:b w:val="0"/>
          <w:bCs/>
          <w:sz w:val="32"/>
          <w:szCs w:val="32"/>
          <w:shd w:val="clear" w:color="auto" w:fill="FFFFFF"/>
        </w:rPr>
        <w:t>、</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p>
    <w:p>
      <w:pPr>
        <w:pStyle w:val="9"/>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lang w:val="en-US"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r>
        <w:rPr>
          <w:rFonts w:hint="default" w:ascii="Times New Roman" w:hAnsi="Times New Roman" w:eastAsia="方正仿宋_GBK"/>
          <w:sz w:val="32"/>
          <w:szCs w:val="32"/>
          <w:shd w:val="clear" w:color="auto" w:fill="FFFFFF"/>
        </w:rPr>
        <w:t>较年初预算数增加75.42万元，增长20.1%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年初预算时还未有人员新进以及工资标准的调整，在年中按照每人标准进行了年中的预算追加，因此较年初增加。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与2023年度相比，增加41.66万元，增长10.2%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2024年新调入两名工作人员，以及新招聘一名工作人员。导致人员经费以及公用经费的增加。同时2024年对工作人员的社保基数以及工资标准有所提高，因此相较于2023年增加。</w:t>
      </w:r>
      <w:r>
        <w:rPr>
          <w:rFonts w:hint="default" w:ascii="Times New Roman" w:hAnsi="Times New Roman" w:eastAsia="方正仿宋_GBK"/>
          <w:sz w:val="32"/>
          <w:szCs w:val="32"/>
          <w:shd w:val="clear" w:color="auto" w:fill="FFFFFF"/>
        </w:rPr>
        <w:t>较年初预算数增加75.42万元，增长20.1%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主要原因是年初预算时还未有人员新进以及工资标准的调整，在年中按照每人标准进行了年中的预算追加，因此较年初增加。</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101.80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较年初预算数增加39.22万元，增长62.7%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2024年新调入两名工作人员，以及新招聘一名工作人员。导致人员经费以及公用经费的增加。同时2024年对工作人员的社保基数以及工资标准有所提高，因此相较于年初增加。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19.91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较年初预算数增加0.45万元，增长2.3%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2024年新增人员，导致缴纳基数增加。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310.42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69.0%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较年初预算数增加35.27万元，增长12.8%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新增工作人员以及工资标准的调整导致整体的工资发放较去年增加。</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17.80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较年初预算数增加0.48万元，增长2.8%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新增工作人员，缴纳基数增加。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449.93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407.45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与2023年度相比，增加50.04万元，增长14.0%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2024年新调入两名工作人员，以及新招聘一名工作人员。导致人员经费以及公用经费的增加。同时2024年对工作人员的社保基数以及工资标准有所提高。</w:t>
      </w:r>
      <w:r>
        <w:rPr>
          <w:rFonts w:ascii="方正仿宋_GBK" w:hAnsi="方正仿宋_GBK" w:eastAsia="方正仿宋_GBK" w:cs="方正仿宋_GBK"/>
          <w:sz w:val="32"/>
          <w:szCs w:val="32"/>
          <w:shd w:val="clear" w:color="auto" w:fill="FFFFFF"/>
        </w:rPr>
        <w:t>人员经费用途</w:t>
      </w:r>
      <w:r>
        <w:rPr>
          <w:rFonts w:hint="eastAsia" w:ascii="方正仿宋_GBK" w:hAnsi="方正仿宋_GBK" w:eastAsia="方正仿宋_GBK" w:cs="方正仿宋_GBK"/>
          <w:sz w:val="32"/>
          <w:szCs w:val="32"/>
          <w:shd w:val="clear" w:color="auto" w:fill="FFFFFF"/>
          <w:lang w:eastAsia="zh-CN"/>
        </w:rPr>
        <w:t>主要包括</w:t>
      </w:r>
      <w:r>
        <w:rPr>
          <w:rFonts w:ascii="方正仿宋_GBK" w:hAnsi="方正仿宋_GBK" w:eastAsia="方正仿宋_GBK" w:cs="方正仿宋_GBK"/>
          <w:sz w:val="32"/>
          <w:szCs w:val="32"/>
          <w:shd w:val="clear" w:color="auto" w:fill="FFFFFF"/>
        </w:rPr>
        <w:t>职工基本工资、津贴补贴、社会保障缴费等</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42.48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w:t>
      </w:r>
      <w:r>
        <w:rPr>
          <w:rFonts w:hint="default" w:ascii="方正仿宋_GBK" w:hAnsi="方正仿宋_GBK" w:eastAsia="方正仿宋_GBK" w:cs="方正仿宋_GBK"/>
          <w:sz w:val="32"/>
          <w:szCs w:val="32"/>
          <w:shd w:val="clear" w:color="auto" w:fill="FFFFFF"/>
          <w:lang w:val="en-US" w:eastAsia="zh-CN"/>
        </w:rPr>
        <w:t>2023年度相比，减少8.38万元，下降16.5%</w:t>
      </w:r>
      <w:r>
        <w:rPr>
          <w:rFonts w:hint="eastAsia" w:ascii="方正仿宋_GBK" w:hAnsi="方正仿宋_GBK" w:eastAsia="方正仿宋_GBK" w:cs="方正仿宋_GBK"/>
          <w:sz w:val="32"/>
          <w:szCs w:val="32"/>
          <w:shd w:val="clear" w:color="auto" w:fill="FFFFFF"/>
          <w:lang w:val="en-US" w:eastAsia="zh-CN"/>
        </w:rPr>
        <w:t>，主要原因是严格落实节俭要求，减少不必要的开支。公用</w:t>
      </w:r>
      <w:r>
        <w:rPr>
          <w:rFonts w:ascii="方正仿宋_GBK" w:hAnsi="方正仿宋_GBK" w:eastAsia="方正仿宋_GBK" w:cs="方正仿宋_GBK"/>
          <w:sz w:val="32"/>
          <w:szCs w:val="32"/>
          <w:shd w:val="clear" w:color="auto" w:fill="FFFFFF"/>
        </w:rPr>
        <w:t>经费用途主要包括办公费、水电费、印刷费、差旅费、劳务费、其他商品服务支出等。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textAlignment w:val="auto"/>
        <w:rPr>
          <w:rStyle w:val="13"/>
          <w:rFonts w:hint="default" w:ascii="黑体" w:hAnsi="黑体" w:eastAsia="黑体" w:cs="黑体"/>
          <w:sz w:val="32"/>
          <w:szCs w:val="32"/>
          <w:shd w:val="clear" w:color="auto" w:fill="FFFFFF"/>
        </w:rPr>
      </w:pPr>
      <w:r>
        <w:rPr>
          <w:rFonts w:hint="default"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4.75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较年初预算数减少2.25万元，下降32.1%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严格落实节俭要求，减少不必要的开支。</w:t>
      </w:r>
      <w:r>
        <w:rPr>
          <w:rFonts w:hint="default" w:ascii="Times New Roman" w:hAnsi="Times New Roman" w:eastAsia="方正仿宋_GBK"/>
          <w:sz w:val="32"/>
          <w:szCs w:val="32"/>
          <w:shd w:val="clear" w:color="auto" w:fill="FFFFFF"/>
        </w:rPr>
        <w:t>较上年支出数增加3.42万元，增长257.1%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2024年有3名人员新进，导致公用经费增加。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2.75</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本单位公务用车的燃油费，保险费，高速公路通行费等。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较年初预算数减少1.25万元，下降31.3%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年初对于公务车运行维护费进行全额预算，但是在实际使用过程中减少了不必要的出行，因此较年初减少。</w:t>
      </w:r>
      <w:r>
        <w:rPr>
          <w:rFonts w:hint="default" w:ascii="Times New Roman" w:hAnsi="Times New Roman" w:eastAsia="方正仿宋_GBK"/>
          <w:sz w:val="32"/>
          <w:szCs w:val="32"/>
          <w:shd w:val="clear" w:color="auto" w:fill="FFFFFF"/>
        </w:rPr>
        <w:t>较上年支出数增加2.75万元，增长100.0%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2023年本单位的公务车在林业本级核算，导致2023年无相关的运行维护费产生。</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1.99</w:t>
      </w:r>
      <w:r>
        <w:rPr>
          <w:rFonts w:ascii="方正仿宋_GBK" w:hAnsi="方正仿宋_GBK" w:eastAsia="方正仿宋_GBK" w:cs="方正仿宋_GBK"/>
          <w:sz w:val="32"/>
          <w:szCs w:val="32"/>
          <w:shd w:val="clear" w:color="auto" w:fill="FFFFFF"/>
        </w:rPr>
        <w:t>万元，主要用于接待天然林管护、工程建设等林业工作检查接待支出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较年初预算数减少1.01万元，下降33.7%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年初按照往年分析，足额预算经费，但是在</w:t>
      </w:r>
      <w:r>
        <w:rPr>
          <w:rFonts w:hint="eastAsia" w:ascii="方正仿宋_GBK" w:hAnsi="方正仿宋_GBK" w:eastAsia="方正仿宋_GBK" w:cs="方正仿宋_GBK"/>
          <w:sz w:val="32"/>
          <w:szCs w:val="32"/>
          <w:shd w:val="clear" w:color="auto" w:fill="FFFFFF"/>
          <w:lang w:val="en-US" w:eastAsia="zh-CN"/>
        </w:rPr>
        <w:t>2024年实际上厉行节约减少了不必要的接待。</w:t>
      </w:r>
      <w:r>
        <w:rPr>
          <w:rFonts w:hint="default" w:ascii="Times New Roman" w:hAnsi="Times New Roman" w:eastAsia="方正仿宋_GBK"/>
          <w:sz w:val="32"/>
          <w:szCs w:val="32"/>
          <w:shd w:val="clear" w:color="auto" w:fill="FFFFFF"/>
        </w:rPr>
        <w:t>较上年支出数增加0.66万元，增长49.6%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今年本单位召开的会议较去年有所增加，产生了必要的接待费用。</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250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79.76</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2.75</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与2023年度相比，增加0.49万元，增长100.0%</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hint="eastAsia" w:ascii="Times New Roman" w:hAnsi="Times New Roman" w:eastAsia="方正仿宋_GBK"/>
          <w:sz w:val="32"/>
          <w:szCs w:val="32"/>
          <w:shd w:val="clear" w:color="auto" w:fill="FFFFFF"/>
          <w:lang w:val="en-US" w:eastAsia="zh-CN"/>
        </w:rPr>
        <w:t>2024年新进工作人员参与了相关的业务培训。</w:t>
      </w:r>
      <w:r>
        <w:rPr>
          <w:rFonts w:hint="default" w:ascii="Times New Roman" w:hAnsi="Times New Roman" w:eastAsia="方正仿宋_GBK"/>
          <w:sz w:val="32"/>
          <w:szCs w:val="32"/>
          <w:shd w:val="clear" w:color="auto" w:fill="FFFFFF"/>
        </w:rPr>
        <w:t>本年度差旅费支</w:t>
      </w:r>
      <w:r>
        <w:rPr>
          <w:rFonts w:ascii="方正仿宋_GBK" w:hAnsi="方正仿宋_GBK" w:eastAsia="方正仿宋_GBK" w:cs="方正仿宋_GBK"/>
          <w:sz w:val="32"/>
          <w:szCs w:val="32"/>
          <w:shd w:val="clear" w:color="auto" w:fill="FFFFFF"/>
        </w:rPr>
        <w:t>出</w:t>
      </w:r>
      <w:r>
        <w:rPr>
          <w:rFonts w:hint="default" w:ascii="Times New Roman" w:hAnsi="Times New Roman" w:eastAsia="方正仿宋_GBK"/>
          <w:sz w:val="32"/>
          <w:szCs w:val="32"/>
          <w:shd w:val="clear" w:color="auto" w:fill="FFFFFF"/>
        </w:rPr>
        <w:t>0.92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与2023年度相比，减少5.03万元，下降84.5%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2024年按照相关要求对差旅费进行严格把控，减少不必要的差旅支出，以及工作人员本身的出差需求较去年减少。因此整体较去年下降。</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按照部门决算列报口径，我</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不在机关运行经费统计范围之内。</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（四）政府采购支出情况说明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w:t>
      </w:r>
      <w:r>
        <w:rPr>
          <w:rStyle w:val="13"/>
          <w:rFonts w:hint="eastAsia" w:ascii="方正楷体_GBK" w:hAnsi="方正楷体_GBK" w:eastAsia="方正楷体_GBK" w:cs="方正楷体_GBK"/>
          <w:b w:val="0"/>
          <w:bCs/>
          <w:sz w:val="32"/>
          <w:szCs w:val="32"/>
          <w:shd w:val="clear" w:color="auto" w:fill="FFFFFF"/>
          <w:lang w:eastAsia="zh-CN"/>
        </w:rPr>
        <w:t>一</w:t>
      </w:r>
      <w:r>
        <w:rPr>
          <w:rStyle w:val="13"/>
          <w:rFonts w:hint="eastAsia" w:ascii="方正楷体_GBK" w:hAnsi="方正楷体_GBK" w:eastAsia="方正楷体_GBK" w:cs="方正楷体_GBK"/>
          <w:b w:val="0"/>
          <w:bCs/>
          <w:sz w:val="32"/>
          <w:szCs w:val="32"/>
          <w:shd w:val="clear" w:color="auto" w:fill="FFFFFF"/>
        </w:rPr>
        <w:t>）单位自评情况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2023年度本单位无项目资金，未开展预算绩效自评。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（二）部门绩效评价情况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2023年度本单位无项目资金，未组织开展单位绩效评价。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rPr>
      </w:pPr>
      <w:r>
        <w:rPr>
          <w:rStyle w:val="13"/>
          <w:rFonts w:hint="eastAsia" w:ascii="方正楷体_GBK" w:hAnsi="方正楷体_GBK" w:eastAsia="方正楷体_GBK" w:cs="方正楷体_GBK"/>
          <w:b w:val="0"/>
          <w:bCs/>
          <w:sz w:val="32"/>
          <w:szCs w:val="32"/>
          <w:shd w:val="clear" w:color="auto" w:fill="FFFFFF"/>
        </w:rPr>
        <w:t>（</w:t>
      </w:r>
      <w:r>
        <w:rPr>
          <w:rStyle w:val="13"/>
          <w:rFonts w:hint="eastAsia" w:ascii="方正楷体_GBK" w:hAnsi="方正楷体_GBK" w:eastAsia="方正楷体_GBK" w:cs="方正楷体_GBK"/>
          <w:b w:val="0"/>
          <w:bCs/>
          <w:sz w:val="32"/>
          <w:szCs w:val="32"/>
          <w:shd w:val="clear" w:color="auto" w:fill="FFFFFF"/>
          <w:lang w:eastAsia="zh-CN"/>
        </w:rPr>
        <w:t>三</w:t>
      </w:r>
      <w:r>
        <w:rPr>
          <w:rStyle w:val="13"/>
          <w:rFonts w:hint="eastAsia" w:ascii="方正楷体_GBK" w:hAnsi="方正楷体_GBK" w:eastAsia="方正楷体_GBK" w:cs="方正楷体_GBK"/>
          <w:b w:val="0"/>
          <w:bCs/>
          <w:sz w:val="32"/>
          <w:szCs w:val="32"/>
          <w:shd w:val="clear" w:color="auto" w:fill="FFFFFF"/>
        </w:rPr>
        <w:t>）</w:t>
      </w:r>
      <w:r>
        <w:rPr>
          <w:rStyle w:val="13"/>
          <w:rFonts w:hint="eastAsia" w:ascii="方正楷体_GBK" w:hAnsi="方正楷体_GBK" w:eastAsia="方正楷体_GBK" w:cs="方正楷体_GBK"/>
          <w:b w:val="0"/>
          <w:bCs/>
          <w:sz w:val="32"/>
          <w:szCs w:val="32"/>
          <w:shd w:val="clear" w:color="auto" w:fill="FFFFFF"/>
          <w:lang w:val="en-US" w:eastAsia="zh-CN"/>
        </w:rPr>
        <w:t>财政绩效评价情况</w:t>
      </w:r>
    </w:p>
    <w:p>
      <w:pPr>
        <w:pStyle w:val="14"/>
        <w:autoSpaceDE w:val="0"/>
        <w:ind w:firstLine="640"/>
        <w:rPr>
          <w:rFonts w:hint="eastAsia" w:ascii="楷体" w:hAnsi="楷体" w:eastAsia="楷体" w:cs="楷体"/>
          <w:b/>
          <w:bCs/>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县财政局未委托第三方对我单位开展绩效评价。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lang w:val="en-US" w:eastAsia="zh-CN"/>
        </w:rPr>
        <w:t>指</w:t>
      </w:r>
      <w:r>
        <w:rPr>
          <w:rFonts w:hint="eastAsia" w:ascii="方正仿宋_GBK" w:hAnsi="方正仿宋_GBK" w:eastAsia="方正仿宋_GBK" w:cs="方正仿宋_GBK"/>
          <w:kern w:val="0"/>
          <w:sz w:val="32"/>
          <w:szCs w:val="32"/>
          <w:shd w:val="clear" w:fill="FFFFFF"/>
        </w:rPr>
        <w:t>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丰都县林木种苗管理站</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丰都县林木种苗管理站</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丰都县林木种苗管理站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丰都县林木种苗管理站</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310.42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310.42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丰都县林木种苗管理站</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449.93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310.42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丰都县林木种苗管理站</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359.77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89.34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171.22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407.45</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42.48</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丰都县林木种苗管理站</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丰都县林木种苗管理站</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丰都县林木种苗管理站</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570363"/>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87318C"/>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710339"/>
    <w:rsid w:val="7BD06A28"/>
    <w:rsid w:val="7C3A7C0B"/>
    <w:rsid w:val="7C5248E4"/>
    <w:rsid w:val="7C566698"/>
    <w:rsid w:val="7C5866A3"/>
    <w:rsid w:val="7D7406BB"/>
    <w:rsid w:val="7DE94331"/>
    <w:rsid w:val="7F446A19"/>
    <w:rsid w:val="7F7452B9"/>
    <w:rsid w:val="9F6D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5738</Words>
  <Characters>7149</Characters>
  <Lines>186</Lines>
  <Paragraphs>52</Paragraphs>
  <TotalTime>1</TotalTime>
  <ScaleCrop>false</ScaleCrop>
  <LinksUpToDate>false</LinksUpToDate>
  <CharactersWithSpaces>7413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2025-09-15T09:54:02Z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eyJoZGlkIjoiMjk0MDk5ZTVmNTUzMGM4OTc5MDViZWFmMzJhYzYwYzcifQ==</vt:lpwstr>
  </property>
</Properties>
</file>