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丰都县林业产业发展中心</w:t>
      </w:r>
    </w:p>
    <w:p>
      <w:pPr>
        <w:pStyle w:val="9"/>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w:t>
      </w:r>
      <w:bookmarkStart w:id="0" w:name="_GoBack"/>
      <w:bookmarkEnd w:id="0"/>
      <w:r>
        <w:rPr>
          <w:rFonts w:ascii="方正小标宋_GBK" w:hAnsi="方正小标宋_GBK" w:eastAsia="方正小标宋_GBK" w:cs="方正小标宋_GBK"/>
          <w:sz w:val="44"/>
          <w:szCs w:val="44"/>
          <w:shd w:val="clear" w:color="auto" w:fill="FFFFFF"/>
        </w:rPr>
        <w:t>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仿宋_GB2312" w:hAnsi="仿宋_GB2312" w:eastAsia="仿宋_GB2312" w:cs="仿宋_GB2312"/>
          <w:sz w:val="32"/>
          <w:szCs w:val="32"/>
        </w:rPr>
      </w:pPr>
      <w:r>
        <w:rPr>
          <w:rFonts w:eastAsia="方正仿宋_GBK"/>
          <w:color w:val="000000"/>
          <w:sz w:val="32"/>
          <w:szCs w:val="32"/>
        </w:rPr>
        <w:t>丰都县林业产业发展中心为县林业局所属副科级全额拨款公益一类事业单位</w:t>
      </w:r>
      <w:r>
        <w:rPr>
          <w:rFonts w:eastAsia="方正仿宋_GBK"/>
          <w:color w:val="000000"/>
          <w:sz w:val="32"/>
          <w:szCs w:val="32"/>
        </w:rPr>
        <w:t>，主要职责是：</w:t>
      </w:r>
      <w:r>
        <w:rPr>
          <w:rFonts w:eastAsia="方正仿宋_GBK"/>
          <w:sz w:val="32"/>
          <w:szCs w:val="32"/>
        </w:rPr>
        <w:t>贯彻落实上级产业发展政策；负责林旅融合发、林下经济、林产品加工贸易和品牌创建、涉林农民专业合作社等技术业务指导；负责林业招商引资；承担重点林业展</w:t>
      </w:r>
      <w:r>
        <w:rPr>
          <w:rFonts w:eastAsia="方正仿宋_GBK"/>
          <w:spacing w:val="-8"/>
          <w:sz w:val="32"/>
          <w:szCs w:val="32"/>
        </w:rPr>
        <w:t>会参展及对外合作与交流和林业贷款贴息工作；开展林业技术推广</w:t>
      </w:r>
      <w:r>
        <w:rPr>
          <w:rFonts w:ascii="Times New Roman" w:hAnsi="Times New Roman" w:eastAsia="方正仿宋_GBK"/>
          <w:snapToGrid w:val="0"/>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N/>
        <w:bidi w:val="0"/>
        <w:adjustRightInd/>
        <w:spacing w:line="594" w:lineRule="exact"/>
        <w:ind w:firstLine="608" w:firstLineChars="200"/>
        <w:textAlignment w:val="auto"/>
        <w:rPr>
          <w:rFonts w:hint="default" w:eastAsia="方正仿宋_GBK"/>
          <w:spacing w:val="-8"/>
          <w:sz w:val="32"/>
          <w:szCs w:val="32"/>
        </w:rPr>
      </w:pPr>
      <w:r>
        <w:rPr>
          <w:rFonts w:eastAsia="方正仿宋_GBK"/>
          <w:spacing w:val="-8"/>
          <w:sz w:val="32"/>
          <w:szCs w:val="32"/>
        </w:rPr>
        <w:t>根据以上职责任务，丰都县林业产业发展中心设4个内设机构。</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eastAsia="方正仿宋_GBK"/>
          <w:sz w:val="32"/>
          <w:szCs w:val="32"/>
        </w:rPr>
      </w:pPr>
      <w:r>
        <w:rPr>
          <w:rFonts w:eastAsia="方正楷体_GBK"/>
          <w:sz w:val="32"/>
          <w:szCs w:val="32"/>
        </w:rPr>
        <w:t>1、综合科。</w:t>
      </w:r>
      <w:r>
        <w:rPr>
          <w:rFonts w:eastAsia="方正仿宋_GBK"/>
          <w:sz w:val="32"/>
          <w:szCs w:val="32"/>
        </w:rPr>
        <w:t>负责中心日常运转，承担中心文秘、党建、群团、会务、安全、信访、财务、统计、人事编制、资产管理、信息化建设、政务值班、议提案办理、政务公开、档案管理、目标管理、后勤保障等工作；承担中心扶贫工作的结对帮扶；负责重点林业展会的参展和对外合作与交流工作。</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eastAsia="方正仿宋_GBK"/>
          <w:sz w:val="32"/>
          <w:szCs w:val="32"/>
        </w:rPr>
      </w:pPr>
      <w:r>
        <w:rPr>
          <w:rFonts w:eastAsia="方正楷体_GBK"/>
          <w:sz w:val="32"/>
          <w:szCs w:val="32"/>
        </w:rPr>
        <w:t>2、项目科。</w:t>
      </w:r>
      <w:r>
        <w:rPr>
          <w:rFonts w:eastAsia="方正仿宋_GBK"/>
          <w:sz w:val="32"/>
          <w:szCs w:val="32"/>
        </w:rPr>
        <w:t>负责各类财政资金扶持的产业项目的综合管理，建立项目库，组织开展项目绩效管理，具体负责本科室管理项目的绩效管理工作；负责林旅融合发展，指导森林旅游、森林康养、森林体验、森林人家建设的技术业务工作。</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eastAsia="方正仿宋_GBK"/>
          <w:spacing w:val="-6"/>
          <w:sz w:val="32"/>
          <w:szCs w:val="32"/>
        </w:rPr>
      </w:pPr>
      <w:r>
        <w:rPr>
          <w:rFonts w:eastAsia="方正楷体_GBK"/>
          <w:sz w:val="32"/>
          <w:szCs w:val="32"/>
        </w:rPr>
        <w:t>3、基</w:t>
      </w:r>
      <w:r>
        <w:rPr>
          <w:rFonts w:eastAsia="方正楷体_GBK"/>
          <w:spacing w:val="-6"/>
          <w:sz w:val="32"/>
          <w:szCs w:val="32"/>
        </w:rPr>
        <w:t>地建设科。</w:t>
      </w:r>
      <w:r>
        <w:rPr>
          <w:rFonts w:eastAsia="方正仿宋_GBK"/>
          <w:spacing w:val="-6"/>
          <w:sz w:val="32"/>
          <w:szCs w:val="32"/>
        </w:rPr>
        <w:t>负责各类林业产业示范基地建设的综合管理；负责林下经济、林产品加工贸易及品牌创建、涉林农民专业</w:t>
      </w:r>
      <w:r>
        <w:rPr>
          <w:rFonts w:eastAsia="方正仿宋_GBK"/>
          <w:spacing w:val="-10"/>
          <w:sz w:val="32"/>
          <w:szCs w:val="32"/>
        </w:rPr>
        <w:t>合作社的技术业务工作；具体负责本科室管理项目的绩效管理工作。</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eastAsia="方正仿宋_GBK"/>
          <w:sz w:val="32"/>
          <w:szCs w:val="32"/>
        </w:rPr>
      </w:pPr>
      <w:r>
        <w:rPr>
          <w:rFonts w:eastAsia="方正楷体_GBK"/>
          <w:sz w:val="32"/>
          <w:szCs w:val="32"/>
        </w:rPr>
        <w:t>4、行业科。</w:t>
      </w:r>
      <w:r>
        <w:rPr>
          <w:rFonts w:eastAsia="方正仿宋_GBK"/>
          <w:sz w:val="32"/>
          <w:szCs w:val="32"/>
        </w:rPr>
        <w:t>负责协助拟订林业产业政策、编制产业规划、平衡年度计划；负责林业贷款贴息的有关工作；组织开展林业技术推广；负责林业招商引资工作；负责本科室管理项目的绩效管理工作。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hint="default" w:ascii="Times New Roman" w:hAnsi="Times New Roman" w:eastAsia="方正仿宋_GBK"/>
          <w:sz w:val="32"/>
          <w:szCs w:val="32"/>
          <w:shd w:val="clear" w:color="auto" w:fill="FFFFFF"/>
        </w:rPr>
        <w:t>较年初预算数增加24.75万元，增长9.7%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2"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与2023年度相比，增加12.23万元，增长4.6%</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2024年对单位工作人员的社保基数进行了调整，以及工资发放标准有所增加，因此较去年上升。</w:t>
      </w:r>
      <w:r>
        <w:rPr>
          <w:rFonts w:hint="default" w:ascii="Times New Roman" w:hAnsi="Times New Roman" w:eastAsia="方正仿宋_GBK"/>
          <w:sz w:val="32"/>
          <w:szCs w:val="32"/>
          <w:shd w:val="clear" w:color="auto" w:fill="FFFFFF"/>
        </w:rPr>
        <w:t>较年初预算数增加24.75万元，增长9.7%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在年初预算时相关标准未发生变化，在年中追加了预算，因此较年初预算有差距。</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36.69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较年初预算数增加11.38万元，增长45.0%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2024年对工作人员的社保进行了调整。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12.62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2024年对工作人员的社保进行了调整。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218.56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较年初预算数增加13.37万元，增长6.5%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对工作人员的工资标准进行了调整。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val="en-US" w:eastAsia="zh-CN"/>
        </w:rPr>
        <w:t>2024年对工作人员的住房公积金进行了调整。</w:t>
      </w:r>
    </w:p>
    <w:p>
      <w:pPr>
        <w:keepNext w:val="0"/>
        <w:keepLines w:val="0"/>
        <w:pageBreakBefore w:val="0"/>
        <w:widowControl/>
        <w:kinsoku/>
        <w:wordWrap/>
        <w:overflowPunct/>
        <w:topLinePunct w:val="0"/>
        <w:autoSpaceDN/>
        <w:bidi w:val="0"/>
        <w:adjustRightInd/>
        <w:spacing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281.08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251.29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与2023年度相比，增加14.31万元，增长6.0%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对工作人员的社保、住房公积金以及工资标准进行了调整。</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工基本工资、津贴补贴、奖金、社会保障缴费等。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29.79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与2023年度相比，减少2.08万元，下降6.5%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5.71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较年初预算数减少0.29万元，下降4.8%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较上年支出数增加3.71万元，增长185.5%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每人的公用经费标准有所调整，有所增加，且在</w:t>
      </w:r>
      <w:r>
        <w:rPr>
          <w:rFonts w:hint="eastAsia" w:ascii="方正仿宋_GBK" w:hAnsi="方正仿宋_GBK" w:eastAsia="方正仿宋_GBK" w:cs="方正仿宋_GBK"/>
          <w:sz w:val="32"/>
          <w:szCs w:val="32"/>
          <w:shd w:val="clear" w:color="auto" w:fill="FFFFFF"/>
          <w:lang w:val="en-US" w:eastAsia="zh-CN"/>
        </w:rPr>
        <w:t>2023年时由于刚分开核算，部分公用经费在本级核算</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3.99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车辆燃油费、高速公路通行费等。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较年初预算数减少0.01万元，下降0.3%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较上年支出数增加3.99万元，增长100.0%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本年的出差次数较去年增加。</w:t>
      </w: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较年初预算数减少0.28万元，下降14.0%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r>
        <w:rPr>
          <w:rFonts w:hint="default" w:ascii="Times New Roman" w:hAnsi="Times New Roman" w:eastAsia="方正仿宋_GBK"/>
          <w:sz w:val="32"/>
          <w:szCs w:val="32"/>
          <w:shd w:val="clear" w:color="auto" w:fill="FFFFFF"/>
        </w:rPr>
        <w:t>较上年支出数减少0.28万元，下降14.0%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严格按照要求管控经费支出，减少不必要开支。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79.72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3.99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与2023年度相比，增加0.83万元，增长691.7%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工作人员接受继续教育。</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与2023年度相比，减少0.38万元，下降19.5%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严格管控，减少不必要差旅支出。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不在机关运行经费统计范围之内。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4"/>
        <w:keepNext w:val="0"/>
        <w:keepLines w:val="0"/>
        <w:pageBreakBefore w:val="0"/>
        <w:widowControl/>
        <w:kinsoku/>
        <w:wordWrap/>
        <w:overflowPunct/>
        <w:topLinePunct w:val="0"/>
        <w:autoSpaceDE w:val="0"/>
        <w:autoSpaceDN/>
        <w:bidi w:val="0"/>
        <w:adjustRightInd/>
        <w:spacing w:line="594" w:lineRule="exact"/>
        <w:ind w:left="720" w:firstLine="0" w:firstLineChars="0"/>
        <w:textAlignment w:val="auto"/>
        <w:rPr>
          <w:rStyle w:val="13"/>
          <w:rFonts w:hint="eastAsia" w:ascii="黑体" w:hAnsi="黑体" w:eastAsia="黑体" w:cs="黑体"/>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2023年度本单位无项目资金，未开展预算绩效自评。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4" w:lineRule="exact"/>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丰都县林业产业发展中心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281.08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丰都县林业产业发展中心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丰都县林业产业发展中心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251.29</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丰都县林业产业发展中心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丰都县林业产业发展中心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AB17AE"/>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2D7304"/>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68499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FC9FD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5230</Words>
  <Characters>5906</Characters>
  <Lines>186</Lines>
  <Paragraphs>52</Paragraphs>
  <TotalTime>3</TotalTime>
  <ScaleCrop>false</ScaleCrop>
  <LinksUpToDate>false</LinksUpToDate>
  <CharactersWithSpaces>6001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2025-09-12T16:46:53Z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