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丰都县十直镇中心小学校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年度项目绩效评价报告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根据市财政局要求，加强对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绩效自评的组织管理，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我校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对照20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年初预算教育发展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各种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专项经费设定的绩效目标及指标值，对应填报年度完成值，确保数据准确、分值合理、结果客观。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现将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自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评情况报告如下: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（一）项目背景、内容。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为贯彻落实中央关于“ 建立全面规范透明、 标准科学、 约束有力的预算制度，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进一步加强学校建设，均衡教育资源，城乡协调发展，全面提高政府公共服务能力，有质量的均衡的教育。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我校编制20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年度预算时，全面了各项目绩效目标。绩效目标严格设置产出指标中的数量、质量、时效、成本等指标，效益指标中的经济效益、社会效益、可持续性影响和服务对象满意度等绩效指标。本次对所有项目的绩效结果进行逐一审核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项目资金情况。（项目资金到位、资金执行和管理等情况）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根据市县财政局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为项目的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顺利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开展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和按项目进度支付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资金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提供了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保障。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项目资金到位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100%，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资金执行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100%，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资金来源: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中央资金、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省级财政资金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县级财政资金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。并严格执行《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重庆市教育局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项目资金拨付管理暂行办法》；相关支出已按照财政的要求进行了会计核算，付款申请审批等程序均已到位。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绩效目标。（设定预期目标情况）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贯彻落实党的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二十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大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精神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以及全国教育工作会议精神，紧紧围绕全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教育事业的改革与发展大局，坚持以人为本、促进公平，不断完善规范化建设，确保“让一个学生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都能上好学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部门（单位）职能职责。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重庆市丰都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县十直镇中心小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学校属于二级预算单位,本单位内设机构含办公室、德育处、教务处、总务处、信息技术中心、安保科、教科室、外联办。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二、绩效目标完成情况分析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（一）总体绩效目标完成情况分析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我校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项目支出经费使用与工作执行进度紧密结合，年初制定的项目工作任务目标100%按时完成。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绩效指标完成情况分析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各项目均达到实际的成效，效率指标达优，工作成本节约，没有出现工作质量不高，工作拖欠的现象。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项目的社会效益良好，服务对象满意度高，提高了广大群众对我校的满意度。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评价结果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项目依照省市的要求决策，依据充分、目标明确、程序合理，与政策要求高度相关；项目资金到位及时；项目的产出达到预期的目标，实现了项目的绩效目标。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综上所述，项目总体评分为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“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98.61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分”，评定级别为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三、存在的问题: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（一）项目管理方面的问题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项目相关目标内容的量化指标不够准确，不能准确反映项目产出数量与产出效益。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（二）资金使用方面的问题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受县财力影响，项目资金没有按计划完成支出，支出进度不够，以及相应的项目产出数量不足。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四、下一步改进措施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项目偏差在合理的范围内，基本完成了预设的目标。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五、绩效自评结果拟应用和公开情况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绩效自评结果将在丰都县人民政府公众信息网站上进行公开，绩效评价结果与下年度资金安排直接挂钩。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无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040" w:firstLineChars="18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附件1：死亡抚恤金绩效自评表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附件2：义务教育学生营养午餐绩效自评表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附件3：义务教育维修维护（中市）绩效自评表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附件4：彩票公益金绩效自评表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附件5：中央专项彩票公益金少年宫项目绩效自评表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附件6：薄弱环节改善与能力提升绩效自评表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附件7：义务教育公用经费绩效自评表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附件8：校园保安工资绩效自评表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附件9：校园保安工资（中市)绩效自评表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附件10：学前教育公用经费(中市)绩效自评表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附件11：学前教育营养午餐绩效自评表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附件12：彩票公益金（存量资金）绩效自评表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附件13：义务教育公用经费(中市绩效自评表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附件14：2023年学前教育资助绩效自评表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附件15：义务教育学生资助(中市)绩效自评表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附件16：义务教育“双减”工作绩效自评表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附件17：学前教育公用经费绩效自评表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附件18：义务教育营养午餐绩效自评表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附件19：从业人员工资绩效自评表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附件20：农村教师生活补助（中市）绩效自评表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040" w:firstLineChars="18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丰都县十直镇中心小学校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0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              202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3182CB"/>
    <w:multiLevelType w:val="singleLevel"/>
    <w:tmpl w:val="F63182C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AF9E3EC"/>
    <w:multiLevelType w:val="singleLevel"/>
    <w:tmpl w:val="7AF9E3E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5ZTBhYzE5Zjk2NmEwODdlYmM4MDA5ZjkyYTIwNmUifQ=="/>
  </w:docVars>
  <w:rsids>
    <w:rsidRoot w:val="00000000"/>
    <w:rsid w:val="01AD2C00"/>
    <w:rsid w:val="0E8A45E9"/>
    <w:rsid w:val="103C208F"/>
    <w:rsid w:val="10BE0C28"/>
    <w:rsid w:val="10CF3264"/>
    <w:rsid w:val="10FC6184"/>
    <w:rsid w:val="134F2367"/>
    <w:rsid w:val="13DB135F"/>
    <w:rsid w:val="14BD32F8"/>
    <w:rsid w:val="18E04FD7"/>
    <w:rsid w:val="19401F2C"/>
    <w:rsid w:val="1B863494"/>
    <w:rsid w:val="1BA96BF2"/>
    <w:rsid w:val="1BE74D01"/>
    <w:rsid w:val="206262B3"/>
    <w:rsid w:val="22583732"/>
    <w:rsid w:val="225D23C4"/>
    <w:rsid w:val="27EE225C"/>
    <w:rsid w:val="331429F5"/>
    <w:rsid w:val="34156594"/>
    <w:rsid w:val="38B32ADD"/>
    <w:rsid w:val="3E145120"/>
    <w:rsid w:val="40561837"/>
    <w:rsid w:val="411B6C88"/>
    <w:rsid w:val="43C17DE3"/>
    <w:rsid w:val="4C455C43"/>
    <w:rsid w:val="4D8257D3"/>
    <w:rsid w:val="57992207"/>
    <w:rsid w:val="59D658EE"/>
    <w:rsid w:val="5A1F5CB4"/>
    <w:rsid w:val="5B224E28"/>
    <w:rsid w:val="5EA00077"/>
    <w:rsid w:val="5FA6332C"/>
    <w:rsid w:val="61095ACE"/>
    <w:rsid w:val="610F0176"/>
    <w:rsid w:val="640C3E97"/>
    <w:rsid w:val="66CD3F0D"/>
    <w:rsid w:val="689B0F57"/>
    <w:rsid w:val="6BA82890"/>
    <w:rsid w:val="6D902F6D"/>
    <w:rsid w:val="6E881C94"/>
    <w:rsid w:val="73753CEB"/>
    <w:rsid w:val="74667588"/>
    <w:rsid w:val="76A5124B"/>
    <w:rsid w:val="76EA2DC0"/>
    <w:rsid w:val="7F272A78"/>
    <w:rsid w:val="7FA8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1127</Words>
  <Characters>1150</Characters>
  <Lines>0</Lines>
  <Paragraphs>0</Paragraphs>
  <TotalTime>55</TotalTime>
  <ScaleCrop>false</ScaleCrop>
  <LinksUpToDate>false</LinksUpToDate>
  <CharactersWithSpaces>1159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2023-04-19T07:09:00Z</dcterms:created>
  <dc:creator>Administrator</dc:creator>
  <cp:lastModifiedBy>WPS_1662621132</cp:lastModifiedBy>
  <dcterms:modified xsi:type="dcterms:W3CDTF">2024-03-28T02:18:27Z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D597DF7EA7634FA1B5E160E2700AE02E_12</vt:lpwstr>
  </property>
</Properties>
</file>