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05" w:rsidRDefault="00EC066D">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丰都县教育委员会（本级）</w:t>
      </w:r>
    </w:p>
    <w:p w:rsidR="00EE6B05" w:rsidRDefault="00EC066D">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EE6B05" w:rsidRDefault="00EE6B05">
      <w:pPr>
        <w:pStyle w:val="a8"/>
        <w:shd w:val="clear" w:color="auto" w:fill="FFFFFF"/>
        <w:spacing w:before="0" w:beforeAutospacing="0" w:after="0" w:afterAutospacing="0" w:line="596" w:lineRule="exact"/>
        <w:ind w:firstLineChars="200" w:firstLine="540"/>
        <w:rPr>
          <w:rFonts w:hint="default"/>
          <w:sz w:val="27"/>
          <w:szCs w:val="27"/>
          <w:shd w:val="clear" w:color="auto" w:fill="FFFF00"/>
        </w:rPr>
      </w:pPr>
    </w:p>
    <w:p w:rsidR="00EE6B05" w:rsidRDefault="00EC066D">
      <w:pPr>
        <w:pStyle w:val="a8"/>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EE6B05" w:rsidRDefault="00EC066D">
      <w:pPr>
        <w:snapToGrid w:val="0"/>
        <w:spacing w:line="520" w:lineRule="exact"/>
        <w:ind w:firstLineChars="200" w:firstLine="640"/>
        <w:rPr>
          <w:rFonts w:ascii="仿宋_GB2312" w:eastAsia="仿宋_GB2312" w:hAnsi="仿宋" w:hint="default"/>
          <w:sz w:val="32"/>
          <w:szCs w:val="32"/>
        </w:rPr>
      </w:pPr>
      <w:r>
        <w:rPr>
          <w:rFonts w:ascii="仿宋_GB2312" w:eastAsia="仿宋_GB2312" w:hAnsi="仿宋"/>
          <w:sz w:val="32"/>
          <w:szCs w:val="32"/>
        </w:rPr>
        <w:t>1</w:t>
      </w:r>
      <w:r>
        <w:rPr>
          <w:rFonts w:ascii="仿宋_GB2312" w:eastAsia="仿宋_GB2312" w:hAnsi="仿宋"/>
          <w:sz w:val="32"/>
          <w:szCs w:val="32"/>
        </w:rPr>
        <w:t>．主要职能。</w:t>
      </w:r>
    </w:p>
    <w:p w:rsidR="00EE6B05" w:rsidRDefault="00EC066D">
      <w:pPr>
        <w:pStyle w:val="a8"/>
        <w:spacing w:before="0" w:beforeAutospacing="0" w:after="0" w:afterAutospacing="0" w:line="500" w:lineRule="exact"/>
        <w:ind w:firstLineChars="200" w:firstLine="640"/>
        <w:rPr>
          <w:rFonts w:ascii="仿宋_GB2312" w:eastAsia="仿宋_GB2312" w:hAnsi="仿宋" w:hint="default"/>
          <w:kern w:val="2"/>
          <w:sz w:val="32"/>
          <w:szCs w:val="32"/>
        </w:rPr>
      </w:pPr>
      <w:r>
        <w:rPr>
          <w:rFonts w:ascii="仿宋_GB2312" w:eastAsia="仿宋_GB2312" w:hAnsi="仿宋"/>
          <w:kern w:val="2"/>
          <w:sz w:val="32"/>
          <w:szCs w:val="32"/>
        </w:rPr>
        <w:t>中共丰都县委教育工作领导小组秘书组承担中共丰都县委教育工作领导小组的具体工作，主要职责是：</w:t>
      </w:r>
    </w:p>
    <w:p w:rsidR="00EE6B05" w:rsidRDefault="00EC066D">
      <w:pPr>
        <w:pStyle w:val="a8"/>
        <w:spacing w:before="0" w:beforeAutospacing="0" w:after="0" w:afterAutospacing="0" w:line="500" w:lineRule="exact"/>
        <w:ind w:firstLineChars="200" w:firstLine="640"/>
        <w:rPr>
          <w:rFonts w:ascii="仿宋_GB2312" w:eastAsia="仿宋_GB2312" w:hAnsi="仿宋" w:hint="default"/>
          <w:kern w:val="2"/>
          <w:sz w:val="32"/>
          <w:szCs w:val="32"/>
        </w:rPr>
      </w:pPr>
      <w:r>
        <w:rPr>
          <w:rFonts w:ascii="仿宋_GB2312" w:eastAsia="仿宋_GB2312" w:hAnsi="仿宋"/>
          <w:kern w:val="2"/>
          <w:sz w:val="32"/>
          <w:szCs w:val="32"/>
        </w:rPr>
        <w:t xml:space="preserve">1. </w:t>
      </w:r>
      <w:r>
        <w:rPr>
          <w:rFonts w:ascii="仿宋_GB2312" w:eastAsia="仿宋_GB2312" w:hAnsi="仿宋"/>
          <w:kern w:val="2"/>
          <w:sz w:val="32"/>
          <w:szCs w:val="32"/>
        </w:rPr>
        <w:t>全面贯彻党的教育方针，牢牢把握社会主义办学方向，落实立德树人根本任务。</w:t>
      </w:r>
    </w:p>
    <w:p w:rsidR="00EE6B05" w:rsidRDefault="00EC066D">
      <w:pPr>
        <w:pStyle w:val="a8"/>
        <w:spacing w:before="0" w:beforeAutospacing="0" w:after="0" w:afterAutospacing="0" w:line="500" w:lineRule="exact"/>
        <w:ind w:firstLineChars="200" w:firstLine="640"/>
        <w:rPr>
          <w:rFonts w:ascii="仿宋_GB2312" w:eastAsia="仿宋_GB2312" w:hAnsi="仿宋" w:hint="default"/>
          <w:kern w:val="2"/>
          <w:sz w:val="32"/>
          <w:szCs w:val="32"/>
        </w:rPr>
      </w:pPr>
      <w:r>
        <w:rPr>
          <w:rFonts w:ascii="仿宋_GB2312" w:eastAsia="仿宋_GB2312" w:hAnsi="仿宋"/>
          <w:kern w:val="2"/>
          <w:sz w:val="32"/>
          <w:szCs w:val="32"/>
        </w:rPr>
        <w:t xml:space="preserve">2. </w:t>
      </w:r>
      <w:r>
        <w:rPr>
          <w:rFonts w:ascii="仿宋_GB2312" w:eastAsia="仿宋_GB2312" w:hAnsi="仿宋"/>
          <w:kern w:val="2"/>
          <w:sz w:val="32"/>
          <w:szCs w:val="32"/>
        </w:rPr>
        <w:t>负责在教育领域组织实施坚持党的领导、加强党的建设等政策措施，做好教育领域思想政治、意识形态等工作。</w:t>
      </w:r>
    </w:p>
    <w:p w:rsidR="00EE6B05" w:rsidRDefault="00EC066D">
      <w:pPr>
        <w:pStyle w:val="a8"/>
        <w:spacing w:before="0" w:beforeAutospacing="0" w:after="0" w:afterAutospacing="0" w:line="500" w:lineRule="exact"/>
        <w:ind w:firstLineChars="200" w:firstLine="640"/>
        <w:rPr>
          <w:rFonts w:ascii="仿宋_GB2312" w:eastAsia="仿宋_GB2312" w:hAnsi="仿宋" w:hint="default"/>
          <w:kern w:val="2"/>
          <w:sz w:val="32"/>
          <w:szCs w:val="32"/>
        </w:rPr>
      </w:pPr>
      <w:r>
        <w:rPr>
          <w:rFonts w:ascii="仿宋_GB2312" w:eastAsia="仿宋_GB2312" w:hAnsi="仿宋"/>
          <w:kern w:val="2"/>
          <w:sz w:val="32"/>
          <w:szCs w:val="32"/>
        </w:rPr>
        <w:t xml:space="preserve">3. </w:t>
      </w:r>
      <w:r>
        <w:rPr>
          <w:rFonts w:ascii="仿宋_GB2312" w:eastAsia="仿宋_GB2312" w:hAnsi="仿宋"/>
          <w:kern w:val="2"/>
          <w:sz w:val="32"/>
          <w:szCs w:val="32"/>
        </w:rPr>
        <w:t>负责拟订全县教育发展中长期规划、重大政策和体制改革方案。</w:t>
      </w:r>
    </w:p>
    <w:p w:rsidR="00EE6B05" w:rsidRDefault="00EC066D">
      <w:pPr>
        <w:pStyle w:val="a8"/>
        <w:shd w:val="clear" w:color="auto" w:fill="FFFFFF"/>
        <w:ind w:firstLine="420"/>
        <w:rPr>
          <w:rFonts w:ascii="仿宋_GB2312" w:eastAsia="仿宋_GB2312" w:hAnsi="仿宋" w:hint="default"/>
          <w:kern w:val="2"/>
          <w:sz w:val="32"/>
          <w:szCs w:val="32"/>
        </w:rPr>
      </w:pPr>
      <w:r>
        <w:rPr>
          <w:rFonts w:ascii="仿宋_GB2312" w:eastAsia="仿宋_GB2312" w:hAnsi="仿宋"/>
          <w:kern w:val="2"/>
          <w:sz w:val="32"/>
          <w:szCs w:val="32"/>
        </w:rPr>
        <w:t xml:space="preserve">4. </w:t>
      </w:r>
      <w:r>
        <w:rPr>
          <w:rFonts w:ascii="仿宋_GB2312" w:eastAsia="仿宋_GB2312" w:hAnsi="仿宋"/>
          <w:kern w:val="2"/>
          <w:sz w:val="32"/>
          <w:szCs w:val="32"/>
        </w:rPr>
        <w:t>贯彻落实县委教育工作领导小组决定决议，负责县委教育工作领导小组日常事务处理、综合协调等工作，重大事项定期向县委教育工作领导小组汇报。</w:t>
      </w:r>
    </w:p>
    <w:p w:rsidR="00EE6B05" w:rsidRDefault="00EC066D">
      <w:pPr>
        <w:pStyle w:val="a8"/>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EE6B05" w:rsidRDefault="00EC066D">
      <w:pPr>
        <w:pStyle w:val="a8"/>
        <w:ind w:firstLineChars="200" w:firstLine="640"/>
        <w:rPr>
          <w:rFonts w:hint="default"/>
        </w:rPr>
      </w:pPr>
      <w:r>
        <w:rPr>
          <w:rFonts w:ascii="仿宋_GB2312" w:eastAsia="仿宋_GB2312" w:hAnsi="仿宋_GB2312" w:cs="仿宋_GB2312"/>
          <w:sz w:val="32"/>
        </w:rPr>
        <w:t>下设办公室（丰都县人民政府教育督导室）、秘书组秘书科（组织建设科）、人事科、教育科（行政审批服务科）、艺体卫科、规划建管科、财务勤管科、法规信访科、安全稳定办公室九个业务科室。</w:t>
      </w:r>
    </w:p>
    <w:p w:rsidR="00EE6B05" w:rsidRDefault="00EC066D">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二、单位决算收支情况说明</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（一）收入支出决算总体情况说明</w:t>
      </w:r>
    </w:p>
    <w:p w:rsidR="00EE6B05" w:rsidRDefault="00EC066D">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3929.65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4174.66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51.5%</w:t>
      </w:r>
      <w:r>
        <w:rPr>
          <w:rFonts w:ascii="方正仿宋_GBK" w:eastAsia="方正仿宋_GBK" w:hAnsi="方正仿宋_GBK" w:cs="方正仿宋_GBK"/>
          <w:sz w:val="32"/>
          <w:szCs w:val="32"/>
          <w:shd w:val="clear" w:color="auto" w:fill="FFFFFF"/>
        </w:rPr>
        <w:t>，主要原因是直属四个事业单位从</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年起单独核算，不再并入本单位合并核算，其人员经费和公用经费相应收入减少。</w:t>
      </w:r>
    </w:p>
    <w:p w:rsidR="00EE6B05" w:rsidRDefault="00EC066D">
      <w:pPr>
        <w:pStyle w:val="a8"/>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t>1</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3892.81</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3466.95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47.1%</w:t>
      </w: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主要原因是直属四个事业单位从</w:t>
      </w:r>
      <w:r>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年起单独核算，不再并入本单位合并核算，其人员经费和公用经费相应收入减少。</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3821.80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98.2%</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71.01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1.8%</w:t>
      </w:r>
      <w:r>
        <w:rPr>
          <w:rFonts w:ascii="方正仿宋_GBK" w:eastAsia="方正仿宋_GBK" w:hAnsi="方正仿宋_GBK"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36.84</w:t>
      </w:r>
      <w:r>
        <w:rPr>
          <w:rFonts w:ascii="方正仿宋_GBK" w:eastAsia="方正仿宋_GBK" w:hAnsi="方正仿宋_GBK" w:cs="方正仿宋_GBK"/>
          <w:sz w:val="32"/>
          <w:szCs w:val="32"/>
          <w:shd w:val="clear" w:color="auto" w:fill="FFFFFF"/>
        </w:rPr>
        <w:t>万元。</w:t>
      </w:r>
    </w:p>
    <w:p w:rsidR="00EE6B05" w:rsidRDefault="00EC066D">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3929.65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4137.82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51.3%</w:t>
      </w:r>
      <w:r>
        <w:rPr>
          <w:rFonts w:ascii="方正仿宋_GBK" w:eastAsia="方正仿宋_GBK" w:hAnsi="方正仿宋_GBK" w:cs="方正仿宋_GBK"/>
          <w:sz w:val="32"/>
          <w:szCs w:val="32"/>
          <w:shd w:val="clear" w:color="auto" w:fill="FFFFFF"/>
        </w:rPr>
        <w:t>，主要原因是直属四个事业单位从</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年起单独核算，不再并入本单位合并核算，导致总体费用下降。其中：基本支出</w:t>
      </w:r>
      <w:r>
        <w:rPr>
          <w:rFonts w:ascii="Times New Roman" w:eastAsia="方正仿宋_GBK" w:hAnsi="Times New Roman" w:hint="default"/>
          <w:sz w:val="32"/>
          <w:szCs w:val="32"/>
          <w:shd w:val="clear" w:color="auto" w:fill="FFFFFF"/>
        </w:rPr>
        <w:t>823.32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21.0%</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3106.33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79.1%</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EE6B05" w:rsidRDefault="00EC066D">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36.84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，主要原因是期末结转结余为中考考试费用，因</w:t>
      </w:r>
      <w:r>
        <w:rPr>
          <w:rFonts w:ascii="方正仿宋_GBK" w:eastAsia="方正仿宋_GBK" w:hAnsi="方正仿宋_GBK" w:cs="方正仿宋_GBK"/>
          <w:sz w:val="32"/>
          <w:szCs w:val="32"/>
          <w:shd w:val="clear" w:color="auto" w:fill="FFFFFF"/>
        </w:rPr>
        <w:t>全县教育系统学生人</w:t>
      </w:r>
      <w:r>
        <w:rPr>
          <w:rFonts w:ascii="方正仿宋_GBK" w:eastAsia="方正仿宋_GBK" w:hAnsi="方正仿宋_GBK" w:cs="方正仿宋_GBK"/>
          <w:sz w:val="32"/>
          <w:szCs w:val="32"/>
          <w:shd w:val="clear" w:color="auto" w:fill="FFFFFF"/>
        </w:rPr>
        <w:lastRenderedPageBreak/>
        <w:t>数</w:t>
      </w:r>
      <w:r w:rsidR="00EF14C1">
        <w:rPr>
          <w:rFonts w:ascii="方正仿宋_GBK" w:eastAsia="方正仿宋_GBK" w:hAnsi="方正仿宋_GBK" w:cs="方正仿宋_GBK"/>
          <w:sz w:val="32"/>
          <w:szCs w:val="32"/>
          <w:shd w:val="clear" w:color="auto" w:fill="FFFFFF"/>
        </w:rPr>
        <w:t>逐年</w:t>
      </w:r>
      <w:r>
        <w:rPr>
          <w:rFonts w:ascii="方正仿宋_GBK" w:eastAsia="方正仿宋_GBK" w:hAnsi="方正仿宋_GBK" w:cs="方正仿宋_GBK"/>
          <w:sz w:val="32"/>
          <w:szCs w:val="32"/>
          <w:shd w:val="clear" w:color="auto" w:fill="FFFFFF"/>
        </w:rPr>
        <w:t>减少，中考考试费收入减少且全部用于中考考试考务费，因此本年无结余。</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3821.80</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4148.13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52.1%</w:t>
      </w:r>
      <w:r>
        <w:rPr>
          <w:rFonts w:ascii="方正仿宋_GBK" w:eastAsia="方正仿宋_GBK" w:hAnsi="方正仿宋_GBK" w:cs="方正仿宋_GBK"/>
          <w:sz w:val="32"/>
          <w:szCs w:val="32"/>
          <w:shd w:val="clear" w:color="auto" w:fill="FFFFFF"/>
        </w:rPr>
        <w:t>。主要原因是</w:t>
      </w:r>
      <w:r>
        <w:rPr>
          <w:rFonts w:ascii="仿宋" w:eastAsia="仿宋" w:hAnsi="仿宋"/>
          <w:sz w:val="30"/>
          <w:szCs w:val="30"/>
        </w:rPr>
        <w:t>直属四个事业单位从</w:t>
      </w:r>
      <w:r>
        <w:rPr>
          <w:rFonts w:ascii="仿宋" w:eastAsia="仿宋" w:hAnsi="仿宋"/>
          <w:sz w:val="30"/>
          <w:szCs w:val="30"/>
        </w:rPr>
        <w:t>2024</w:t>
      </w:r>
      <w:r>
        <w:rPr>
          <w:rFonts w:ascii="仿宋" w:eastAsia="仿宋" w:hAnsi="仿宋"/>
          <w:sz w:val="30"/>
          <w:szCs w:val="30"/>
        </w:rPr>
        <w:t>年起单独核算，不再并入本单位合并核算，导致总体费用下降。</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EE6B05" w:rsidRDefault="00EC066D">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a"/>
          <w:rFonts w:ascii="Times New Roman" w:eastAsia="方正仿宋_GBK" w:hAnsi="Times New Roman" w:hint="default"/>
          <w:sz w:val="32"/>
          <w:szCs w:val="32"/>
          <w:shd w:val="clear" w:color="auto" w:fill="FFFFFF"/>
        </w:rPr>
        <w:t>1</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3784.40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3492.53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48.0%</w:t>
      </w:r>
      <w:r>
        <w:rPr>
          <w:rFonts w:ascii="方正仿宋_GBK" w:eastAsia="方正仿宋_GBK" w:hAnsi="方正仿宋_GBK" w:cs="方正仿宋_GBK"/>
          <w:sz w:val="32"/>
          <w:szCs w:val="32"/>
          <w:shd w:val="clear" w:color="auto" w:fill="FFFFFF"/>
        </w:rPr>
        <w:t>。</w:t>
      </w:r>
      <w:bookmarkStart w:id="0" w:name="_GoBack"/>
      <w:bookmarkEnd w:id="0"/>
      <w:r>
        <w:rPr>
          <w:rFonts w:ascii="方正仿宋_GBK" w:eastAsia="方正仿宋_GBK" w:hAnsi="方正仿宋_GBK" w:cs="方正仿宋_GBK"/>
          <w:sz w:val="32"/>
          <w:szCs w:val="32"/>
          <w:shd w:val="clear" w:color="auto" w:fill="FFFFFF"/>
        </w:rPr>
        <w:t>主要原因是直属四个事业单位从</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年起单独预算，不再并入本单位合并核算，导致总体收入下降。</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28709.49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88.4%</w:t>
      </w:r>
      <w:r>
        <w:rPr>
          <w:rFonts w:ascii="方正仿宋_GBK" w:eastAsia="方正仿宋_GBK" w:hAnsi="方正仿宋_GBK" w:cs="方正仿宋_GBK"/>
          <w:sz w:val="32"/>
          <w:szCs w:val="32"/>
          <w:shd w:val="clear" w:color="auto" w:fill="FFFFFF"/>
        </w:rPr>
        <w:t>。主要原因是本年直属四个事业单位分开预算。此外，年初财政拨款结转和结余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EE6B05" w:rsidRDefault="00EC066D">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3784.40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4185.53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52.5%</w:t>
      </w:r>
      <w:r>
        <w:rPr>
          <w:rFonts w:ascii="方正仿宋_GBK" w:eastAsia="方正仿宋_GBK" w:hAnsi="方正仿宋_GBK" w:cs="方正仿宋_GBK"/>
          <w:sz w:val="32"/>
          <w:szCs w:val="32"/>
          <w:shd w:val="clear" w:color="auto" w:fill="FFFFFF"/>
        </w:rPr>
        <w:t>。主要原因是直属四个事业单位从</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年起单独预算，不再并入本单位合并核算，导致总体费用下降。</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28709.49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88.4%</w:t>
      </w:r>
      <w:r>
        <w:rPr>
          <w:rFonts w:ascii="方正仿宋_GBK" w:eastAsia="方正仿宋_GBK" w:hAnsi="方正仿宋_GBK" w:cs="方正仿宋_GBK"/>
          <w:sz w:val="32"/>
          <w:szCs w:val="32"/>
          <w:shd w:val="clear" w:color="auto" w:fill="FFFFFF"/>
        </w:rPr>
        <w:t>。主要原因是本年直属四个事业单位分开预算。</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）教育支出</w:t>
      </w:r>
      <w:r>
        <w:rPr>
          <w:rFonts w:ascii="Times New Roman" w:eastAsia="方正仿宋_GBK" w:hAnsi="Times New Roman" w:hint="default"/>
          <w:sz w:val="32"/>
          <w:szCs w:val="32"/>
          <w:shd w:val="clear" w:color="auto" w:fill="FFFFFF"/>
        </w:rPr>
        <w:t>2985.77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78.9%</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29344.57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90.8%</w:t>
      </w:r>
      <w:r>
        <w:rPr>
          <w:rFonts w:ascii="方正仿宋_GBK" w:eastAsia="方正仿宋_GBK" w:hAnsi="方正仿宋_GBK" w:cs="方正仿宋_GBK"/>
          <w:sz w:val="32"/>
          <w:szCs w:val="32"/>
          <w:shd w:val="clear" w:color="auto" w:fill="FFFFFF"/>
        </w:rPr>
        <w:t>，主要原因是本年直属四个事业单位分开决算。</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139.49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30.39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27.9%</w:t>
      </w:r>
      <w:r>
        <w:rPr>
          <w:rFonts w:ascii="方正仿宋_GBK" w:eastAsia="方正仿宋_GBK" w:hAnsi="方正仿宋_GBK" w:cs="方正仿宋_GBK"/>
          <w:sz w:val="32"/>
          <w:szCs w:val="32"/>
          <w:shd w:val="clear" w:color="auto" w:fill="FFFFFF"/>
        </w:rPr>
        <w:t>，主要原因是公务员工资增加，职级晋升，增加了社会保障基数标准。</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27.18</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1.31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4.6%</w:t>
      </w:r>
      <w:r>
        <w:rPr>
          <w:rFonts w:ascii="方正仿宋_GBK" w:eastAsia="方正仿宋_GBK" w:hAnsi="方正仿宋_GBK" w:cs="方正仿宋_GBK"/>
          <w:sz w:val="32"/>
          <w:szCs w:val="32"/>
          <w:shd w:val="clear" w:color="auto" w:fill="FFFFFF"/>
        </w:rPr>
        <w:t>，主要原因是人员增减更换导致年初预算减少。</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）农林水支出</w:t>
      </w:r>
      <w:r>
        <w:rPr>
          <w:rFonts w:ascii="Times New Roman" w:eastAsia="方正仿宋_GBK" w:hAnsi="Times New Roman" w:hint="default"/>
          <w:sz w:val="32"/>
          <w:szCs w:val="32"/>
          <w:shd w:val="clear" w:color="auto" w:fill="FFFFFF"/>
        </w:rPr>
        <w:t>606.00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16.0%</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606.00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，主要原因是本年度增加了农林水项目预算。</w:t>
      </w:r>
    </w:p>
    <w:p w:rsidR="00EE6B05" w:rsidRDefault="00EC066D">
      <w:pPr>
        <w:spacing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25.95</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p>
    <w:p w:rsidR="00EE6B05" w:rsidRDefault="00EC066D">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715.47</w:t>
      </w:r>
      <w:r>
        <w:rPr>
          <w:rFonts w:ascii="方正仿宋_GBK" w:eastAsia="方正仿宋_GBK" w:hAnsi="方正仿宋_GBK" w:cs="方正仿宋_GBK"/>
          <w:sz w:val="32"/>
          <w:szCs w:val="32"/>
          <w:shd w:val="clear" w:color="auto" w:fill="FFFFFF"/>
        </w:rPr>
        <w:t>万元。</w:t>
      </w:r>
    </w:p>
    <w:p w:rsidR="00EE6B05" w:rsidRDefault="00EC066D">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434.51</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115.54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21.0%</w:t>
      </w:r>
      <w:r>
        <w:rPr>
          <w:rFonts w:ascii="方正仿宋_GBK" w:eastAsia="方正仿宋_GBK" w:hAnsi="方正仿宋_GBK" w:cs="方正仿宋_GBK"/>
          <w:sz w:val="32"/>
          <w:szCs w:val="32"/>
          <w:shd w:val="clear" w:color="auto" w:fill="FFFFFF"/>
        </w:rPr>
        <w:t>，主要原因是本年直属四个事业单位分开决算。人员经费用途主要包括</w:t>
      </w:r>
      <w:r>
        <w:rPr>
          <w:rFonts w:ascii="仿宋_GB2312" w:eastAsia="仿宋_GB2312" w:hAnsi="仿宋"/>
          <w:sz w:val="32"/>
          <w:szCs w:val="32"/>
        </w:rPr>
        <w:t>保障人员工资及绩效、五险一金的发放。</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公用经费</w:t>
      </w:r>
      <w:r>
        <w:rPr>
          <w:rFonts w:ascii="Times New Roman" w:eastAsia="方正仿宋_GBK" w:hAnsi="Times New Roman" w:hint="default"/>
          <w:sz w:val="32"/>
          <w:szCs w:val="32"/>
          <w:shd w:val="clear" w:color="auto" w:fill="FFFFFF"/>
        </w:rPr>
        <w:t>280.96</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28.27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9.1%</w:t>
      </w:r>
      <w:r>
        <w:rPr>
          <w:rFonts w:ascii="方正仿宋_GBK" w:eastAsia="方正仿宋_GBK" w:hAnsi="方正仿宋_GBK" w:cs="方正仿宋_GBK"/>
          <w:sz w:val="32"/>
          <w:szCs w:val="32"/>
          <w:shd w:val="clear" w:color="auto" w:fill="FFFFFF"/>
        </w:rPr>
        <w:t>，主要原因是本年直属四个事业单位分开决算。公用经费用途主要包括办公用品购置、办公业务活动费用、水、电、气、差旅、培训等。</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年度政府性基金预算财政拨款年初结转结余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Times New Roman" w:eastAsia="方正仿宋_GBK" w:hAnsi="Times New Roman" w:hint="default"/>
          <w:sz w:val="32"/>
          <w:szCs w:val="32"/>
          <w:shd w:val="clear" w:color="auto" w:fill="FFFFFF"/>
        </w:rPr>
        <w:t>37.40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37.40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，主要原因是本年度增加政府性基金预算项目。本年支出</w:t>
      </w:r>
      <w:r>
        <w:rPr>
          <w:rFonts w:ascii="Times New Roman" w:eastAsia="方正仿宋_GBK" w:hAnsi="Times New Roman" w:hint="default"/>
          <w:sz w:val="32"/>
          <w:szCs w:val="32"/>
          <w:shd w:val="clear" w:color="auto" w:fill="FFFFFF"/>
        </w:rPr>
        <w:t>37.40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37.40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，主要原因是本年度增加政府性基金支出项目。</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w:t>
      </w:r>
      <w:r>
        <w:rPr>
          <w:rFonts w:ascii="楷体" w:eastAsia="楷体" w:hAnsi="楷体" w:cs="楷体" w:hint="eastAsia"/>
          <w:b/>
          <w:bCs/>
          <w:sz w:val="32"/>
          <w:szCs w:val="32"/>
          <w:shd w:val="clear" w:color="auto" w:fill="FFFFFF"/>
        </w:rPr>
        <w:t>算财政拨款支出决算情况说明</w:t>
      </w:r>
    </w:p>
    <w:p w:rsidR="00EE6B05" w:rsidRDefault="00EC066D">
      <w:pPr>
        <w:pStyle w:val="a8"/>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sz w:val="32"/>
          <w:szCs w:val="32"/>
          <w:shd w:val="clear" w:color="auto" w:fill="FFFFFF"/>
        </w:rPr>
        <w:t>年度无国有资本经营预算财政拨款支出。</w:t>
      </w:r>
    </w:p>
    <w:p w:rsidR="00EE6B05" w:rsidRDefault="00EC066D">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三、财政拨款“三公”经费情况说明</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4.70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0.81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20.8%</w:t>
      </w:r>
      <w:r>
        <w:rPr>
          <w:rFonts w:ascii="方正仿宋_GBK" w:eastAsia="方正仿宋_GBK" w:hAnsi="方正仿宋_GBK" w:cs="方正仿宋_GBK"/>
          <w:sz w:val="32"/>
          <w:szCs w:val="32"/>
          <w:shd w:val="clear" w:color="auto" w:fill="FFFFFF"/>
        </w:rPr>
        <w:t>，主要原因是本年无疫情较上年开展公务接待次数增加。</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EE6B05" w:rsidRDefault="00EC066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年度本单位因公出国（境）费用</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万元，费用支出较年初预算数无增减，主要原因是本单位无因公出国（境）。较上年支出数无增减，主要原因是本单位无因公出国（境）预算。</w:t>
      </w:r>
    </w:p>
    <w:p w:rsidR="00EE6B05" w:rsidRDefault="00EC066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万元，费用支出较年初预算数无增减，主要原因是本单位无新增公务用车购置。较上年支出数无增减，主要原因是本单位无新增公务用车购置预算。</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2.70</w:t>
      </w:r>
      <w:r>
        <w:rPr>
          <w:rFonts w:ascii="方正仿宋_GBK" w:eastAsia="方正仿宋_GBK" w:hAnsi="方正仿宋_GBK" w:cs="方正仿宋_GBK"/>
          <w:sz w:val="32"/>
          <w:szCs w:val="32"/>
          <w:shd w:val="clear" w:color="auto" w:fill="FFFFFF"/>
        </w:rPr>
        <w:t>万元，主要用于办学水平督导和政务事务办理。费用支出</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0.20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6.9%</w:t>
      </w:r>
      <w:r>
        <w:rPr>
          <w:rFonts w:ascii="方正仿宋_GBK" w:eastAsia="方正仿宋_GBK" w:hAnsi="方正仿宋_GBK" w:cs="方正仿宋_GBK"/>
          <w:sz w:val="32"/>
          <w:szCs w:val="32"/>
          <w:shd w:val="clear" w:color="auto" w:fill="FFFFFF"/>
        </w:rPr>
        <w:t>，主要原因是本单位控制“三公”经费预算。</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2.00</w:t>
      </w:r>
      <w:r>
        <w:rPr>
          <w:rFonts w:ascii="方正仿宋_GBK" w:eastAsia="方正仿宋_GBK" w:hAnsi="方正仿宋_GBK" w:cs="方正仿宋_GBK"/>
          <w:sz w:val="32"/>
          <w:szCs w:val="32"/>
          <w:shd w:val="clear" w:color="auto" w:fill="FFFFFF"/>
        </w:rPr>
        <w:t>万元，主要用于接待上级检查、督导及经验交流。费用支出</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1.01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102.0%</w:t>
      </w:r>
      <w:r>
        <w:rPr>
          <w:rFonts w:ascii="方正仿宋_GBK" w:eastAsia="方正仿宋_GBK" w:hAnsi="方正仿宋_GBK" w:cs="方正仿宋_GBK"/>
          <w:sz w:val="32"/>
          <w:szCs w:val="32"/>
          <w:shd w:val="clear" w:color="auto" w:fill="FFFFFF"/>
        </w:rPr>
        <w:t>，主要原因是本年无疫情较上年开展公务接待次数增加。</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21</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335</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59.70</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2.70</w:t>
      </w:r>
      <w:r>
        <w:rPr>
          <w:rFonts w:ascii="方正仿宋_GBK" w:eastAsia="方正仿宋_GBK" w:hAnsi="方正仿宋_GBK" w:cs="方正仿宋_GBK"/>
          <w:sz w:val="32"/>
          <w:szCs w:val="32"/>
          <w:shd w:val="clear" w:color="auto" w:fill="FFFFFF"/>
        </w:rPr>
        <w:t>万元。</w:t>
      </w:r>
    </w:p>
    <w:p w:rsidR="00EE6B05" w:rsidRDefault="00EC066D">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EE6B05" w:rsidRDefault="00EC066D">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highlight w:val="yellow"/>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1.58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0.21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11.7%</w:t>
      </w:r>
      <w:r>
        <w:rPr>
          <w:rFonts w:ascii="方正仿宋_GBK" w:eastAsia="方正仿宋_GBK" w:hAnsi="方正仿宋_GBK" w:cs="方正仿宋_GBK"/>
          <w:sz w:val="32"/>
          <w:szCs w:val="32"/>
          <w:shd w:val="clear" w:color="auto" w:fill="FFFFFF"/>
        </w:rPr>
        <w:t>，主要原因是本单位控制“三公”经费预算，压减会议次数。本年度培训费支出</w:t>
      </w:r>
      <w:r>
        <w:rPr>
          <w:rFonts w:ascii="Times New Roman" w:eastAsia="方正仿宋_GBK" w:hAnsi="Times New Roman" w:hint="default"/>
          <w:sz w:val="32"/>
          <w:szCs w:val="32"/>
          <w:shd w:val="clear" w:color="auto" w:fill="FFFFFF"/>
        </w:rPr>
        <w:t>1.33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0.27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16.9%</w:t>
      </w:r>
      <w:r>
        <w:rPr>
          <w:rFonts w:ascii="方正仿宋_GBK" w:eastAsia="方正仿宋_GBK" w:hAnsi="方正仿宋_GBK" w:cs="方正仿宋_GBK"/>
          <w:sz w:val="32"/>
          <w:szCs w:val="32"/>
          <w:shd w:val="clear" w:color="auto" w:fill="FFFFFF"/>
        </w:rPr>
        <w:t>，主要原因是严</w:t>
      </w:r>
      <w:r>
        <w:rPr>
          <w:rFonts w:ascii="方正仿宋_GBK" w:eastAsia="方正仿宋_GBK" w:hAnsi="方正仿宋_GBK" w:cs="方正仿宋_GBK"/>
          <w:sz w:val="32"/>
          <w:szCs w:val="32"/>
          <w:shd w:val="clear" w:color="auto" w:fill="FFFFFF"/>
        </w:rPr>
        <w:lastRenderedPageBreak/>
        <w:t>格控制经费支出，减少了培训次数。本年度差旅费支出</w:t>
      </w:r>
      <w:r>
        <w:rPr>
          <w:rFonts w:ascii="Times New Roman" w:eastAsia="方正仿宋_GBK" w:hAnsi="Times New Roman" w:hint="default"/>
          <w:sz w:val="32"/>
          <w:szCs w:val="32"/>
          <w:shd w:val="clear" w:color="auto" w:fill="FFFFFF"/>
        </w:rPr>
        <w:t>22.43</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19.43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46.4%</w:t>
      </w:r>
      <w:r>
        <w:rPr>
          <w:rFonts w:ascii="方正仿宋_GBK" w:eastAsia="方正仿宋_GBK" w:hAnsi="方正仿宋_GBK" w:cs="方正仿宋_GBK"/>
          <w:sz w:val="32"/>
          <w:szCs w:val="32"/>
          <w:shd w:val="clear" w:color="auto" w:fill="FFFFFF"/>
        </w:rPr>
        <w:t>，主要原因是本年度直属</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个事业单位分开核算。</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年度本单位机关运行经费支出</w:t>
      </w:r>
      <w:r>
        <w:rPr>
          <w:rFonts w:ascii="Times New Roman" w:eastAsia="方正仿宋_GBK" w:hAnsi="Times New Roman" w:hint="default"/>
          <w:sz w:val="32"/>
          <w:szCs w:val="32"/>
          <w:shd w:val="clear" w:color="auto" w:fill="FFFFFF"/>
        </w:rPr>
        <w:t>280.96</w:t>
      </w:r>
      <w:r>
        <w:rPr>
          <w:rFonts w:ascii="方正仿宋_GBK" w:eastAsia="方正仿宋_GBK" w:hAnsi="方正仿宋_GBK" w:cs="方正仿宋_GBK"/>
          <w:sz w:val="32"/>
          <w:szCs w:val="32"/>
          <w:shd w:val="clear" w:color="auto" w:fill="FFFFFF"/>
        </w:rPr>
        <w:t>万元，机关运行经费主要用于开支办公用品购置、办公业务活动费用、水、电、气、差旅、培训等。机关运行经费</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28.27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9.1%</w:t>
      </w:r>
      <w:r>
        <w:rPr>
          <w:rFonts w:ascii="方正仿宋_GBK" w:eastAsia="方正仿宋_GBK" w:hAnsi="方正仿宋_GBK" w:cs="方正仿宋_GBK"/>
          <w:sz w:val="32"/>
          <w:szCs w:val="32"/>
          <w:shd w:val="clear" w:color="auto" w:fill="FFFFFF"/>
        </w:rPr>
        <w:t>，主要原因是本年度直属</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个事业单位分开核算</w:t>
      </w:r>
      <w:r>
        <w:rPr>
          <w:rFonts w:ascii="方正仿宋_GBK" w:eastAsia="方正仿宋_GBK" w:hAnsi="方正仿宋_GBK" w:cs="方正仿宋_GBK"/>
          <w:color w:val="FF0000"/>
          <w:sz w:val="32"/>
          <w:szCs w:val="32"/>
          <w:shd w:val="clear" w:color="auto" w:fill="FFFFFF"/>
        </w:rPr>
        <w:t>。</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EE6B05" w:rsidRDefault="00EC066D">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EE6B05" w:rsidRDefault="00EC066D">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年度本单位政府采购支出总额</w:t>
      </w:r>
      <w:r>
        <w:rPr>
          <w:rFonts w:ascii="Times New Roman" w:eastAsia="方正仿宋_GBK" w:hAnsi="Times New Roman" w:hint="default"/>
          <w:sz w:val="32"/>
          <w:szCs w:val="32"/>
          <w:shd w:val="clear" w:color="auto" w:fill="FFFFFF"/>
        </w:rPr>
        <w:t>4.69</w:t>
      </w:r>
      <w:r>
        <w:rPr>
          <w:rFonts w:ascii="方正仿宋_GBK" w:eastAsia="方正仿宋_GBK" w:hAnsi="方正仿宋_GBK" w:cs="方正仿宋_GBK"/>
          <w:sz w:val="32"/>
          <w:szCs w:val="32"/>
          <w:shd w:val="clear" w:color="auto" w:fill="FFFFFF"/>
        </w:rPr>
        <w:t>万元，其中：政府采购货物支出</w:t>
      </w:r>
      <w:r>
        <w:rPr>
          <w:rFonts w:ascii="Times New Roman" w:eastAsia="方正仿宋_GBK" w:hAnsi="Times New Roman" w:hint="default"/>
          <w:sz w:val="32"/>
          <w:szCs w:val="32"/>
          <w:shd w:val="clear" w:color="auto" w:fill="FFFFFF"/>
        </w:rPr>
        <w:t>4.69</w:t>
      </w:r>
      <w:r>
        <w:rPr>
          <w:rFonts w:ascii="方正仿宋_GBK" w:eastAsia="方正仿宋_GBK" w:hAnsi="方正仿宋_GBK" w:cs="方正仿宋_GBK"/>
          <w:sz w:val="32"/>
          <w:szCs w:val="32"/>
          <w:shd w:val="clear" w:color="auto" w:fill="FFFFFF"/>
        </w:rPr>
        <w:t>万元、政府采购工程支出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万元、政府采购服务支出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万元。授予中小企业合同金额</w:t>
      </w:r>
      <w:r>
        <w:rPr>
          <w:rFonts w:ascii="Times New Roman" w:eastAsia="方正仿宋_GBK" w:hAnsi="Times New Roman" w:hint="default"/>
          <w:sz w:val="32"/>
          <w:szCs w:val="32"/>
          <w:shd w:val="clear" w:color="auto" w:fill="FFFFFF"/>
        </w:rPr>
        <w:t>4.69</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，其中：授予小微企业合同金额</w:t>
      </w:r>
      <w:r>
        <w:rPr>
          <w:rFonts w:ascii="Times New Roman" w:eastAsia="方正仿宋_GBK" w:hAnsi="Times New Roman" w:hint="default"/>
          <w:sz w:val="32"/>
          <w:szCs w:val="32"/>
          <w:shd w:val="clear" w:color="auto" w:fill="FFFFFF"/>
        </w:rPr>
        <w:t>4.69</w:t>
      </w:r>
      <w:r>
        <w:rPr>
          <w:rFonts w:ascii="方正仿宋_GBK" w:eastAsia="方正仿宋_GBK" w:hAnsi="方正仿宋_GBK" w:cs="方正仿宋_GBK"/>
          <w:sz w:val="32"/>
          <w:szCs w:val="32"/>
          <w:shd w:val="clear" w:color="auto" w:fill="FFFFFF"/>
        </w:rPr>
        <w:t>万元，占政府采购支出总额的</w:t>
      </w:r>
      <w:r>
        <w:rPr>
          <w:rFonts w:ascii="Times New Roman" w:eastAsia="方正仿宋_GBK" w:hAnsi="Times New Roman" w:hint="default"/>
          <w:sz w:val="32"/>
          <w:szCs w:val="32"/>
          <w:shd w:val="clear" w:color="auto" w:fill="FFFFFF"/>
        </w:rPr>
        <w:t>100.0 %</w:t>
      </w:r>
      <w:r>
        <w:rPr>
          <w:rFonts w:ascii="方正仿宋_GBK" w:eastAsia="方正仿宋_GBK" w:hAnsi="方正仿宋_GBK" w:cs="方正仿宋_GBK"/>
          <w:sz w:val="32"/>
          <w:szCs w:val="32"/>
          <w:shd w:val="clear" w:color="auto" w:fill="FFFFFF"/>
        </w:rPr>
        <w:t>。主要用于采购货物支出。</w:t>
      </w:r>
    </w:p>
    <w:p w:rsidR="00EE6B05" w:rsidRDefault="00EE6B05">
      <w:pPr>
        <w:pStyle w:val="Char0"/>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p>
    <w:p w:rsidR="00EE6B05" w:rsidRDefault="00EC066D">
      <w:pPr>
        <w:pStyle w:val="Char0"/>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lastRenderedPageBreak/>
        <w:t>五、</w:t>
      </w:r>
      <w:r>
        <w:rPr>
          <w:rStyle w:val="aa"/>
          <w:rFonts w:ascii="黑体" w:eastAsia="黑体" w:hAnsi="黑体" w:cs="黑体" w:hint="eastAsia"/>
          <w:sz w:val="32"/>
          <w:szCs w:val="32"/>
          <w:shd w:val="clear" w:color="auto" w:fill="FFFFFF"/>
        </w:rPr>
        <w:t>2024</w:t>
      </w:r>
      <w:r>
        <w:rPr>
          <w:rStyle w:val="aa"/>
          <w:rFonts w:ascii="黑体" w:eastAsia="黑体" w:hAnsi="黑体" w:cs="黑体" w:hint="eastAsia"/>
          <w:sz w:val="32"/>
          <w:szCs w:val="32"/>
          <w:shd w:val="clear" w:color="auto" w:fill="FFFFFF"/>
        </w:rPr>
        <w:t>年度预算绩效管理情况说明</w:t>
      </w:r>
    </w:p>
    <w:p w:rsidR="00EE6B05" w:rsidRDefault="00EC066D">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EE6B05" w:rsidRDefault="00EC066D">
      <w:pPr>
        <w:pStyle w:val="Char0"/>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w:t>
      </w:r>
      <w:r>
        <w:rPr>
          <w:rFonts w:ascii="方正仿宋_GBK" w:eastAsia="方正仿宋_GBK" w:hAnsi="方正仿宋_GBK" w:cs="方正仿宋_GBK" w:hint="eastAsia"/>
          <w:sz w:val="32"/>
          <w:szCs w:val="32"/>
          <w:shd w:val="clear" w:color="auto" w:fill="FFFFFF"/>
        </w:rPr>
        <w:t>32</w:t>
      </w:r>
      <w:r>
        <w:rPr>
          <w:rFonts w:ascii="方正仿宋_GBK" w:eastAsia="方正仿宋_GBK" w:hAnsi="方正仿宋_GBK" w:cs="方正仿宋_GBK" w:hint="eastAsia"/>
          <w:sz w:val="32"/>
          <w:szCs w:val="32"/>
          <w:shd w:val="clear" w:color="auto" w:fill="FFFFFF"/>
        </w:rPr>
        <w:t>个二级项目开展了绩效自评，涉及财政拨款项目支出资金</w:t>
      </w:r>
      <w:r>
        <w:rPr>
          <w:rFonts w:ascii="方正仿宋_GBK" w:eastAsia="方正仿宋_GBK" w:hAnsi="方正仿宋_GBK" w:cs="方正仿宋_GBK"/>
          <w:sz w:val="32"/>
          <w:szCs w:val="32"/>
          <w:shd w:val="clear" w:color="auto" w:fill="FFFFFF"/>
        </w:rPr>
        <w:t>3360</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hint="eastAsia"/>
          <w:sz w:val="32"/>
          <w:szCs w:val="32"/>
          <w:shd w:val="clear" w:color="auto" w:fill="FFFFFF"/>
        </w:rPr>
        <w:t>6</w:t>
      </w:r>
      <w:r>
        <w:rPr>
          <w:rFonts w:ascii="方正仿宋_GBK" w:eastAsia="方正仿宋_GBK" w:hAnsi="方正仿宋_GBK" w:cs="方正仿宋_GBK" w:hint="eastAsia"/>
          <w:sz w:val="32"/>
          <w:szCs w:val="32"/>
          <w:shd w:val="clear" w:color="auto" w:fill="FFFFFF"/>
        </w:rPr>
        <w:t>万元。</w:t>
      </w:r>
    </w:p>
    <w:p w:rsidR="00EE6B05" w:rsidRDefault="00EC066D">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EE6B05" w:rsidRDefault="00EC066D">
      <w:pPr>
        <w:pStyle w:val="3"/>
        <w:autoSpaceDE w:val="0"/>
        <w:spacing w:line="596" w:lineRule="exact"/>
        <w:ind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我单位未组织开展绩效评价。</w:t>
      </w:r>
    </w:p>
    <w:p w:rsidR="00EE6B05" w:rsidRDefault="00EC066D">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rsidR="00EE6B05" w:rsidRDefault="00EC066D">
      <w:pPr>
        <w:pStyle w:val="Char0"/>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市财政局未委托第三方对我单位开展绩效评价。</w:t>
      </w:r>
    </w:p>
    <w:p w:rsidR="00EE6B05" w:rsidRDefault="00EC066D">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a"/>
          <w:rFonts w:ascii="黑体" w:eastAsia="黑体" w:hAnsi="黑体" w:cs="黑体" w:hint="eastAsia"/>
          <w:sz w:val="32"/>
          <w:szCs w:val="32"/>
          <w:shd w:val="clear" w:color="auto" w:fill="FFFFFF"/>
        </w:rPr>
        <w:t xml:space="preserve"> </w:t>
      </w:r>
      <w:r>
        <w:rPr>
          <w:rStyle w:val="aa"/>
          <w:rFonts w:ascii="黑体" w:eastAsia="黑体" w:hAnsi="黑体" w:cs="黑体" w:hint="eastAsia"/>
          <w:sz w:val="32"/>
          <w:szCs w:val="32"/>
          <w:shd w:val="clear" w:color="auto" w:fill="FFFFFF"/>
        </w:rPr>
        <w:t>六、专业名词解释</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ascii="方正仿宋_GBK" w:eastAsia="方正仿宋_GBK" w:hAnsi="方正仿宋_GBK" w:cs="方正仿宋_GBK" w:hint="eastAsia"/>
          <w:sz w:val="32"/>
          <w:szCs w:val="32"/>
          <w:shd w:val="clear" w:color="auto" w:fill="FFFFFF"/>
        </w:rPr>
        <w:lastRenderedPageBreak/>
        <w:t>单位从本级财政部门以外的同级单位取得的经费、从非本级财政部门取得的经费，以及行政单位收到的财政专户管理资金反映在本项内。</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（五）使用非财政拨款结余（含专用结余）：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w:t>
      </w:r>
      <w:r>
        <w:rPr>
          <w:rFonts w:ascii="方正仿宋_GBK" w:eastAsia="方正仿宋_GBK" w:hAnsi="方正仿宋_GBK" w:cs="方正仿宋_GBK" w:hint="eastAsia"/>
          <w:sz w:val="32"/>
          <w:szCs w:val="32"/>
          <w:shd w:val="clear" w:color="auto" w:fill="FFFFFF"/>
        </w:rPr>
        <w:t>年度积累的非财政拨款结余弥补本年度收支缺口的资金。</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w:t>
      </w:r>
      <w:r>
        <w:rPr>
          <w:rFonts w:ascii="方正仿宋_GBK" w:eastAsia="方正仿宋_GBK" w:hAnsi="方正仿宋_GBK" w:cs="方正仿宋_GBK" w:hint="eastAsia"/>
          <w:sz w:val="32"/>
          <w:szCs w:val="32"/>
          <w:shd w:val="clear" w:color="auto" w:fill="FFFFFF"/>
        </w:rPr>
        <w:t>府收支分类经济科目中除“工资福利支出”和“对个人和家庭的补助”外的其他支出。</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hint="eastAsia"/>
          <w:sz w:val="32"/>
          <w:szCs w:val="32"/>
          <w:shd w:val="clear" w:color="auto" w:fill="FFFFFF"/>
        </w:rPr>
        <w:t>含车辆购置税）；公务用车运行维护费反映单位按规定保留的公务用车燃料费、维修费、过路过桥费、保险费、安全奖励费用等支出；公务接待费反映单位按规定开支的各类公务接待（含外宾接待）支出。</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w:t>
      </w:r>
      <w:r>
        <w:rPr>
          <w:rFonts w:ascii="方正仿宋_GBK" w:eastAsia="方正仿宋_GBK" w:hAnsi="方正仿宋_GBK" w:cs="方正仿宋_GBK" w:hint="eastAsia"/>
          <w:sz w:val="32"/>
          <w:szCs w:val="32"/>
          <w:shd w:val="clear" w:color="auto" w:fill="FFFFFF"/>
        </w:rPr>
        <w:t>映单位开支的在职职工和编制外长期聘用人员的各类劳动报酬，以及为上述人员缴纳的各项社会保险费等。</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r>
        <w:rPr>
          <w:rFonts w:ascii="方正仿宋_GBK" w:eastAsia="方正仿宋_GBK" w:hAnsi="方正仿宋_GBK" w:cs="方正仿宋_GBK" w:hint="eastAsia"/>
          <w:sz w:val="32"/>
          <w:szCs w:val="32"/>
          <w:shd w:val="clear" w:color="auto" w:fill="FFFFFF"/>
        </w:rPr>
        <w:t>。</w:t>
      </w:r>
    </w:p>
    <w:p w:rsidR="00EE6B05" w:rsidRDefault="00EC066D">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p>
    <w:p w:rsidR="00EE6B05" w:rsidRDefault="00EC066D">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w:t>
      </w:r>
    </w:p>
    <w:p w:rsidR="00EE6B05" w:rsidRDefault="00EC066D">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周廷应</w:t>
      </w:r>
      <w:r>
        <w:rPr>
          <w:rFonts w:ascii="方正仿宋_GBK" w:eastAsia="方正仿宋_GBK" w:hAnsi="方正仿宋_GBK" w:cs="方正仿宋_GBK" w:hint="eastAsia"/>
          <w:sz w:val="32"/>
          <w:szCs w:val="32"/>
          <w:shd w:val="clear" w:color="auto" w:fill="FFFFFF"/>
        </w:rPr>
        <w:t xml:space="preserve">   023-70714808</w:t>
      </w:r>
    </w:p>
    <w:p w:rsidR="00EE6B05" w:rsidRDefault="00EE6B05">
      <w:pPr>
        <w:pStyle w:val="1"/>
        <w:autoSpaceDE w:val="0"/>
        <w:spacing w:line="596" w:lineRule="exact"/>
        <w:ind w:firstLine="643"/>
        <w:jc w:val="both"/>
        <w:rPr>
          <w:rStyle w:val="aa"/>
          <w:rFonts w:ascii="方正仿宋_GBK" w:eastAsia="方正仿宋_GBK" w:hAnsi="方正仿宋_GBK" w:cs="方正仿宋_GBK"/>
          <w:sz w:val="32"/>
          <w:szCs w:val="32"/>
          <w:shd w:val="clear" w:color="auto" w:fill="FFFF00"/>
        </w:rPr>
        <w:sectPr w:rsidR="00EE6B05">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EE6B05">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EE6B05">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EE6B05">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rPr>
                <w:rFonts w:ascii="Arial" w:hAnsi="Arial" w:cs="Arial" w:hint="default"/>
                <w:color w:val="000000"/>
                <w:sz w:val="22"/>
                <w:szCs w:val="22"/>
              </w:rPr>
            </w:pPr>
            <w:r>
              <w:rPr>
                <w:rFonts w:cs="宋体"/>
                <w:sz w:val="20"/>
                <w:szCs w:val="20"/>
              </w:rPr>
              <w:t>单位：</w:t>
            </w:r>
            <w:r>
              <w:rPr>
                <w:sz w:val="20"/>
              </w:rPr>
              <w:t>丰都县教育委员会（本级）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E6B05">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3,784.40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37.40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3,093.62</w:t>
            </w: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71.01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139.49</w:t>
            </w: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27.18</w:t>
            </w: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606.00</w:t>
            </w: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25.95</w:t>
            </w: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37.40</w:t>
            </w: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3,892.81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3,929.65</w:t>
            </w: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36.84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EE6B05">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3,929.65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EE6B05" w:rsidRDefault="00EC066D">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3,929.65</w:t>
            </w:r>
            <w:r>
              <w:rPr>
                <w:rFonts w:ascii="Times New Roman" w:hAnsi="Times New Roman"/>
                <w:color w:val="000000"/>
                <w:sz w:val="20"/>
              </w:rPr>
              <w:t xml:space="preserve"> </w:t>
            </w:r>
          </w:p>
        </w:tc>
      </w:tr>
    </w:tbl>
    <w:p w:rsidR="00EE6B05" w:rsidRDefault="00EE6B05">
      <w:pPr>
        <w:rPr>
          <w:rFonts w:cs="宋体" w:hint="default"/>
          <w:sz w:val="21"/>
          <w:szCs w:val="21"/>
        </w:rPr>
      </w:pPr>
    </w:p>
    <w:p w:rsidR="00EE6B05" w:rsidRDefault="00EC066D">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EE6B0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EE6B05" w:rsidRDefault="00EC066D">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EE6B05">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EE6B05" w:rsidRDefault="00EC066D">
            <w:pPr>
              <w:spacing w:line="280" w:lineRule="exact"/>
              <w:rPr>
                <w:rFonts w:cs="宋体" w:hint="default"/>
                <w:color w:val="000000"/>
                <w:sz w:val="20"/>
                <w:szCs w:val="20"/>
              </w:rPr>
            </w:pPr>
            <w:r>
              <w:rPr>
                <w:rFonts w:cs="宋体"/>
                <w:sz w:val="20"/>
                <w:szCs w:val="20"/>
              </w:rPr>
              <w:t>单位：</w:t>
            </w:r>
            <w:r>
              <w:rPr>
                <w:sz w:val="20"/>
              </w:rPr>
              <w:t>丰都县教育委员会（本级）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EE6B05">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E6B05">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EE6B05" w:rsidRDefault="00EC066D">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C066D">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其他收入</w:t>
            </w:r>
          </w:p>
        </w:tc>
      </w:tr>
      <w:tr w:rsidR="00EE6B05">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3,892.81</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3,821.80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71.01</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3,056.78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2,985.77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71.01</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20501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教育管理事务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669.17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598.16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71.01</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367.51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296.50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71.01</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其他教育管理事务支出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301.66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301.66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20502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普通教育</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2,387.61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2,387.61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学前教育</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833.19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833.19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小学教育</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初中教育</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1,000.13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1,000.13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高中教育</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93.88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93.88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31.21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31.21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87.25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87.25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lastRenderedPageBreak/>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21305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巩固脱贫攻坚成果衔接乡村振兴</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2130506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社会发展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2130599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其他巩固脱贫攻坚成果衔接乡村振兴支出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229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其他支出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22960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彩票公益金安排的支出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2296002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用于社会福利的彩票公益金支出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37.40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37.40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E6B05" w:rsidRDefault="00EC066D">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EE6B05" w:rsidRDefault="00EC066D">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EE6B0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EE6B05" w:rsidRDefault="00EC066D">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EE6B05">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EE6B05" w:rsidRDefault="00EC066D">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丰都县教育委员会（本级）</w:t>
            </w:r>
            <w:r>
              <w:rPr>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EE6B05">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E6B0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C066D">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对附属单位补助支出</w:t>
            </w:r>
          </w:p>
        </w:tc>
      </w:tr>
      <w:tr w:rsidR="00EE6B05">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E6B05" w:rsidRDefault="00EE6B05">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3,929.65</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823.32</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3,106.33</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3,093.62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630.69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2,462.93</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20501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教育管理事务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706.01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630.69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75.32</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404.35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404.35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其他教育管理事务支出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301.66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226.34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75.32</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20502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普通教育</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2,387.61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2,387.61</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学前教育</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833.19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833.19</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小学教育</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460.40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初中教育</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1,000.13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1,000.13</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高中教育</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93.88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93.88</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31.21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31.21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87.25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87.25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lastRenderedPageBreak/>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11.91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21305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巩固脱贫攻坚成果衔接乡村振兴</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2130506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社会发展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2130599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其他巩固脱贫攻坚成果衔接乡村振兴支出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600.00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229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其他支出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22960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彩票公益金安排的支出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2296002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用于社会福利的彩票公益金支出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37.40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37.40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E6B05" w:rsidRDefault="00EC066D">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EE6B05" w:rsidRDefault="00EC066D">
      <w:pPr>
        <w:rPr>
          <w:rFonts w:cs="宋体" w:hint="default"/>
          <w:sz w:val="21"/>
          <w:szCs w:val="21"/>
        </w:rPr>
      </w:pPr>
      <w:r>
        <w:rPr>
          <w:rFonts w:cs="宋体"/>
          <w:sz w:val="21"/>
          <w:szCs w:val="21"/>
        </w:rPr>
        <w:br w:type="page"/>
      </w:r>
    </w:p>
    <w:p w:rsidR="00EE6B05" w:rsidRDefault="00EE6B05">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EE6B0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EE6B05">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EE6B05" w:rsidRDefault="00EC066D">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丰都县教育委员会（本级）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EE6B05">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E6B05">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EE6B05">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EE6B05">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3,784.40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37.40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2,985.77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2,985.77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139.49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139.49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27.18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27.18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606.00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606.00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25.95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25.95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37.40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37.40</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3,821.80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3,821.80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3,784.40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37.40</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200" w:lineRule="exact"/>
              <w:rPr>
                <w:rFonts w:ascii="Times New Roman" w:hAnsi="Times New Roman" w:hint="default"/>
                <w:color w:val="000000"/>
                <w:sz w:val="18"/>
                <w:szCs w:val="18"/>
              </w:rPr>
            </w:pP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200" w:lineRule="exact"/>
              <w:jc w:val="right"/>
              <w:rPr>
                <w:rFonts w:ascii="Times New Roman" w:hAnsi="Times New Roman" w:hint="default"/>
                <w:color w:val="000000"/>
                <w:sz w:val="18"/>
                <w:szCs w:val="18"/>
              </w:rPr>
            </w:pPr>
          </w:p>
        </w:tc>
      </w:tr>
      <w:tr w:rsidR="00EE6B0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3,821.80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3,821.80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3,784.40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37.40</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EE6B05" w:rsidRDefault="00EC066D">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EE6B0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EE6B05" w:rsidRDefault="00EC066D">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EE6B05">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EE6B05" w:rsidRDefault="00EC066D">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丰都县教育委员会（本级）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EE6B05">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E6B05">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本年支出</w:t>
            </w:r>
          </w:p>
        </w:tc>
      </w:tr>
      <w:tr w:rsidR="00EE6B05">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项目支出</w:t>
            </w:r>
          </w:p>
        </w:tc>
      </w:tr>
      <w:tr w:rsidR="00EE6B0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3,784.40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715.47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3,068.93</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2,985.77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522.84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2,462.93</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教育管理事务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598.16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522.84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75.32</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296.50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296.50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其他教育管理事务支出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301.66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226.34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75.32</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20502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普通教育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2,387.61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2,387.61</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学前教育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833.19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833.19</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小学教育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460.40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460.40</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初中教育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1,000.13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1,000.13</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2050204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高中教育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93.88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93.88</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139.49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31.21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31.21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21.04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21.04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87.25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87.25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27.18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15.27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15.27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11.91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11.91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21305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巩固脱贫攻坚成果衔接乡村振兴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606.00</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2130506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社会发展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6.00</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lastRenderedPageBreak/>
              <w:t>2130599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600.00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600.00</w:t>
            </w:r>
            <w:r>
              <w:rPr>
                <w:rFonts w:ascii="Times New Roman" w:hAnsi="Times New Roman"/>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25.95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25.95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25.95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E6B05" w:rsidRDefault="00EC066D">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EE6B05" w:rsidRDefault="00EC066D">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EE6B0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EE6B05">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EE6B05" w:rsidRDefault="00EC066D">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丰都县教育委员会（本级）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EE6B05">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EE6B05" w:rsidRDefault="00EE6B05">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E6B05">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EE6B05">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EE6B05">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spacing w:line="192" w:lineRule="exact"/>
              <w:jc w:val="center"/>
              <w:rPr>
                <w:rFonts w:cs="宋体" w:hint="default"/>
                <w:b/>
                <w:color w:val="000000"/>
                <w:sz w:val="18"/>
                <w:szCs w:val="18"/>
              </w:rPr>
            </w:pP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327.27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279.30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1.66</w:t>
            </w: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52.93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1.66</w:t>
            </w: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102.04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24.13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9.39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15.27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22.43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25.95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107.23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24.25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87.73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15.23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jc w:val="right"/>
              <w:rPr>
                <w:rFonts w:ascii="Times New Roman" w:hAnsi="Times New Roman" w:hint="default"/>
                <w:color w:val="000000"/>
                <w:sz w:val="18"/>
                <w:szCs w:val="18"/>
              </w:rPr>
            </w:pPr>
          </w:p>
        </w:tc>
      </w:tr>
      <w:tr w:rsidR="00EE6B0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jc w:val="right"/>
              <w:rPr>
                <w:rFonts w:ascii="Times New Roman" w:hAnsi="Times New Roman" w:hint="default"/>
                <w:color w:val="000000"/>
                <w:sz w:val="18"/>
                <w:szCs w:val="18"/>
              </w:rPr>
            </w:pPr>
          </w:p>
        </w:tc>
      </w:tr>
      <w:tr w:rsidR="00EE6B05">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E6B05">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spacing w:line="192" w:lineRule="exact"/>
              <w:jc w:val="right"/>
              <w:rPr>
                <w:rFonts w:ascii="Times New Roman" w:hAnsi="Times New Roman" w:hint="default"/>
                <w:color w:val="000000"/>
                <w:sz w:val="18"/>
                <w:szCs w:val="18"/>
              </w:rPr>
            </w:pPr>
          </w:p>
        </w:tc>
      </w:tr>
      <w:tr w:rsidR="00EE6B05">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C066D">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434.51</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280.96</w:t>
            </w:r>
            <w:r>
              <w:rPr>
                <w:rFonts w:ascii="Times New Roman" w:hAnsi="Times New Roman"/>
                <w:color w:val="000000"/>
                <w:sz w:val="18"/>
              </w:rPr>
              <w:t xml:space="preserve"> </w:t>
            </w:r>
          </w:p>
        </w:tc>
      </w:tr>
    </w:tbl>
    <w:p w:rsidR="00EE6B05" w:rsidRDefault="00EC066D">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r>
      <w:r>
        <w:rPr>
          <w:rFonts w:cs="宋体"/>
          <w:sz w:val="20"/>
          <w:szCs w:val="20"/>
        </w:rP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EE6B0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EE6B05" w:rsidRDefault="00EC066D">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EE6B05">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EE6B05" w:rsidRDefault="00EC066D">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丰都县教育委员会（本级）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EE6B05">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E6B05">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年末结转和结余</w:t>
            </w:r>
          </w:p>
        </w:tc>
      </w:tr>
      <w:tr w:rsidR="00EE6B05">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37.40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37.40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37.40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E6B05">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jc w:val="both"/>
              <w:textAlignment w:val="center"/>
              <w:rPr>
                <w:rFonts w:cs="宋体" w:hint="default"/>
                <w:color w:val="000000"/>
                <w:sz w:val="20"/>
                <w:szCs w:val="20"/>
              </w:rPr>
            </w:pPr>
            <w:r>
              <w:rPr>
                <w:rFonts w:cs="宋体"/>
                <w:b/>
                <w:color w:val="000000"/>
                <w:sz w:val="20"/>
                <w:szCs w:val="20"/>
              </w:rPr>
              <w:t>229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jc w:val="both"/>
              <w:textAlignment w:val="center"/>
              <w:rPr>
                <w:rFonts w:cs="宋体" w:hint="default"/>
                <w:color w:val="000000"/>
                <w:sz w:val="20"/>
                <w:szCs w:val="20"/>
              </w:rPr>
            </w:pPr>
            <w:r>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jc w:val="both"/>
              <w:textAlignment w:val="center"/>
              <w:rPr>
                <w:rFonts w:cs="宋体" w:hint="default"/>
                <w:color w:val="000000"/>
                <w:sz w:val="20"/>
                <w:szCs w:val="20"/>
              </w:rPr>
            </w:pPr>
            <w:r>
              <w:rPr>
                <w:rFonts w:cs="宋体"/>
                <w:b/>
                <w:color w:val="000000"/>
                <w:sz w:val="20"/>
                <w:szCs w:val="20"/>
              </w:rPr>
              <w:t>22960</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jc w:val="both"/>
              <w:textAlignment w:val="center"/>
              <w:rPr>
                <w:rFonts w:cs="宋体" w:hint="default"/>
                <w:color w:val="000000"/>
                <w:sz w:val="20"/>
                <w:szCs w:val="20"/>
              </w:rPr>
            </w:pPr>
            <w:r>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37.40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EE6B05">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jc w:val="both"/>
              <w:textAlignment w:val="center"/>
              <w:rPr>
                <w:rFonts w:cs="宋体" w:hint="default"/>
                <w:color w:val="000000"/>
                <w:sz w:val="20"/>
                <w:szCs w:val="20"/>
              </w:rPr>
            </w:pPr>
            <w:r>
              <w:rPr>
                <w:rFonts w:cs="宋体"/>
                <w:color w:val="000000"/>
                <w:sz w:val="20"/>
                <w:szCs w:val="20"/>
              </w:rPr>
              <w:t>2296002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jc w:val="both"/>
              <w:textAlignment w:val="center"/>
              <w:rPr>
                <w:rFonts w:cs="宋体" w:hint="default"/>
                <w:color w:val="000000"/>
                <w:sz w:val="20"/>
                <w:szCs w:val="20"/>
              </w:rPr>
            </w:pPr>
            <w:r>
              <w:rPr>
                <w:rFonts w:cs="宋体"/>
                <w:color w:val="000000"/>
                <w:sz w:val="20"/>
                <w:szCs w:val="20"/>
              </w:rPr>
              <w:t>用于社会福利的彩票公益金支出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37.40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37.40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37.40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EE6B05" w:rsidRDefault="00EC066D">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本表反映单位本年度政府性基金预算财政拨款收入支出及结转和结余情况。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EE6B05" w:rsidRDefault="00EC066D">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EE6B0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EE6B05" w:rsidRDefault="00EC066D">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EE6B05">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EE6B05" w:rsidRDefault="00EC066D">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丰都县教育委员会（本级）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EE6B05">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EE6B05" w:rsidRDefault="00EE6B05">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EE6B05">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C066D">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E6B05" w:rsidRDefault="00EC066D">
            <w:pPr>
              <w:jc w:val="center"/>
              <w:textAlignment w:val="bottom"/>
              <w:rPr>
                <w:rFonts w:cs="宋体" w:hint="default"/>
                <w:b/>
                <w:color w:val="000000"/>
                <w:sz w:val="20"/>
                <w:szCs w:val="20"/>
              </w:rPr>
            </w:pPr>
            <w:r>
              <w:rPr>
                <w:rFonts w:cs="宋体"/>
                <w:b/>
                <w:color w:val="000000"/>
                <w:sz w:val="20"/>
                <w:szCs w:val="20"/>
              </w:rPr>
              <w:t>本年支出</w:t>
            </w:r>
          </w:p>
        </w:tc>
      </w:tr>
      <w:tr w:rsidR="00EE6B05">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项目支出</w:t>
            </w:r>
          </w:p>
        </w:tc>
      </w:tr>
      <w:tr w:rsidR="00EE6B0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E6B05" w:rsidRDefault="00EE6B05">
            <w:pPr>
              <w:jc w:val="center"/>
              <w:rPr>
                <w:rFonts w:cs="宋体" w:hint="default"/>
                <w:b/>
                <w:color w:val="000000"/>
                <w:sz w:val="20"/>
                <w:szCs w:val="20"/>
              </w:rPr>
            </w:pPr>
          </w:p>
        </w:tc>
      </w:tr>
      <w:tr w:rsidR="00EE6B05">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5" w:rsidRDefault="00EC066D">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EE6B05">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E6B05">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E6B05" w:rsidRDefault="00EC066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EE6B05" w:rsidRDefault="00EC066D">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EE6B05" w:rsidRDefault="00EC066D">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EE6B05">
        <w:trPr>
          <w:trHeight w:val="343"/>
        </w:trPr>
        <w:tc>
          <w:tcPr>
            <w:tcW w:w="5000" w:type="pct"/>
            <w:gridSpan w:val="5"/>
            <w:shd w:val="clear" w:color="auto" w:fill="auto"/>
            <w:noWrap/>
            <w:tcMar>
              <w:top w:w="15" w:type="dxa"/>
              <w:left w:w="15" w:type="dxa"/>
              <w:right w:w="15" w:type="dxa"/>
            </w:tcMar>
            <w:vAlign w:val="bottom"/>
          </w:tcPr>
          <w:p w:rsidR="00EE6B05" w:rsidRDefault="00EC066D">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EE6B05">
        <w:trPr>
          <w:trHeight w:val="244"/>
        </w:trPr>
        <w:tc>
          <w:tcPr>
            <w:tcW w:w="1124" w:type="pct"/>
            <w:shd w:val="clear" w:color="auto" w:fill="auto"/>
            <w:noWrap/>
            <w:tcMar>
              <w:top w:w="15" w:type="dxa"/>
              <w:left w:w="15" w:type="dxa"/>
              <w:right w:w="15" w:type="dxa"/>
            </w:tcMar>
            <w:vAlign w:val="bottom"/>
          </w:tcPr>
          <w:p w:rsidR="00EE6B05" w:rsidRDefault="00EE6B05">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EE6B05" w:rsidRDefault="00EE6B05">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EE6B05" w:rsidRDefault="00EE6B05">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EE6B05" w:rsidRDefault="00EE6B05">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EE6B0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EE6B05" w:rsidRDefault="00EC066D">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丰都县教育委员会（本级）</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EE6B05" w:rsidRDefault="00EE6B05">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EE6B05" w:rsidRDefault="00EE6B05">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EE6B05" w:rsidRDefault="00EC066D">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EE6B0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EE6B0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280.96</w:t>
            </w: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280.96</w:t>
            </w: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2.70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（二）单价</w:t>
            </w:r>
            <w:r>
              <w:rPr>
                <w:rFonts w:cs="宋体"/>
                <w:b/>
                <w:bCs/>
                <w:color w:val="000000"/>
                <w:kern w:val="2"/>
                <w:sz w:val="16"/>
                <w:szCs w:val="16"/>
              </w:rPr>
              <w:t>100</w:t>
            </w:r>
            <w:r>
              <w:rPr>
                <w:rFonts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4.69</w:t>
            </w: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4.69</w:t>
            </w: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335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4.69</w:t>
            </w:r>
            <w:r>
              <w:rPr>
                <w:rFonts w:ascii="Times New Roman" w:hAnsi="Times New Roman"/>
                <w:color w:val="000000"/>
                <w:sz w:val="18"/>
              </w:rPr>
              <w:t xml:space="preserve"> </w:t>
            </w:r>
          </w:p>
        </w:tc>
      </w:tr>
      <w:tr w:rsidR="00EE6B0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4.69</w:t>
            </w:r>
            <w:r>
              <w:rPr>
                <w:rFonts w:ascii="Times New Roman" w:hAnsi="Times New Roman"/>
                <w:color w:val="000000"/>
                <w:sz w:val="18"/>
              </w:rPr>
              <w:t xml:space="preserve"> </w:t>
            </w:r>
          </w:p>
        </w:tc>
      </w:tr>
      <w:tr w:rsidR="00EE6B0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E6B05">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E6B05">
            <w:pPr>
              <w:spacing w:line="280" w:lineRule="exact"/>
              <w:jc w:val="right"/>
              <w:rPr>
                <w:rFonts w:cs="宋体" w:hint="default"/>
                <w:color w:val="000000"/>
                <w:kern w:val="2"/>
                <w:sz w:val="16"/>
                <w:szCs w:val="16"/>
              </w:rPr>
            </w:pPr>
          </w:p>
        </w:tc>
      </w:tr>
      <w:tr w:rsidR="00EE6B0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1.33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E6B05">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E6B05">
            <w:pPr>
              <w:spacing w:line="280" w:lineRule="exact"/>
              <w:jc w:val="right"/>
              <w:rPr>
                <w:rFonts w:cs="宋体" w:hint="default"/>
                <w:color w:val="000000"/>
                <w:kern w:val="2"/>
                <w:sz w:val="16"/>
                <w:szCs w:val="16"/>
              </w:rPr>
            </w:pPr>
          </w:p>
        </w:tc>
      </w:tr>
      <w:tr w:rsidR="00EE6B0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C066D">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C066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22.43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E6B05" w:rsidRDefault="00EE6B05">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E6B05" w:rsidRDefault="00EE6B05">
            <w:pPr>
              <w:spacing w:line="280" w:lineRule="exact"/>
              <w:jc w:val="right"/>
              <w:rPr>
                <w:rFonts w:cs="宋体" w:hint="default"/>
                <w:color w:val="000000"/>
                <w:sz w:val="16"/>
                <w:szCs w:val="16"/>
              </w:rPr>
            </w:pPr>
          </w:p>
        </w:tc>
      </w:tr>
    </w:tbl>
    <w:p w:rsidR="00EE6B05" w:rsidRDefault="00EC066D">
      <w:pPr>
        <w:rPr>
          <w:rFonts w:hint="default"/>
          <w:sz w:val="18"/>
          <w:szCs w:val="18"/>
        </w:rPr>
      </w:pPr>
      <w:r>
        <w:rPr>
          <w:rFonts w:cs="宋体"/>
          <w:sz w:val="18"/>
          <w:szCs w:val="18"/>
        </w:rPr>
        <w:t>备注：</w:t>
      </w:r>
      <w:r>
        <w:rPr>
          <w:rFonts w:cs="宋体"/>
          <w:sz w:val="18"/>
          <w:szCs w:val="18"/>
        </w:rPr>
        <w:t>1.</w:t>
      </w:r>
      <w:r>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w:t>
      </w:r>
      <w:r>
        <w:rPr>
          <w:rFonts w:cs="宋体"/>
          <w:sz w:val="18"/>
          <w:szCs w:val="18"/>
        </w:rPr>
        <w:t>本套报表金额单位转换时可能存在尾数误差。</w:t>
      </w:r>
      <w:r>
        <w:rPr>
          <w:rFonts w:cs="宋体"/>
          <w:sz w:val="18"/>
          <w:szCs w:val="18"/>
        </w:rPr>
        <w:br/>
      </w:r>
      <w:r>
        <w:rPr>
          <w:rFonts w:cs="宋体"/>
          <w:sz w:val="18"/>
          <w:szCs w:val="18"/>
        </w:rPr>
        <w:br/>
      </w:r>
    </w:p>
    <w:p w:rsidR="00EE6B05" w:rsidRDefault="00EC066D">
      <w:pPr>
        <w:rPr>
          <w:rFonts w:hint="default"/>
        </w:rPr>
      </w:pPr>
      <w:r>
        <w:rPr>
          <w:noProof/>
        </w:rPr>
        <w:lastRenderedPageBreak/>
        <w:drawing>
          <wp:inline distT="0" distB="0" distL="0" distR="0">
            <wp:extent cx="9575800" cy="5114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86459" cy="5121060"/>
                    </a:xfrm>
                    <a:prstGeom prst="rect">
                      <a:avLst/>
                    </a:prstGeom>
                    <a:noFill/>
                    <a:ln>
                      <a:noFill/>
                    </a:ln>
                  </pic:spPr>
                </pic:pic>
              </a:graphicData>
            </a:graphic>
          </wp:inline>
        </w:drawing>
      </w:r>
    </w:p>
    <w:p w:rsidR="00EE6B05" w:rsidRDefault="00EC066D">
      <w:pPr>
        <w:pStyle w:val="a0"/>
        <w:rPr>
          <w:rFonts w:hint="default"/>
        </w:rPr>
      </w:pPr>
      <w:r>
        <w:rPr>
          <w:noProof/>
        </w:rPr>
        <w:lastRenderedPageBreak/>
        <w:drawing>
          <wp:inline distT="0" distB="0" distL="0" distR="0">
            <wp:extent cx="9710420" cy="5186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pStyle w:val="2"/>
        <w:ind w:leftChars="0" w:left="0" w:firstLineChars="0" w:firstLine="0"/>
        <w:rPr>
          <w:rFonts w:hint="default"/>
        </w:rPr>
      </w:pPr>
      <w:r>
        <w:rPr>
          <w:noProof/>
        </w:rPr>
        <w:lastRenderedPageBreak/>
        <w:drawing>
          <wp:inline distT="0" distB="0" distL="0" distR="0">
            <wp:extent cx="9710420" cy="5186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rPr>
          <w:rFonts w:hint="default"/>
        </w:rPr>
      </w:pPr>
      <w:r>
        <w:rPr>
          <w:noProof/>
        </w:rPr>
        <w:lastRenderedPageBreak/>
        <w:drawing>
          <wp:inline distT="0" distB="0" distL="0" distR="0">
            <wp:extent cx="9710420" cy="51866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pStyle w:val="a0"/>
        <w:rPr>
          <w:rFonts w:hint="default"/>
        </w:rPr>
      </w:pPr>
      <w:r>
        <w:rPr>
          <w:noProof/>
        </w:rPr>
        <w:lastRenderedPageBreak/>
        <w:drawing>
          <wp:inline distT="0" distB="0" distL="0" distR="0">
            <wp:extent cx="9710420" cy="51866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pStyle w:val="2"/>
        <w:ind w:leftChars="0" w:left="0" w:firstLineChars="0" w:firstLine="0"/>
        <w:rPr>
          <w:rFonts w:hint="default"/>
        </w:rPr>
      </w:pPr>
      <w:r>
        <w:rPr>
          <w:noProof/>
        </w:rPr>
        <w:lastRenderedPageBreak/>
        <w:drawing>
          <wp:inline distT="0" distB="0" distL="0" distR="0">
            <wp:extent cx="9710420" cy="5186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rPr>
          <w:rFonts w:hint="default"/>
        </w:rPr>
      </w:pPr>
      <w:r>
        <w:rPr>
          <w:noProof/>
        </w:rPr>
        <w:lastRenderedPageBreak/>
        <w:drawing>
          <wp:inline distT="0" distB="0" distL="0" distR="0">
            <wp:extent cx="9710420" cy="518668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pStyle w:val="a0"/>
        <w:rPr>
          <w:rFonts w:hint="default"/>
        </w:rPr>
      </w:pPr>
      <w:r>
        <w:rPr>
          <w:noProof/>
        </w:rPr>
        <w:lastRenderedPageBreak/>
        <w:drawing>
          <wp:inline distT="0" distB="0" distL="0" distR="0">
            <wp:extent cx="9710420" cy="51866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pStyle w:val="2"/>
        <w:ind w:leftChars="0" w:left="0" w:firstLineChars="0" w:firstLine="0"/>
        <w:rPr>
          <w:rFonts w:hint="default"/>
        </w:rPr>
      </w:pPr>
      <w:r>
        <w:rPr>
          <w:noProof/>
        </w:rPr>
        <w:lastRenderedPageBreak/>
        <w:drawing>
          <wp:inline distT="0" distB="0" distL="0" distR="0">
            <wp:extent cx="9710420" cy="5186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rPr>
          <w:rFonts w:hint="default"/>
        </w:rPr>
      </w:pPr>
      <w:r>
        <w:rPr>
          <w:noProof/>
        </w:rPr>
        <w:lastRenderedPageBreak/>
        <w:drawing>
          <wp:inline distT="0" distB="0" distL="0" distR="0">
            <wp:extent cx="9710420" cy="5186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pStyle w:val="a0"/>
        <w:rPr>
          <w:rFonts w:hint="default"/>
        </w:rPr>
      </w:pPr>
      <w:r>
        <w:rPr>
          <w:noProof/>
        </w:rPr>
        <w:lastRenderedPageBreak/>
        <w:drawing>
          <wp:inline distT="0" distB="0" distL="0" distR="0">
            <wp:extent cx="9710420" cy="51866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pStyle w:val="2"/>
        <w:ind w:leftChars="0" w:left="0" w:firstLineChars="0" w:firstLine="0"/>
        <w:rPr>
          <w:rFonts w:hint="default"/>
        </w:rPr>
      </w:pPr>
      <w:r>
        <w:rPr>
          <w:noProof/>
        </w:rPr>
        <w:lastRenderedPageBreak/>
        <w:drawing>
          <wp:inline distT="0" distB="0" distL="0" distR="0">
            <wp:extent cx="9710420" cy="51866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rPr>
          <w:rFonts w:hint="default"/>
        </w:rPr>
      </w:pPr>
      <w:r>
        <w:rPr>
          <w:noProof/>
        </w:rPr>
        <w:lastRenderedPageBreak/>
        <w:drawing>
          <wp:inline distT="0" distB="0" distL="0" distR="0">
            <wp:extent cx="9710420" cy="51866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pStyle w:val="a0"/>
        <w:rPr>
          <w:rFonts w:hint="default"/>
        </w:rPr>
      </w:pPr>
      <w:r>
        <w:rPr>
          <w:noProof/>
        </w:rPr>
        <w:lastRenderedPageBreak/>
        <w:drawing>
          <wp:inline distT="0" distB="0" distL="0" distR="0">
            <wp:extent cx="9710420" cy="531304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710420" cy="5313117"/>
                    </a:xfrm>
                    <a:prstGeom prst="rect">
                      <a:avLst/>
                    </a:prstGeom>
                    <a:noFill/>
                    <a:ln>
                      <a:noFill/>
                    </a:ln>
                  </pic:spPr>
                </pic:pic>
              </a:graphicData>
            </a:graphic>
          </wp:inline>
        </w:drawing>
      </w:r>
    </w:p>
    <w:p w:rsidR="00EE6B05" w:rsidRDefault="00EC066D">
      <w:pPr>
        <w:pStyle w:val="2"/>
        <w:ind w:leftChars="0" w:left="0" w:firstLineChars="0" w:firstLine="0"/>
        <w:rPr>
          <w:rFonts w:hint="default"/>
        </w:rPr>
      </w:pPr>
      <w:r>
        <w:rPr>
          <w:noProof/>
        </w:rPr>
        <w:lastRenderedPageBreak/>
        <w:drawing>
          <wp:inline distT="0" distB="0" distL="0" distR="0">
            <wp:extent cx="9710420" cy="518668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rPr>
          <w:rFonts w:hint="default"/>
        </w:rPr>
      </w:pPr>
      <w:r>
        <w:rPr>
          <w:noProof/>
        </w:rPr>
        <w:lastRenderedPageBreak/>
        <w:drawing>
          <wp:inline distT="0" distB="0" distL="0" distR="0">
            <wp:extent cx="9710420" cy="518668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p w:rsidR="00EE6B05" w:rsidRDefault="00EC066D">
      <w:pPr>
        <w:pStyle w:val="a0"/>
        <w:rPr>
          <w:rFonts w:hint="default"/>
          <w:u w:val="single"/>
        </w:rPr>
      </w:pPr>
      <w:r>
        <w:rPr>
          <w:noProof/>
        </w:rPr>
        <w:lastRenderedPageBreak/>
        <w:drawing>
          <wp:inline distT="0" distB="0" distL="0" distR="0">
            <wp:extent cx="9710420" cy="518668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620250" cy="51847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9624656" cy="5187280"/>
                    </a:xfrm>
                    <a:prstGeom prst="rect">
                      <a:avLst/>
                    </a:prstGeom>
                    <a:noFill/>
                    <a:ln>
                      <a:noFill/>
                    </a:ln>
                  </pic:spPr>
                </pic:pic>
              </a:graphicData>
            </a:graphic>
          </wp:inline>
        </w:drawing>
      </w:r>
      <w:r>
        <w:rPr>
          <w:noProof/>
        </w:rPr>
        <w:lastRenderedPageBreak/>
        <w:drawing>
          <wp:inline distT="0" distB="0" distL="0" distR="0">
            <wp:extent cx="9534525" cy="51054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9545068" cy="5111045"/>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r>
        <w:rPr>
          <w:noProof/>
        </w:rPr>
        <w:lastRenderedPageBreak/>
        <w:drawing>
          <wp:inline distT="0" distB="0" distL="0" distR="0">
            <wp:extent cx="9710420" cy="518668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9710420" cy="5187280"/>
                    </a:xfrm>
                    <a:prstGeom prst="rect">
                      <a:avLst/>
                    </a:prstGeom>
                    <a:noFill/>
                    <a:ln>
                      <a:noFill/>
                    </a:ln>
                  </pic:spPr>
                </pic:pic>
              </a:graphicData>
            </a:graphic>
          </wp:inline>
        </w:drawing>
      </w:r>
    </w:p>
    <w:sectPr w:rsidR="00EE6B05">
      <w:headerReference w:type="default" r:id="rId41"/>
      <w:footerReference w:type="default" r:id="rId42"/>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6D" w:rsidRDefault="00EC066D">
      <w:pPr>
        <w:rPr>
          <w:rFonts w:hint="default"/>
        </w:rPr>
      </w:pPr>
      <w:r>
        <w:separator/>
      </w:r>
    </w:p>
  </w:endnote>
  <w:endnote w:type="continuationSeparator" w:id="0">
    <w:p w:rsidR="00EC066D" w:rsidRDefault="00EC066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05" w:rsidRDefault="00EC066D">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rsidR="00EE6B05" w:rsidRDefault="00EC066D">
                <w:pPr>
                  <w:pStyle w:val="a6"/>
                  <w:rPr>
                    <w:rFonts w:hint="default"/>
                  </w:rPr>
                </w:pPr>
                <w:r>
                  <w:fldChar w:fldCharType="begin"/>
                </w:r>
                <w:r>
                  <w:instrText xml:space="preserve"> PAGE  \* MERGEFORMAT </w:instrText>
                </w:r>
                <w:r>
                  <w:fldChar w:fldCharType="separate"/>
                </w:r>
                <w:r w:rsidR="00EF14C1">
                  <w:rPr>
                    <w:rFonts w:hint="default"/>
                    <w:noProof/>
                  </w:rPr>
                  <w:t>- 1 -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05" w:rsidRDefault="00EC066D">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1312;mso-wrap-style:none;mso-position-horizontal:center;mso-position-horizontal-relative:margin;mso-width-relative:page;mso-height-relative:page" o:allowoverlap="f" filled="f" stroked="f" strokeweight=".5pt">
          <v:textbox style="mso-fit-shape-to-text:t" inset="0,0,0,0">
            <w:txbxContent>
              <w:p w:rsidR="00EE6B05" w:rsidRDefault="00EC066D">
                <w:pPr>
                  <w:pStyle w:val="a6"/>
                  <w:rPr>
                    <w:rFonts w:hint="default"/>
                  </w:rPr>
                </w:pPr>
                <w:r>
                  <w:t xml:space="preserve"> </w:t>
                </w:r>
                <w:r>
                  <w:fldChar w:fldCharType="begin"/>
                </w:r>
                <w:r>
                  <w:instrText>PAGE   \* MERGEFORMAT</w:instrText>
                </w:r>
                <w:r>
                  <w:fldChar w:fldCharType="separate"/>
                </w:r>
                <w:r w:rsidR="00EF14C1" w:rsidRPr="00EF14C1">
                  <w:rPr>
                    <w:rFonts w:hint="default"/>
                    <w:noProof/>
                    <w:lang w:val="zh-CN"/>
                  </w:rPr>
                  <w:t>-</w:t>
                </w:r>
                <w:r w:rsidR="00EF14C1">
                  <w:rPr>
                    <w:rFonts w:hint="default"/>
                    <w:noProof/>
                  </w:rPr>
                  <w:t xml:space="preserve"> 50 -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0288;mso-wrap-style:none;mso-position-horizontal:center;mso-position-horizontal-relative:margin;mso-position-vertical-relative:page;mso-width-relative:page;mso-height-relative:page" o:allowoverlap="f" filled="f" stroked="f" strokeweight=".5pt">
          <v:textbox inset="0,0,0,0">
            <w:txbxContent>
              <w:p w:rsidR="00EE6B05" w:rsidRDefault="00EC066D">
                <w:pPr>
                  <w:pStyle w:val="a6"/>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6D" w:rsidRDefault="00EC066D">
      <w:pPr>
        <w:rPr>
          <w:rFonts w:hint="default"/>
        </w:rPr>
      </w:pPr>
      <w:r>
        <w:separator/>
      </w:r>
    </w:p>
  </w:footnote>
  <w:footnote w:type="continuationSeparator" w:id="0">
    <w:p w:rsidR="00EC066D" w:rsidRDefault="00EC066D">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05" w:rsidRDefault="00EE6B05">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5ZjA4MmFkODMzZWExNmM3NDA4MGM4MjBiMzVjMTgifQ=="/>
  </w:docVars>
  <w:rsids>
    <w:rsidRoot w:val="00B03CCD"/>
    <w:rsid w:val="00006FDB"/>
    <w:rsid w:val="00007BC9"/>
    <w:rsid w:val="000239C6"/>
    <w:rsid w:val="000F2B53"/>
    <w:rsid w:val="00177134"/>
    <w:rsid w:val="001D3BB7"/>
    <w:rsid w:val="002B254B"/>
    <w:rsid w:val="0034050A"/>
    <w:rsid w:val="00392819"/>
    <w:rsid w:val="0044504F"/>
    <w:rsid w:val="00466C9B"/>
    <w:rsid w:val="0048581D"/>
    <w:rsid w:val="00486CFC"/>
    <w:rsid w:val="00491DDD"/>
    <w:rsid w:val="004C7FEC"/>
    <w:rsid w:val="00550ABE"/>
    <w:rsid w:val="005530A2"/>
    <w:rsid w:val="00623A85"/>
    <w:rsid w:val="00770383"/>
    <w:rsid w:val="007819D4"/>
    <w:rsid w:val="007B419D"/>
    <w:rsid w:val="007B7C4B"/>
    <w:rsid w:val="007D3D39"/>
    <w:rsid w:val="008B5127"/>
    <w:rsid w:val="00954944"/>
    <w:rsid w:val="00984C6A"/>
    <w:rsid w:val="00994AF7"/>
    <w:rsid w:val="009B0CE9"/>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1598E"/>
    <w:rsid w:val="00DB6EFB"/>
    <w:rsid w:val="00DD0539"/>
    <w:rsid w:val="00DD502F"/>
    <w:rsid w:val="00E07662"/>
    <w:rsid w:val="00E35763"/>
    <w:rsid w:val="00E368E9"/>
    <w:rsid w:val="00EC066D"/>
    <w:rsid w:val="00EC5510"/>
    <w:rsid w:val="00EE1E33"/>
    <w:rsid w:val="00EE6B05"/>
    <w:rsid w:val="00EF14C1"/>
    <w:rsid w:val="00F01972"/>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3B5A79"/>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iPriority w:val="99"/>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microsoft.com/office/2007/relationships/stylesWithEffects" Target="stylesWithEffect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2433</Words>
  <Characters>13869</Characters>
  <Application>Microsoft Office Word</Application>
  <DocSecurity>0</DocSecurity>
  <Lines>115</Lines>
  <Paragraphs>32</Paragraphs>
  <ScaleCrop>false</ScaleCrop>
  <Company>XTC</Company>
  <LinksUpToDate>false</LinksUpToDate>
  <CharactersWithSpaces>16270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丰都教委</cp:lastModifiedBy>
  <cp:revision>27</cp:revision>
  <dcterms:created xsi:type="dcterms:W3CDTF">2024-07-11T02:00:00Z</dcterms:created>
  <dcterms:modified xsi:type="dcterms:W3CDTF">2025-09-15T11:12:00Z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