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F8" w:rsidRDefault="00211651">
      <w:pPr>
        <w:pStyle w:val="a6"/>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丰都</w:t>
      </w:r>
      <w:proofErr w:type="gramStart"/>
      <w:r>
        <w:rPr>
          <w:rFonts w:ascii="方正小标宋_GBK" w:eastAsia="方正小标宋_GBK" w:hAnsi="方正小标宋_GBK" w:cs="方正小标宋_GBK"/>
          <w:sz w:val="36"/>
          <w:szCs w:val="36"/>
        </w:rPr>
        <w:t>县仁沙镇</w:t>
      </w:r>
      <w:proofErr w:type="gramEnd"/>
      <w:r>
        <w:rPr>
          <w:rFonts w:ascii="方正小标宋_GBK" w:eastAsia="方正小标宋_GBK" w:hAnsi="方正小标宋_GBK" w:cs="方正小标宋_GBK"/>
          <w:sz w:val="36"/>
          <w:szCs w:val="36"/>
        </w:rPr>
        <w:t>初级中学校</w:t>
      </w:r>
    </w:p>
    <w:p w:rsidR="00C174F8" w:rsidRDefault="00211651">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C174F8" w:rsidRDefault="00211651">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C174F8" w:rsidRDefault="00211651">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C174F8" w:rsidRDefault="00211651">
      <w:pPr>
        <w:pStyle w:val="a6"/>
        <w:shd w:val="clear" w:color="auto" w:fill="FFFFFF"/>
        <w:ind w:firstLineChars="200" w:firstLine="640"/>
        <w:rPr>
          <w:rFonts w:ascii="仿宋" w:eastAsia="仿宋" w:hAnsi="仿宋" w:cstheme="minorEastAsia"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实施初中义务教育,促进基础教育发展。承担辖区内初中学历教育;推进课程改革和教法学法改革;提高学生综合素质;培养学生多样化发展;培养学生良好品德;从事初中义务教育的相关社会服务。</w:t>
      </w:r>
    </w:p>
    <w:p w:rsidR="00C174F8" w:rsidRDefault="00211651">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C174F8" w:rsidRDefault="00211651">
      <w:pPr>
        <w:pStyle w:val="a6"/>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本单位机构有教务处、科研处、德育处、后勤处。</w:t>
      </w:r>
    </w:p>
    <w:p w:rsidR="00C174F8" w:rsidRDefault="00211651">
      <w:pPr>
        <w:pStyle w:val="a6"/>
        <w:shd w:val="clear" w:color="auto" w:fill="FFFFFF"/>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二、单位决算情况说明</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C174F8" w:rsidRDefault="00211651" w:rsidP="001545C4">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2023年度收入总计1779.05万元，支出总计</w:t>
      </w:r>
      <w:r>
        <w:rPr>
          <w:rFonts w:ascii="方正仿宋_GBK" w:eastAsia="方正仿宋_GBK" w:hAnsi="方正仿宋_GBK" w:cs="方正仿宋_GBK"/>
          <w:sz w:val="32"/>
          <w:szCs w:val="32"/>
        </w:rPr>
        <w:t>1779.05</w:t>
      </w:r>
      <w:r>
        <w:rPr>
          <w:rFonts w:ascii="方正仿宋_GBK" w:eastAsia="方正仿宋_GBK" w:hAnsi="方正仿宋_GBK" w:cs="方正仿宋_GBK"/>
          <w:sz w:val="32"/>
          <w:szCs w:val="32"/>
          <w:shd w:val="clear" w:color="auto" w:fill="FFFFFF"/>
        </w:rPr>
        <w:t>万元。收支较上年决算数增加210.77万元，增长13.44%，主要原因是在职人员超额绩效目标调整标准、退休人员休养费调整标准、校舍维修维护项目增加、在职人员调资晋级、社保调整基数等。</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2023年度收入合计1675.12万元，较上年决算数增加106.84万元，增长6.81%，主要原因是在职人员超额绩效目标调整标准、退休人员休养费调整标准、校舍维修维护项目增加、在职人员调资晋级、社保调整基数等。其中：财政拨款收入</w:t>
      </w:r>
      <w:r>
        <w:rPr>
          <w:rFonts w:ascii="方正仿宋_GBK" w:eastAsia="方正仿宋_GBK" w:hAnsi="方正仿宋_GBK" w:cs="方正仿宋_GBK"/>
          <w:sz w:val="32"/>
          <w:szCs w:val="32"/>
        </w:rPr>
        <w:t>1627.32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97.15</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47.80</w:t>
      </w:r>
      <w:r>
        <w:rPr>
          <w:rFonts w:ascii="方正仿宋_GBK" w:eastAsia="方正仿宋_GBK" w:hAnsi="方正仿宋_GBK" w:cs="方正仿宋_GBK"/>
          <w:sz w:val="32"/>
          <w:szCs w:val="32"/>
          <w:shd w:val="clear" w:color="auto" w:fill="FFFFFF"/>
        </w:rPr>
        <w:t>万元，占2.85%。此外，使用非财政拨款结余和专用结余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103.93</w:t>
      </w:r>
      <w:r>
        <w:rPr>
          <w:rFonts w:ascii="方正仿宋_GBK" w:eastAsia="方正仿宋_GBK" w:hAnsi="方正仿宋_GBK" w:cs="方正仿宋_GBK"/>
          <w:sz w:val="32"/>
          <w:szCs w:val="32"/>
          <w:shd w:val="clear" w:color="auto" w:fill="FFFFFF"/>
        </w:rPr>
        <w:t>万元。</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1761.90</w:t>
      </w:r>
      <w:r>
        <w:rPr>
          <w:rFonts w:ascii="方正仿宋_GBK" w:eastAsia="方正仿宋_GBK" w:hAnsi="方正仿宋_GBK" w:cs="方正仿宋_GBK"/>
          <w:sz w:val="32"/>
          <w:szCs w:val="32"/>
          <w:shd w:val="clear" w:color="auto" w:fill="FFFFFF"/>
        </w:rPr>
        <w:t>万元，较上年决算数增加214.16万元，增长13.84%，主要原因是在职人员超额绩效目标调整标准、退休人员休养费调整标准、校舍维修维护项目增加、在职人员调资晋级、社保调整基数等。其中：基本支出</w:t>
      </w:r>
      <w:r>
        <w:rPr>
          <w:rFonts w:ascii="方正仿宋_GBK" w:eastAsia="方正仿宋_GBK" w:hAnsi="方正仿宋_GBK" w:cs="方正仿宋_GBK"/>
          <w:sz w:val="32"/>
          <w:szCs w:val="32"/>
        </w:rPr>
        <w:t>1518.04</w:t>
      </w:r>
      <w:r>
        <w:rPr>
          <w:rFonts w:ascii="方正仿宋_GBK" w:eastAsia="方正仿宋_GBK" w:hAnsi="方正仿宋_GBK" w:cs="方正仿宋_GBK"/>
          <w:sz w:val="32"/>
          <w:szCs w:val="32"/>
          <w:shd w:val="clear" w:color="auto" w:fill="FFFFFF"/>
        </w:rPr>
        <w:t>万元，占86.16%；项目支出</w:t>
      </w:r>
      <w:r>
        <w:rPr>
          <w:rFonts w:ascii="方正仿宋_GBK" w:eastAsia="方正仿宋_GBK" w:hAnsi="方正仿宋_GBK" w:cs="方正仿宋_GBK"/>
          <w:sz w:val="32"/>
          <w:szCs w:val="32"/>
        </w:rPr>
        <w:t>243.86</w:t>
      </w:r>
      <w:r>
        <w:rPr>
          <w:rFonts w:ascii="方正仿宋_GBK" w:eastAsia="方正仿宋_GBK" w:hAnsi="方正仿宋_GBK" w:cs="方正仿宋_GBK"/>
          <w:sz w:val="32"/>
          <w:szCs w:val="32"/>
          <w:shd w:val="clear" w:color="auto" w:fill="FFFFFF"/>
        </w:rPr>
        <w:t>万元，占13.84%；经营支出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17.16</w:t>
      </w:r>
      <w:r>
        <w:rPr>
          <w:rFonts w:ascii="方正仿宋_GBK" w:eastAsia="方正仿宋_GBK" w:hAnsi="方正仿宋_GBK" w:cs="方正仿宋_GBK"/>
          <w:sz w:val="32"/>
          <w:szCs w:val="32"/>
          <w:shd w:val="clear" w:color="auto" w:fill="FFFFFF"/>
        </w:rPr>
        <w:t>万元，较上年决算数减少3.38万元，下降16.46%，主要原因是学生人数减少，课后延时服务收入减少。</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2023年度财政拨款收、支总计1710.71万元。与2022年相比，财政拨款收、支总计各增加170.72万元，增长11.09%。主要原因是在职人员超额绩效目标调整标准、退休</w:t>
      </w:r>
      <w:r>
        <w:rPr>
          <w:rFonts w:ascii="方正仿宋_GBK" w:eastAsia="方正仿宋_GBK" w:hAnsi="方正仿宋_GBK" w:cs="方正仿宋_GBK"/>
          <w:sz w:val="32"/>
          <w:szCs w:val="32"/>
          <w:shd w:val="clear" w:color="auto" w:fill="FFFFFF"/>
        </w:rPr>
        <w:lastRenderedPageBreak/>
        <w:t>人员休养费调整标准、校舍维修维护项目增加、在职人员调资晋级、社保调整基数等。</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1627.32</w:t>
      </w:r>
      <w:r>
        <w:rPr>
          <w:rFonts w:ascii="方正仿宋_GBK" w:eastAsia="方正仿宋_GBK" w:hAnsi="方正仿宋_GBK" w:cs="方正仿宋_GBK"/>
          <w:sz w:val="32"/>
          <w:szCs w:val="32"/>
          <w:shd w:val="clear" w:color="auto" w:fill="FFFFFF"/>
        </w:rPr>
        <w:t>万元，较上年决算数增加87.33万元，增长5.67%。主要原因是在职人员超额绩效目标调整标准、退休人员休养费调整标准、校舍维修维护项目增加、在职人员调资晋级、社保调整基数等。较年初预算数增加547.34万元，增长50.68%。主要原因是在职人员超额绩效目标调整标准、退休人员休养费调整标准、校舍维修维护项目增加、在职人员调资晋级、社保调整基数、学生营养计划</w:t>
      </w:r>
      <w:proofErr w:type="gramStart"/>
      <w:r>
        <w:rPr>
          <w:rFonts w:ascii="方正仿宋_GBK" w:eastAsia="方正仿宋_GBK" w:hAnsi="方正仿宋_GBK" w:cs="方正仿宋_GBK"/>
          <w:sz w:val="32"/>
          <w:szCs w:val="32"/>
          <w:shd w:val="clear" w:color="auto" w:fill="FFFFFF"/>
        </w:rPr>
        <w:t>及贫生</w:t>
      </w:r>
      <w:proofErr w:type="gramEnd"/>
      <w:r>
        <w:rPr>
          <w:rFonts w:ascii="方正仿宋_GBK" w:eastAsia="方正仿宋_GBK" w:hAnsi="方正仿宋_GBK" w:cs="方正仿宋_GBK"/>
          <w:sz w:val="32"/>
          <w:szCs w:val="32"/>
          <w:shd w:val="clear" w:color="auto" w:fill="FFFFFF"/>
        </w:rPr>
        <w:t>资助等。此外，年初财政拨款结转和结余</w:t>
      </w:r>
      <w:r>
        <w:rPr>
          <w:rFonts w:ascii="方正仿宋_GBK" w:eastAsia="方正仿宋_GBK" w:hAnsi="方正仿宋_GBK" w:cs="方正仿宋_GBK"/>
          <w:sz w:val="32"/>
          <w:szCs w:val="32"/>
        </w:rPr>
        <w:t>83.39</w:t>
      </w:r>
      <w:r>
        <w:rPr>
          <w:rFonts w:ascii="方正仿宋_GBK" w:eastAsia="方正仿宋_GBK" w:hAnsi="方正仿宋_GBK" w:cs="方正仿宋_GBK"/>
          <w:sz w:val="32"/>
          <w:szCs w:val="32"/>
          <w:shd w:val="clear" w:color="auto" w:fill="FFFFFF"/>
        </w:rPr>
        <w:t>万元。</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1710.71</w:t>
      </w:r>
      <w:r>
        <w:rPr>
          <w:rFonts w:ascii="方正仿宋_GBK" w:eastAsia="方正仿宋_GBK" w:hAnsi="方正仿宋_GBK" w:cs="方正仿宋_GBK"/>
          <w:sz w:val="32"/>
          <w:szCs w:val="32"/>
          <w:shd w:val="clear" w:color="auto" w:fill="FFFFFF"/>
        </w:rPr>
        <w:t>万元，较上年决算数增加170.72万元，增长11.09%。主要原因是在职人员超额绩效目标调整标准、退休人员休养费调整标准、校舍维修维护项目增加、在职人员调资晋级、社保调整基数等。较年初预算数增加630.73万元，增长58.40%。主要原因是在职人员超额绩效目标调整标准、退休人员休养费调整标准、校舍维修维护项目增加、在职人员调资晋级、社保调整基数、学生营养计划</w:t>
      </w:r>
      <w:proofErr w:type="gramStart"/>
      <w:r>
        <w:rPr>
          <w:rFonts w:ascii="方正仿宋_GBK" w:eastAsia="方正仿宋_GBK" w:hAnsi="方正仿宋_GBK" w:cs="方正仿宋_GBK"/>
          <w:sz w:val="32"/>
          <w:szCs w:val="32"/>
          <w:shd w:val="clear" w:color="auto" w:fill="FFFFFF"/>
        </w:rPr>
        <w:t>及贫生</w:t>
      </w:r>
      <w:proofErr w:type="gramEnd"/>
      <w:r>
        <w:rPr>
          <w:rFonts w:ascii="方正仿宋_GBK" w:eastAsia="方正仿宋_GBK" w:hAnsi="方正仿宋_GBK" w:cs="方正仿宋_GBK"/>
          <w:sz w:val="32"/>
          <w:szCs w:val="32"/>
          <w:shd w:val="clear" w:color="auto" w:fill="FFFFFF"/>
        </w:rPr>
        <w:t>资助等。</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，与上年度决算数持平。</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1420.22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83.02</w:t>
      </w:r>
      <w:r>
        <w:rPr>
          <w:rFonts w:ascii="方正仿宋_GBK" w:eastAsia="方正仿宋_GBK" w:hAnsi="方正仿宋_GBK" w:cs="方正仿宋_GBK"/>
          <w:sz w:val="32"/>
          <w:szCs w:val="32"/>
          <w:shd w:val="clear" w:color="auto" w:fill="FFFFFF"/>
        </w:rPr>
        <w:t>%，较年初预算数增加582.67万元，增长69.57%，主要原因是在职人员超额绩效目标调整标准、退休人员休养费调整标准、校舍维修维护项目增加、在职人员调资晋级、社保调整基数、学生营养计划</w:t>
      </w:r>
      <w:proofErr w:type="gramStart"/>
      <w:r>
        <w:rPr>
          <w:rFonts w:ascii="方正仿宋_GBK" w:eastAsia="方正仿宋_GBK" w:hAnsi="方正仿宋_GBK" w:cs="方正仿宋_GBK"/>
          <w:sz w:val="32"/>
          <w:szCs w:val="32"/>
          <w:shd w:val="clear" w:color="auto" w:fill="FFFFFF"/>
        </w:rPr>
        <w:t>及贫生</w:t>
      </w:r>
      <w:proofErr w:type="gramEnd"/>
      <w:r>
        <w:rPr>
          <w:rFonts w:ascii="方正仿宋_GBK" w:eastAsia="方正仿宋_GBK" w:hAnsi="方正仿宋_GBK" w:cs="方正仿宋_GBK"/>
          <w:sz w:val="32"/>
          <w:szCs w:val="32"/>
          <w:shd w:val="clear" w:color="auto" w:fill="FFFFFF"/>
        </w:rPr>
        <w:t>资助等。</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184.91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10.81</w:t>
      </w:r>
      <w:r>
        <w:rPr>
          <w:rFonts w:ascii="方正仿宋_GBK" w:eastAsia="方正仿宋_GBK" w:hAnsi="方正仿宋_GBK" w:cs="方正仿宋_GBK"/>
          <w:sz w:val="32"/>
          <w:szCs w:val="32"/>
          <w:shd w:val="clear" w:color="auto" w:fill="FFFFFF"/>
        </w:rPr>
        <w:t>%，较年初预算数增加50.46万元，增长37.53%，主要原因是社会保障缴费基数调整、</w:t>
      </w:r>
      <w:proofErr w:type="gramStart"/>
      <w:r>
        <w:rPr>
          <w:rFonts w:ascii="方正仿宋_GBK" w:eastAsia="方正仿宋_GBK" w:hAnsi="方正仿宋_GBK" w:cs="方正仿宋_GBK"/>
          <w:sz w:val="32"/>
          <w:szCs w:val="32"/>
          <w:shd w:val="clear" w:color="auto" w:fill="FFFFFF"/>
        </w:rPr>
        <w:t>特</w:t>
      </w:r>
      <w:proofErr w:type="gramEnd"/>
      <w:r>
        <w:rPr>
          <w:rFonts w:ascii="方正仿宋_GBK" w:eastAsia="方正仿宋_GBK" w:hAnsi="方正仿宋_GBK" w:cs="方正仿宋_GBK"/>
          <w:sz w:val="32"/>
          <w:szCs w:val="32"/>
          <w:shd w:val="clear" w:color="auto" w:fill="FFFFFF"/>
        </w:rPr>
        <w:t>岗教师入编等。</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55.06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3.22</w:t>
      </w:r>
      <w:r>
        <w:rPr>
          <w:rFonts w:ascii="方正仿宋_GBK" w:eastAsia="方正仿宋_GBK" w:hAnsi="方正仿宋_GBK" w:cs="方正仿宋_GBK"/>
          <w:sz w:val="32"/>
          <w:szCs w:val="32"/>
          <w:shd w:val="clear" w:color="auto" w:fill="FFFFFF"/>
        </w:rPr>
        <w:t>%，较年初预算数减少0.69万元，下降1.24%，主要原因是人员调出。</w:t>
      </w:r>
    </w:p>
    <w:p w:rsidR="00C174F8" w:rsidRDefault="00211651">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住房保障支出50.52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2.95</w:t>
      </w:r>
      <w:r>
        <w:rPr>
          <w:rFonts w:ascii="方正仿宋_GBK" w:eastAsia="方正仿宋_GBK" w:hAnsi="方正仿宋_GBK" w:cs="方正仿宋_GBK"/>
          <w:sz w:val="32"/>
          <w:szCs w:val="32"/>
          <w:shd w:val="clear" w:color="auto" w:fill="FFFFFF"/>
        </w:rPr>
        <w:t>%，较年初预算数减少1.71万元，下降3.27%，主要原因是人员调出。</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1466.86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1352.63</w:t>
      </w:r>
      <w:r>
        <w:rPr>
          <w:rFonts w:ascii="方正仿宋_GBK" w:eastAsia="方正仿宋_GBK" w:hAnsi="方正仿宋_GBK" w:cs="方正仿宋_GBK"/>
          <w:sz w:val="32"/>
          <w:szCs w:val="32"/>
          <w:shd w:val="clear" w:color="auto" w:fill="FFFFFF"/>
        </w:rPr>
        <w:t>万元，较上年决算数增加42.33万元，增长3.23%，主要原因是在职人员超额绩效目标调整标准、退休人员休养费调整标准、校舍维修维护项目增加、在职人员调资晋级、社保调整基数等。人员经费用途主要包括基本工资、津贴补贴、绩效工资、社会保障缴费、其他福利支出等。公用经费</w:t>
      </w:r>
      <w:r>
        <w:rPr>
          <w:rFonts w:ascii="方正仿宋_GBK" w:eastAsia="方正仿宋_GBK" w:hAnsi="方正仿宋_GBK" w:cs="方正仿宋_GBK"/>
          <w:sz w:val="32"/>
          <w:szCs w:val="32"/>
        </w:rPr>
        <w:t>114.23</w:t>
      </w:r>
      <w:r>
        <w:rPr>
          <w:rFonts w:ascii="方正仿宋_GBK" w:eastAsia="方正仿宋_GBK" w:hAnsi="方正仿宋_GBK" w:cs="方正仿宋_GBK"/>
          <w:sz w:val="32"/>
          <w:szCs w:val="32"/>
          <w:shd w:val="clear" w:color="auto" w:fill="FFFFFF"/>
        </w:rPr>
        <w:t>万元，较上年决算数增加15.41万元，增长15.59%，主要原因是校舍维修维护。公用经费用</w:t>
      </w:r>
      <w:r>
        <w:rPr>
          <w:rFonts w:ascii="方正仿宋_GBK" w:eastAsia="方正仿宋_GBK" w:hAnsi="方正仿宋_GBK" w:cs="方正仿宋_GBK"/>
          <w:sz w:val="32"/>
          <w:szCs w:val="32"/>
          <w:shd w:val="clear" w:color="auto" w:fill="FFFFFF"/>
        </w:rPr>
        <w:lastRenderedPageBreak/>
        <w:t>途主要包括办公费、印刷费、培训费、劳务费、工会经费、维修费、水费、电费、邮电费等。</w:t>
      </w:r>
    </w:p>
    <w:p w:rsidR="00C174F8" w:rsidRDefault="00211651">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政府性基金预算收支决算情况说明</w:t>
      </w:r>
    </w:p>
    <w:p w:rsidR="00C174F8" w:rsidRDefault="00211651">
      <w:pPr>
        <w:pStyle w:val="1"/>
        <w:autoSpaceDE w:val="0"/>
        <w:ind w:firstLineChars="300" w:firstLine="96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本单位2023年度无政府性基金预算财政拨款收支。</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C174F8" w:rsidRDefault="00211651">
      <w:pPr>
        <w:pStyle w:val="a6"/>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楷体" w:eastAsia="楷体" w:hAnsi="楷体" w:cs="楷体"/>
          <w:b/>
          <w:bCs/>
          <w:sz w:val="32"/>
          <w:szCs w:val="32"/>
          <w:shd w:val="clear" w:color="auto" w:fill="FFFFFF"/>
        </w:rPr>
        <w:t>本单位2023年度无国有资本经营预算财政拨款支出。</w:t>
      </w:r>
    </w:p>
    <w:p w:rsidR="00C174F8" w:rsidRDefault="00211651">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，主要原因是本单位2023年度未发生“三公”经费支出。较上年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，主要原因是本单位2023年度未发生“三公”经费支出。</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万元，主要原因是本单位2023年度未发生因公出国(境)费用。费用支出较年初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，主要原因是本单位2023年度未发生因公出国(境)费用。较上年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，主要原因是本单位2023年度未发生因公出国(境)费用。</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万元，主要原因是本单位2023年度未发生公务车。费用支出较年初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lastRenderedPageBreak/>
        <w:t>是本单位2023年度未发生公务用车。较上年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，主要原因是本单位2023年度未发生公务用车。</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万元，主要是本单位2023年度未发生无公务用车费用。费用支出较年初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，主要原因是本单位2023年度未发生无公务用车费用。较上年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，主要原因是本单位2023年度未发生无公务用车费用。</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万元，主要是本单位2023年度未发生无公务接待费用支出。费用支出较年初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，主要原因是本单位2023年度未发生无公务接待费用支出。较上年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，主要原因是本单位2023年度未发生无公务接待费用支出。</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C174F8" w:rsidRDefault="0021165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，主要原因是2023年度未发生会议费支出。本年度培训费支出</w:t>
      </w:r>
      <w:r>
        <w:rPr>
          <w:rFonts w:ascii="方正仿宋_GBK" w:eastAsia="方正仿宋_GBK" w:hAnsi="方正仿宋_GBK" w:cs="方正仿宋_GBK"/>
          <w:sz w:val="32"/>
          <w:szCs w:val="32"/>
        </w:rPr>
        <w:lastRenderedPageBreak/>
        <w:t>9.93</w:t>
      </w:r>
      <w:r>
        <w:rPr>
          <w:rFonts w:ascii="方正仿宋_GBK" w:eastAsia="方正仿宋_GBK" w:hAnsi="方正仿宋_GBK" w:cs="方正仿宋_GBK"/>
          <w:sz w:val="32"/>
          <w:szCs w:val="32"/>
          <w:shd w:val="clear" w:color="auto" w:fill="FFFFFF"/>
        </w:rPr>
        <w:t>万元，较上年决算数增加4.50万元，增长82.87%，主要原因是外出培训人次增加。</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hint="default"/>
          <w:sz w:val="32"/>
          <w:szCs w:val="32"/>
        </w:rPr>
        <w:t>按照部门决算列报口径，我单位不在机关运行经费统计范围之内</w:t>
      </w:r>
      <w:r>
        <w:rPr>
          <w:rFonts w:ascii="方正仿宋_GBK" w:eastAsia="方正仿宋_GBK" w:hAnsi="方正仿宋_GBK" w:cs="方正仿宋_GBK"/>
          <w:sz w:val="32"/>
          <w:szCs w:val="32"/>
        </w:rPr>
        <w:t>。</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C174F8" w:rsidRDefault="0021165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C174F8" w:rsidRDefault="00211651" w:rsidP="00211651">
      <w:pPr>
        <w:shd w:val="clear" w:color="auto" w:fill="FFFFFF"/>
        <w:spacing w:line="560" w:lineRule="exact"/>
        <w:ind w:firstLineChars="250" w:firstLine="80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w:t>
      </w:r>
    </w:p>
    <w:p w:rsidR="00C174F8" w:rsidRDefault="00211651">
      <w:pPr>
        <w:pStyle w:val="a6"/>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C174F8" w:rsidRDefault="00211651">
      <w:pPr>
        <w:pStyle w:val="Char0"/>
        <w:autoSpaceDE w:val="0"/>
        <w:spacing w:before="0" w:beforeAutospacing="0" w:line="600" w:lineRule="exact"/>
        <w:ind w:firstLineChars="100" w:firstLine="32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根据预算绩效管理要求，我单位对部门整体和0个</w:t>
      </w:r>
      <w:proofErr w:type="gramStart"/>
      <w:r>
        <w:rPr>
          <w:rFonts w:ascii="方正仿宋_GBK" w:eastAsia="方正仿宋_GBK" w:hAnsi="方正仿宋_GBK" w:cs="方正仿宋_GBK" w:hint="eastAsia"/>
          <w:sz w:val="32"/>
          <w:szCs w:val="32"/>
          <w:shd w:val="clear" w:color="auto" w:fill="FFFFFF"/>
        </w:rPr>
        <w:t>一级项目</w:t>
      </w:r>
      <w:proofErr w:type="gramEnd"/>
      <w:r>
        <w:rPr>
          <w:rFonts w:ascii="方正仿宋_GBK" w:eastAsia="方正仿宋_GBK" w:hAnsi="方正仿宋_GBK" w:cs="方正仿宋_GBK" w:hint="eastAsia"/>
          <w:sz w:val="32"/>
          <w:szCs w:val="32"/>
          <w:shd w:val="clear" w:color="auto" w:fill="FFFFFF"/>
        </w:rPr>
        <w:t>12个二级项目开展了绩效自评，涉及财政拨款项目支出资金403.23万元。</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我单位未组织开展绩效评价。</w:t>
      </w:r>
    </w:p>
    <w:p w:rsidR="00C174F8" w:rsidRDefault="0021165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（三）财政绩效评价情况</w:t>
      </w:r>
    </w:p>
    <w:p w:rsidR="00C174F8" w:rsidRDefault="00211651">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我单位未委托第三方对我单位开展绩效评价。</w:t>
      </w:r>
    </w:p>
    <w:p w:rsidR="00C174F8" w:rsidRDefault="00211651">
      <w:pPr>
        <w:pStyle w:val="a6"/>
        <w:shd w:val="clear" w:color="auto" w:fill="FFFFFF"/>
        <w:rPr>
          <w:rStyle w:val="a8"/>
          <w:rFonts w:ascii="黑体" w:eastAsia="黑体" w:hAnsi="黑体" w:cs="黑体"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C174F8" w:rsidRDefault="00211651" w:rsidP="001545C4">
      <w:pPr>
        <w:pStyle w:val="a6"/>
        <w:shd w:val="clear" w:color="auto" w:fill="FFFFFF"/>
        <w:ind w:firstLineChars="200" w:firstLine="643"/>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174F8" w:rsidRDefault="0021165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r>
        <w:rPr>
          <w:rFonts w:ascii="方正仿宋_GBK" w:eastAsia="方正仿宋_GBK" w:hAnsi="方正仿宋_GBK" w:cs="方正仿宋_GBK"/>
          <w:sz w:val="32"/>
          <w:szCs w:val="32"/>
          <w:shd w:val="clear" w:color="auto" w:fill="FFFFFF"/>
        </w:rPr>
        <w:lastRenderedPageBreak/>
        <w:t>（</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174F8" w:rsidRDefault="0021165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C174F8" w:rsidRDefault="00211651" w:rsidP="001545C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C174F8" w:rsidRDefault="0021165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w:t>
      </w:r>
      <w:r>
        <w:rPr>
          <w:rStyle w:val="a8"/>
          <w:rFonts w:ascii="黑体" w:eastAsia="黑体" w:hAnsi="黑体" w:cs="黑体"/>
          <w:sz w:val="32"/>
          <w:szCs w:val="32"/>
          <w:shd w:val="clear" w:color="auto" w:fill="FFFFFF"/>
        </w:rPr>
        <w:t>七、决算公开联系方式及信息反馈渠道</w:t>
      </w:r>
    </w:p>
    <w:p w:rsidR="00C174F8" w:rsidRDefault="00211651">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w:t>
      </w:r>
    </w:p>
    <w:p w:rsidR="00C174F8" w:rsidRDefault="00211651">
      <w:pPr>
        <w:pStyle w:val="1"/>
        <w:autoSpaceDE w:val="0"/>
        <w:ind w:firstLineChars="300" w:firstLine="960"/>
        <w:rPr>
          <w:rStyle w:val="a8"/>
          <w:rFonts w:ascii="方正仿宋_GBK" w:eastAsia="方正仿宋_GBK" w:hAnsi="方正仿宋_GBK" w:cs="方正仿宋_GBK"/>
          <w:sz w:val="32"/>
          <w:szCs w:val="32"/>
          <w:shd w:val="clear" w:color="auto" w:fill="FFFF00"/>
        </w:rPr>
        <w:sectPr w:rsidR="00C174F8">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 xml:space="preserve">023-70689020    </w:t>
      </w:r>
      <w:proofErr w:type="gramStart"/>
      <w:r>
        <w:rPr>
          <w:rFonts w:ascii="方正仿宋_GBK" w:eastAsia="方正仿宋_GBK" w:hAnsi="方正仿宋_GBK" w:cs="方正仿宋_GBK" w:hint="eastAsia"/>
          <w:sz w:val="32"/>
          <w:szCs w:val="32"/>
          <w:shd w:val="clear" w:color="auto" w:fill="FFFFFF"/>
        </w:rPr>
        <w:t>秦光杰</w:t>
      </w:r>
      <w:proofErr w:type="gramEnd"/>
    </w:p>
    <w:p w:rsidR="00C174F8" w:rsidRDefault="00C174F8">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C174F8">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C174F8">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C174F8">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00" w:lineRule="exact"/>
              <w:rPr>
                <w:rFonts w:ascii="Arial" w:hAnsi="Arial" w:cs="Arial" w:hint="default"/>
                <w:color w:val="000000"/>
                <w:sz w:val="22"/>
                <w:szCs w:val="22"/>
              </w:rPr>
            </w:pPr>
            <w:r>
              <w:rPr>
                <w:rFonts w:cs="宋体"/>
                <w:sz w:val="20"/>
                <w:szCs w:val="20"/>
              </w:rPr>
              <w:t>公开单位：</w:t>
            </w:r>
            <w:r>
              <w:rPr>
                <w:sz w:val="20"/>
              </w:rPr>
              <w:t>重庆市丰都</w:t>
            </w:r>
            <w:proofErr w:type="gramStart"/>
            <w:r>
              <w:rPr>
                <w:sz w:val="20"/>
              </w:rPr>
              <w:t>县仁沙镇</w:t>
            </w:r>
            <w:proofErr w:type="gramEnd"/>
            <w:r>
              <w:rPr>
                <w:sz w:val="20"/>
              </w:rPr>
              <w:t>初级中学校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1,627.32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1,471.40</w:t>
            </w: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47.80</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184.91</w:t>
            </w: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55.06</w:t>
            </w: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50.52</w:t>
            </w: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1,675.12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1,761.90</w:t>
            </w: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color w:val="000000"/>
                <w:sz w:val="20"/>
              </w:rPr>
              <w:t xml:space="preserve"> </w:t>
            </w:r>
          </w:p>
        </w:tc>
      </w:tr>
      <w:tr w:rsidR="00C174F8">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103.93</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17.16</w:t>
            </w:r>
            <w:r>
              <w:rPr>
                <w:color w:val="000000"/>
                <w:sz w:val="20"/>
              </w:rPr>
              <w:t xml:space="preserve"> </w:t>
            </w:r>
          </w:p>
        </w:tc>
      </w:tr>
      <w:tr w:rsidR="00C174F8">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1,779.05</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C174F8" w:rsidRDefault="0021165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40" w:lineRule="exact"/>
              <w:jc w:val="right"/>
              <w:textAlignment w:val="center"/>
              <w:rPr>
                <w:rFonts w:cs="宋体" w:hint="default"/>
                <w:color w:val="000000"/>
                <w:sz w:val="20"/>
                <w:szCs w:val="20"/>
              </w:rPr>
            </w:pPr>
            <w:r>
              <w:rPr>
                <w:rFonts w:cs="宋体"/>
                <w:color w:val="000000"/>
                <w:sz w:val="20"/>
                <w:szCs w:val="20"/>
              </w:rPr>
              <w:t>1,779.05</w:t>
            </w:r>
            <w:r>
              <w:rPr>
                <w:color w:val="000000"/>
                <w:sz w:val="20"/>
              </w:rPr>
              <w:t xml:space="preserve"> </w:t>
            </w:r>
          </w:p>
        </w:tc>
      </w:tr>
    </w:tbl>
    <w:p w:rsidR="00C174F8" w:rsidRDefault="0021165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200" w:type="dxa"/>
        <w:tblLayout w:type="fixed"/>
        <w:tblCellMar>
          <w:left w:w="0" w:type="dxa"/>
          <w:right w:w="0" w:type="dxa"/>
        </w:tblCellMar>
        <w:tblLook w:val="04A0" w:firstRow="1" w:lastRow="0" w:firstColumn="1" w:lastColumn="0" w:noHBand="0" w:noVBand="1"/>
      </w:tblPr>
      <w:tblGrid>
        <w:gridCol w:w="1682"/>
        <w:gridCol w:w="3135"/>
        <w:gridCol w:w="1218"/>
        <w:gridCol w:w="1219"/>
        <w:gridCol w:w="1219"/>
        <w:gridCol w:w="1219"/>
        <w:gridCol w:w="1350"/>
        <w:gridCol w:w="1292"/>
        <w:gridCol w:w="1422"/>
        <w:gridCol w:w="1444"/>
      </w:tblGrid>
      <w:tr w:rsidR="00C174F8">
        <w:trPr>
          <w:trHeight w:val="607"/>
        </w:trPr>
        <w:tc>
          <w:tcPr>
            <w:tcW w:w="15200" w:type="dxa"/>
            <w:gridSpan w:val="10"/>
            <w:tcBorders>
              <w:top w:val="nil"/>
              <w:left w:val="nil"/>
              <w:bottom w:val="nil"/>
              <w:right w:val="nil"/>
            </w:tcBorders>
            <w:shd w:val="clear" w:color="auto" w:fill="auto"/>
            <w:noWrap/>
            <w:tcMar>
              <w:top w:w="15" w:type="dxa"/>
              <w:left w:w="15" w:type="dxa"/>
              <w:right w:w="15" w:type="dxa"/>
            </w:tcMar>
            <w:vAlign w:val="bottom"/>
          </w:tcPr>
          <w:p w:rsidR="00C174F8" w:rsidRDefault="0021165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C174F8">
        <w:trPr>
          <w:trHeight w:val="312"/>
        </w:trPr>
        <w:tc>
          <w:tcPr>
            <w:tcW w:w="6035"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rPr>
                <w:rFonts w:cs="宋体" w:hint="default"/>
                <w:color w:val="000000"/>
                <w:sz w:val="20"/>
                <w:szCs w:val="20"/>
              </w:rPr>
            </w:pPr>
            <w:r>
              <w:rPr>
                <w:rFonts w:cs="宋体"/>
                <w:sz w:val="20"/>
                <w:szCs w:val="20"/>
              </w:rPr>
              <w:t>公开单位：</w:t>
            </w:r>
            <w:r>
              <w:rPr>
                <w:sz w:val="20"/>
              </w:rPr>
              <w:t>重庆市丰都</w:t>
            </w:r>
            <w:proofErr w:type="gramStart"/>
            <w:r>
              <w:rPr>
                <w:sz w:val="20"/>
              </w:rPr>
              <w:t>县仁沙镇</w:t>
            </w:r>
            <w:proofErr w:type="gramEnd"/>
            <w:r>
              <w:rPr>
                <w:sz w:val="20"/>
              </w:rPr>
              <w:t>初级中学校</w:t>
            </w: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444"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公开02表</w:t>
            </w:r>
          </w:p>
        </w:tc>
      </w:tr>
      <w:tr w:rsidR="00C174F8">
        <w:trPr>
          <w:trHeight w:val="312"/>
        </w:trPr>
        <w:tc>
          <w:tcPr>
            <w:tcW w:w="6035"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444"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415"/>
        </w:trPr>
        <w:tc>
          <w:tcPr>
            <w:tcW w:w="4817"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C174F8" w:rsidRDefault="00211651">
            <w:pPr>
              <w:jc w:val="center"/>
              <w:textAlignment w:val="bottom"/>
              <w:rPr>
                <w:rFonts w:cs="宋体" w:hint="default"/>
                <w:b/>
                <w:color w:val="000000"/>
                <w:sz w:val="20"/>
                <w:szCs w:val="20"/>
              </w:rPr>
            </w:pPr>
            <w:r>
              <w:rPr>
                <w:rFonts w:cs="宋体"/>
                <w:b/>
                <w:color w:val="000000"/>
                <w:sz w:val="20"/>
                <w:szCs w:val="20"/>
              </w:rPr>
              <w:t>项目</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本年收入合计</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财政拨款收入</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上级补助收入</w:t>
            </w:r>
          </w:p>
        </w:tc>
        <w:tc>
          <w:tcPr>
            <w:tcW w:w="256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211651">
            <w:pPr>
              <w:jc w:val="center"/>
              <w:textAlignment w:val="bottom"/>
              <w:rPr>
                <w:rFonts w:cs="宋体" w:hint="default"/>
                <w:b/>
                <w:color w:val="000000"/>
                <w:sz w:val="20"/>
                <w:szCs w:val="20"/>
              </w:rPr>
            </w:pPr>
            <w:r>
              <w:rPr>
                <w:rFonts w:cs="宋体"/>
                <w:b/>
                <w:color w:val="000000"/>
                <w:sz w:val="20"/>
                <w:szCs w:val="20"/>
              </w:rPr>
              <w:t>事业收入</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经营收入</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附属单位上缴收入</w:t>
            </w:r>
          </w:p>
        </w:tc>
        <w:tc>
          <w:tcPr>
            <w:tcW w:w="144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其他收入</w:t>
            </w:r>
          </w:p>
        </w:tc>
      </w:tr>
      <w:tr w:rsidR="00C174F8">
        <w:trPr>
          <w:trHeight w:val="327"/>
        </w:trPr>
        <w:tc>
          <w:tcPr>
            <w:tcW w:w="16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功能分类科目编码</w:t>
            </w:r>
          </w:p>
        </w:tc>
        <w:tc>
          <w:tcPr>
            <w:tcW w:w="313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2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小计</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其中：教育收费</w:t>
            </w:r>
          </w:p>
        </w:tc>
        <w:tc>
          <w:tcPr>
            <w:tcW w:w="12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27"/>
        </w:trPr>
        <w:tc>
          <w:tcPr>
            <w:tcW w:w="16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13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27"/>
        </w:trPr>
        <w:tc>
          <w:tcPr>
            <w:tcW w:w="16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13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27"/>
        </w:trPr>
        <w:tc>
          <w:tcPr>
            <w:tcW w:w="16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13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21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1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29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44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0"/>
        </w:trPr>
        <w:tc>
          <w:tcPr>
            <w:tcW w:w="481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12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1,675.12</w:t>
            </w:r>
            <w:r>
              <w:rPr>
                <w:b/>
                <w:color w:val="000000"/>
                <w:sz w:val="20"/>
              </w:rPr>
              <w:t xml:space="preserve"> </w:t>
            </w:r>
          </w:p>
        </w:tc>
        <w:tc>
          <w:tcPr>
            <w:tcW w:w="1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1,627.32</w:t>
            </w:r>
            <w:r>
              <w:rPr>
                <w:b/>
                <w:color w:val="000000"/>
                <w:sz w:val="20"/>
              </w:rPr>
              <w:t xml:space="preserve"> </w:t>
            </w:r>
          </w:p>
        </w:tc>
        <w:tc>
          <w:tcPr>
            <w:tcW w:w="1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2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4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4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47.80</w:t>
            </w:r>
            <w:r>
              <w:rPr>
                <w:b/>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教育支出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1,384.62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1,336.82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47.80</w:t>
            </w:r>
            <w:r>
              <w:rPr>
                <w:b/>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普通教育</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1,384.62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1,336.82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47.80</w:t>
            </w:r>
            <w:r>
              <w:rPr>
                <w:b/>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2050203</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初中教育</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1,384.62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1,336.82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47.80</w:t>
            </w: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社会保障和就业支出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20805</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行政事业单位养老支出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616"/>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2080505</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机关事业单位基本养老保险缴费支出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66.86</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66.86</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2080506</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机关事业单位职业年金缴费支出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84.02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84.02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其他行政事业单位养老支出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34.03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34.03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卫生健康支出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21011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行政事业单位医疗</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事业单位医疗</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34.13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34.13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2101199</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其他行政事业单位医疗支出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20.93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20.93</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住房保障支出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39"/>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22102</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住房改革支出</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48"/>
        </w:trPr>
        <w:tc>
          <w:tcPr>
            <w:tcW w:w="16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2210201</w:t>
            </w:r>
          </w:p>
        </w:tc>
        <w:tc>
          <w:tcPr>
            <w:tcW w:w="31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住房公积金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50.52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50.52</w:t>
            </w: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bl>
    <w:p w:rsidR="00C174F8" w:rsidRDefault="0021165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p>
    <w:p w:rsidR="00C174F8" w:rsidRDefault="00C174F8">
      <w:pPr>
        <w:rPr>
          <w:rFonts w:cs="宋体" w:hint="default"/>
          <w:sz w:val="20"/>
          <w:szCs w:val="20"/>
        </w:rPr>
      </w:pPr>
    </w:p>
    <w:tbl>
      <w:tblPr>
        <w:tblW w:w="14880" w:type="dxa"/>
        <w:tblLayout w:type="fixed"/>
        <w:tblCellMar>
          <w:left w:w="0" w:type="dxa"/>
          <w:right w:w="0" w:type="dxa"/>
        </w:tblCellMar>
        <w:tblLook w:val="04A0" w:firstRow="1" w:lastRow="0" w:firstColumn="1" w:lastColumn="0" w:noHBand="0" w:noVBand="1"/>
      </w:tblPr>
      <w:tblGrid>
        <w:gridCol w:w="1745"/>
        <w:gridCol w:w="3246"/>
        <w:gridCol w:w="1646"/>
        <w:gridCol w:w="1645"/>
        <w:gridCol w:w="1648"/>
        <w:gridCol w:w="1629"/>
        <w:gridCol w:w="1631"/>
        <w:gridCol w:w="1690"/>
      </w:tblGrid>
      <w:tr w:rsidR="00C174F8">
        <w:trPr>
          <w:trHeight w:val="626"/>
        </w:trPr>
        <w:tc>
          <w:tcPr>
            <w:tcW w:w="14880" w:type="dxa"/>
            <w:gridSpan w:val="8"/>
            <w:tcBorders>
              <w:top w:val="nil"/>
              <w:left w:val="nil"/>
              <w:bottom w:val="nil"/>
              <w:right w:val="nil"/>
            </w:tcBorders>
            <w:shd w:val="clear" w:color="auto" w:fill="auto"/>
            <w:noWrap/>
            <w:tcMar>
              <w:top w:w="15" w:type="dxa"/>
              <w:left w:w="15" w:type="dxa"/>
              <w:right w:w="15" w:type="dxa"/>
            </w:tcMar>
            <w:vAlign w:val="bottom"/>
          </w:tcPr>
          <w:p w:rsidR="00C174F8" w:rsidRDefault="0021165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C174F8">
        <w:trPr>
          <w:trHeight w:val="320"/>
        </w:trPr>
        <w:tc>
          <w:tcPr>
            <w:tcW w:w="6637"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 xml:space="preserve">初级中学校 </w:t>
            </w:r>
          </w:p>
        </w:tc>
        <w:tc>
          <w:tcPr>
            <w:tcW w:w="1645"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公开03表</w:t>
            </w:r>
          </w:p>
        </w:tc>
      </w:tr>
      <w:tr w:rsidR="00C174F8">
        <w:trPr>
          <w:trHeight w:val="320"/>
        </w:trPr>
        <w:tc>
          <w:tcPr>
            <w:tcW w:w="6637"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31"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354"/>
        </w:trPr>
        <w:tc>
          <w:tcPr>
            <w:tcW w:w="4991"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211651">
            <w:pPr>
              <w:jc w:val="center"/>
              <w:textAlignment w:val="bottom"/>
              <w:rPr>
                <w:rFonts w:cs="宋体" w:hint="default"/>
                <w:b/>
                <w:color w:val="000000"/>
                <w:sz w:val="20"/>
                <w:szCs w:val="20"/>
              </w:rPr>
            </w:pPr>
            <w:r>
              <w:rPr>
                <w:rFonts w:cs="宋体"/>
                <w:b/>
                <w:color w:val="000000"/>
                <w:sz w:val="20"/>
                <w:szCs w:val="20"/>
              </w:rPr>
              <w:t>项目</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本年支出合计</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基本支出</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项目支出</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上缴上级支出</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经营支出</w:t>
            </w:r>
          </w:p>
        </w:tc>
        <w:tc>
          <w:tcPr>
            <w:tcW w:w="169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对附属单位补助支出</w:t>
            </w:r>
          </w:p>
        </w:tc>
      </w:tr>
      <w:tr w:rsidR="00C174F8">
        <w:trPr>
          <w:trHeight w:val="334"/>
        </w:trPr>
        <w:tc>
          <w:tcPr>
            <w:tcW w:w="1745"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功能分类科目编码</w:t>
            </w:r>
          </w:p>
        </w:tc>
        <w:tc>
          <w:tcPr>
            <w:tcW w:w="3246"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4"/>
        </w:trPr>
        <w:tc>
          <w:tcPr>
            <w:tcW w:w="174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246"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4"/>
        </w:trPr>
        <w:tc>
          <w:tcPr>
            <w:tcW w:w="174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246"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4"/>
        </w:trPr>
        <w:tc>
          <w:tcPr>
            <w:tcW w:w="174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3246"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74F8" w:rsidRDefault="00C174F8">
            <w:pPr>
              <w:jc w:val="center"/>
              <w:rPr>
                <w:rFonts w:cs="宋体"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4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2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69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54"/>
        </w:trPr>
        <w:tc>
          <w:tcPr>
            <w:tcW w:w="4991"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16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1,761.90</w:t>
            </w:r>
            <w:r>
              <w:rPr>
                <w:b/>
                <w:color w:val="000000"/>
                <w:sz w:val="20"/>
              </w:rPr>
              <w:t xml:space="preserve"> </w:t>
            </w:r>
          </w:p>
        </w:tc>
        <w:tc>
          <w:tcPr>
            <w:tcW w:w="1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1,518.04</w:t>
            </w:r>
            <w:r>
              <w:rPr>
                <w:b/>
                <w:color w:val="000000"/>
                <w:sz w:val="20"/>
              </w:rPr>
              <w:t xml:space="preserve"> </w:t>
            </w:r>
          </w:p>
        </w:tc>
        <w:tc>
          <w:tcPr>
            <w:tcW w:w="1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243.86</w:t>
            </w:r>
            <w:r>
              <w:rPr>
                <w:b/>
                <w:color w:val="000000"/>
                <w:sz w:val="20"/>
              </w:rPr>
              <w:t xml:space="preserve"> </w:t>
            </w:r>
          </w:p>
        </w:tc>
        <w:tc>
          <w:tcPr>
            <w:tcW w:w="16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6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教育支出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1,471.40</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1,227.55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243.86</w:t>
            </w:r>
            <w:r>
              <w:rPr>
                <w:b/>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20502</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普通教育</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1,471.40</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1,227.55</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243.86</w:t>
            </w:r>
            <w:r>
              <w:rPr>
                <w:b/>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2050203</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初中教育</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1,471.40</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1,227.55</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243.86</w:t>
            </w: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社会保障和就业支出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20805</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行政事业单位养老支出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184.91</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2080505</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机关事业单位基本养老保险缴费支出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66.86</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66.86</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2080506</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机关事业单位职业年金缴费支出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84.02</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84.02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2080599</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其他行政事业单位养老支出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34.03</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34.03</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卫生健康支出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21011</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行政事业单位医疗</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55.06</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2101102</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事业单位医疗</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34.13</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34.13</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2101199</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其他行政事业单位医疗支出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20.93</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20.93</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住房保障支出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69"/>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22102</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住房改革支出</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b/>
                <w:color w:val="000000"/>
                <w:sz w:val="20"/>
                <w:szCs w:val="20"/>
              </w:rPr>
              <w:t>50.52</w:t>
            </w:r>
            <w:r>
              <w:rPr>
                <w:b/>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r w:rsidR="00C174F8">
        <w:trPr>
          <w:trHeight w:val="395"/>
        </w:trPr>
        <w:tc>
          <w:tcPr>
            <w:tcW w:w="17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2210201</w:t>
            </w:r>
          </w:p>
        </w:tc>
        <w:tc>
          <w:tcPr>
            <w:tcW w:w="32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住房公积金</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50.52</w:t>
            </w:r>
            <w:r>
              <w:rPr>
                <w:color w:val="000000"/>
                <w:sz w:val="20"/>
              </w:rPr>
              <w:t xml:space="preserve"> </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rFonts w:cs="宋体"/>
                <w:color w:val="000000"/>
                <w:sz w:val="20"/>
                <w:szCs w:val="20"/>
              </w:rPr>
              <w:t>50.52</w:t>
            </w:r>
            <w:r>
              <w:rPr>
                <w:color w:val="000000"/>
                <w:sz w:val="20"/>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color w:val="000000"/>
                <w:sz w:val="20"/>
                <w:szCs w:val="20"/>
              </w:rPr>
            </w:pPr>
            <w:r>
              <w:rPr>
                <w:color w:val="000000"/>
                <w:sz w:val="20"/>
              </w:rPr>
              <w:t xml:space="preserve"> </w:t>
            </w:r>
          </w:p>
        </w:tc>
      </w:tr>
    </w:tbl>
    <w:p w:rsidR="00C174F8" w:rsidRDefault="0021165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p>
    <w:p w:rsidR="00C174F8" w:rsidRDefault="00211651">
      <w:pPr>
        <w:rPr>
          <w:rFonts w:cs="宋体" w:hint="default"/>
          <w:sz w:val="21"/>
          <w:szCs w:val="21"/>
        </w:rPr>
      </w:pPr>
      <w:r>
        <w:rPr>
          <w:rFonts w:cs="宋体"/>
          <w:sz w:val="21"/>
          <w:szCs w:val="21"/>
        </w:rPr>
        <w:br w:type="page"/>
      </w:r>
    </w:p>
    <w:p w:rsidR="00C174F8" w:rsidRDefault="00C174F8">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C174F8">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C174F8">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C174F8">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C174F8">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C174F8">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1,627.32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1,420.22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1,420.22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184.91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184.91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55.06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55.06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50.52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50.52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1,627.32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1,710.71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1,710.71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83.39</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83.39</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1,710.71</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1,710.71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1,710.71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bl>
    <w:p w:rsidR="00C174F8" w:rsidRDefault="0021165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C174F8">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C174F8" w:rsidRDefault="0021165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C174F8">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公开05表</w:t>
            </w:r>
          </w:p>
        </w:tc>
      </w:tr>
      <w:tr w:rsidR="00C174F8">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本年支出</w:t>
            </w:r>
          </w:p>
        </w:tc>
      </w:tr>
      <w:tr w:rsidR="00C174F8">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项目支出</w:t>
            </w:r>
          </w:p>
        </w:tc>
      </w:tr>
      <w:tr w:rsidR="00C174F8">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1,710.71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1,466.86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bCs/>
                <w:color w:val="000000"/>
                <w:sz w:val="20"/>
                <w:szCs w:val="20"/>
              </w:rPr>
              <w:t>243.86</w:t>
            </w:r>
            <w:r>
              <w:rPr>
                <w:b/>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1,420.22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1,176.36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243.86</w:t>
            </w:r>
            <w:r>
              <w:rPr>
                <w:b/>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1,420.22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1,176.36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243.86</w:t>
            </w:r>
            <w:r>
              <w:rPr>
                <w:b/>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2050203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初中教育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1,420.22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1,176.36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243.86</w:t>
            </w: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184.91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184.91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184.91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184.91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66.86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66.86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84.02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84.02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34.03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34.03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55.06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34.13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34.13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20.93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20.93</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50.52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50.52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50.52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b/>
                <w:color w:val="000000"/>
                <w:sz w:val="20"/>
                <w:szCs w:val="20"/>
              </w:rPr>
              <w:t>50.52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r w:rsidR="00C174F8">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50.52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rFonts w:cs="宋体"/>
                <w:color w:val="000000"/>
                <w:sz w:val="20"/>
                <w:szCs w:val="20"/>
              </w:rPr>
              <w:t>50.52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color w:val="000000"/>
                <w:sz w:val="20"/>
              </w:rPr>
              <w:t xml:space="preserve"> </w:t>
            </w:r>
          </w:p>
        </w:tc>
      </w:tr>
    </w:tbl>
    <w:p w:rsidR="00C174F8" w:rsidRDefault="00211651">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C174F8" w:rsidRDefault="00211651">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C174F8">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C174F8">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C174F8" w:rsidRDefault="0021165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C174F8">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C174F8">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rsidP="001545C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1545C4">
              <w:rPr>
                <w:rFonts w:cs="宋体"/>
                <w:b/>
                <w:color w:val="000000"/>
                <w:sz w:val="18"/>
                <w:szCs w:val="18"/>
              </w:rPr>
              <w:t>经济</w:t>
            </w:r>
            <w:r>
              <w:rPr>
                <w:rFonts w:cs="宋体"/>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rsidP="001545C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1545C4">
              <w:rPr>
                <w:rFonts w:cs="宋体"/>
                <w:b/>
                <w:color w:val="000000"/>
                <w:sz w:val="18"/>
                <w:szCs w:val="18"/>
              </w:rPr>
              <w:t>经济</w:t>
            </w:r>
            <w:r>
              <w:rPr>
                <w:rFonts w:cs="宋体"/>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rsidP="001545C4">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1545C4">
              <w:rPr>
                <w:rFonts w:cs="宋体"/>
                <w:b/>
                <w:color w:val="000000"/>
                <w:sz w:val="18"/>
                <w:szCs w:val="18"/>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C174F8">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spacing w:line="200" w:lineRule="exact"/>
              <w:jc w:val="center"/>
              <w:rPr>
                <w:rFonts w:cs="宋体" w:hint="default"/>
                <w:b/>
                <w:color w:val="000000"/>
                <w:sz w:val="18"/>
                <w:szCs w:val="18"/>
              </w:rPr>
            </w:pP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1,316.00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111.11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3.12</w:t>
            </w: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251.40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21.05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43.91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3.12</w:t>
            </w: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0.32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627.60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0.95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74.21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7.91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86.19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5.79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38.16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10.01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5.79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54.87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8.32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3.88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121.32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36.63</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9.93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23.04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3.70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2.60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31.20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10.99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1.15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19.42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C174F8">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spacing w:line="200" w:lineRule="exact"/>
              <w:jc w:val="right"/>
              <w:rPr>
                <w:rFonts w:cs="宋体" w:hint="default"/>
                <w:color w:val="000000"/>
                <w:sz w:val="18"/>
                <w:szCs w:val="18"/>
              </w:rPr>
            </w:pPr>
          </w:p>
        </w:tc>
      </w:tr>
      <w:tr w:rsidR="00C174F8">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74F8" w:rsidRDefault="00211651">
            <w:pPr>
              <w:wordWrap w:val="0"/>
              <w:spacing w:line="200" w:lineRule="exact"/>
              <w:jc w:val="right"/>
              <w:textAlignment w:val="bottom"/>
              <w:rPr>
                <w:rFonts w:cs="宋体" w:hint="default"/>
                <w:color w:val="000000"/>
                <w:sz w:val="18"/>
                <w:szCs w:val="18"/>
              </w:rPr>
            </w:pPr>
            <w:r>
              <w:rPr>
                <w:rFonts w:cs="宋体"/>
                <w:color w:val="000000"/>
                <w:sz w:val="18"/>
                <w:szCs w:val="18"/>
              </w:rPr>
              <w:t>1,352.63</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spacing w:line="200" w:lineRule="exact"/>
              <w:jc w:val="right"/>
              <w:textAlignment w:val="center"/>
              <w:rPr>
                <w:rFonts w:cs="宋体" w:hint="default"/>
                <w:color w:val="000000"/>
                <w:sz w:val="18"/>
                <w:szCs w:val="18"/>
              </w:rPr>
            </w:pPr>
            <w:r>
              <w:rPr>
                <w:rFonts w:cs="宋体"/>
                <w:color w:val="000000"/>
                <w:sz w:val="18"/>
                <w:szCs w:val="18"/>
              </w:rPr>
              <w:t>114.23</w:t>
            </w:r>
            <w:r>
              <w:rPr>
                <w:color w:val="000000"/>
                <w:sz w:val="18"/>
              </w:rPr>
              <w:t xml:space="preserve"> </w:t>
            </w:r>
          </w:p>
        </w:tc>
      </w:tr>
    </w:tbl>
    <w:p w:rsidR="00C174F8" w:rsidRDefault="00211651">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C174F8">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C174F8" w:rsidRDefault="0021165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C174F8">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公开07表</w:t>
            </w:r>
          </w:p>
        </w:tc>
      </w:tr>
      <w:tr w:rsidR="00C174F8">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年末结转和结余</w:t>
            </w:r>
          </w:p>
        </w:tc>
      </w:tr>
      <w:tr w:rsidR="00C174F8">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r>
    </w:tbl>
    <w:p w:rsidR="00C174F8" w:rsidRDefault="00211651">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rsidR="00C174F8" w:rsidRDefault="00211651">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C174F8">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C174F8" w:rsidRDefault="0021165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C174F8">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C174F8" w:rsidRDefault="0021165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公开08表</w:t>
            </w:r>
          </w:p>
        </w:tc>
      </w:tr>
      <w:tr w:rsidR="00C174F8">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174F8" w:rsidRDefault="00C174F8">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C174F8" w:rsidRDefault="0021165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211651">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74F8" w:rsidRDefault="00211651">
            <w:pPr>
              <w:jc w:val="center"/>
              <w:textAlignment w:val="bottom"/>
              <w:rPr>
                <w:rFonts w:cs="宋体" w:hint="default"/>
                <w:b/>
                <w:color w:val="000000"/>
                <w:sz w:val="20"/>
                <w:szCs w:val="20"/>
              </w:rPr>
            </w:pPr>
            <w:r>
              <w:rPr>
                <w:rFonts w:cs="宋体"/>
                <w:b/>
                <w:color w:val="000000"/>
                <w:sz w:val="20"/>
                <w:szCs w:val="20"/>
              </w:rPr>
              <w:t>本年支出</w:t>
            </w:r>
          </w:p>
        </w:tc>
      </w:tr>
      <w:tr w:rsidR="00C174F8">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项目支出</w:t>
            </w:r>
          </w:p>
        </w:tc>
      </w:tr>
      <w:tr w:rsidR="00C174F8">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74F8" w:rsidRDefault="00C174F8">
            <w:pPr>
              <w:jc w:val="center"/>
              <w:rPr>
                <w:rFonts w:cs="宋体" w:hint="default"/>
                <w:b/>
                <w:color w:val="000000"/>
                <w:sz w:val="20"/>
                <w:szCs w:val="20"/>
              </w:rPr>
            </w:pPr>
          </w:p>
        </w:tc>
      </w:tr>
      <w:tr w:rsidR="00C174F8">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74F8" w:rsidRDefault="00211651">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C174F8">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74F8" w:rsidRDefault="00211651">
            <w:pPr>
              <w:wordWrap w:val="0"/>
              <w:jc w:val="right"/>
              <w:textAlignment w:val="center"/>
              <w:rPr>
                <w:rFonts w:cs="宋体" w:hint="default"/>
                <w:b/>
                <w:color w:val="000000"/>
                <w:sz w:val="20"/>
                <w:szCs w:val="20"/>
              </w:rPr>
            </w:pPr>
            <w:r>
              <w:rPr>
                <w:b/>
                <w:color w:val="000000"/>
                <w:sz w:val="20"/>
              </w:rPr>
              <w:t xml:space="preserve"> </w:t>
            </w:r>
          </w:p>
        </w:tc>
      </w:tr>
    </w:tbl>
    <w:p w:rsidR="00C174F8" w:rsidRDefault="00211651">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C174F8">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C174F8">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C174F8" w:rsidRDefault="00C174F8">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C174F8">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C174F8" w:rsidRDefault="00211651">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C174F8" w:rsidRDefault="00C174F8">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C174F8" w:rsidRDefault="00C174F8">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C174F8" w:rsidRDefault="0021165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74F8">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C174F8">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r>
      <w:tr w:rsidR="00C174F8">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C174F8">
            <w:pPr>
              <w:spacing w:line="200" w:lineRule="exact"/>
              <w:jc w:val="right"/>
              <w:rPr>
                <w:rFonts w:cs="宋体" w:hint="default"/>
                <w:color w:val="000000"/>
                <w:sz w:val="16"/>
                <w:szCs w:val="16"/>
              </w:rPr>
            </w:pPr>
          </w:p>
        </w:tc>
      </w:tr>
      <w:tr w:rsidR="00C174F8">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211651">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74F8" w:rsidRDefault="0021165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211651">
            <w:pPr>
              <w:spacing w:line="200" w:lineRule="exact"/>
              <w:jc w:val="right"/>
              <w:textAlignment w:val="bottom"/>
              <w:rPr>
                <w:rFonts w:cs="宋体" w:hint="default"/>
                <w:color w:val="000000"/>
                <w:sz w:val="16"/>
                <w:szCs w:val="16"/>
              </w:rPr>
            </w:pPr>
            <w:r>
              <w:rPr>
                <w:rFonts w:cs="宋体"/>
                <w:color w:val="000000"/>
                <w:sz w:val="16"/>
                <w:szCs w:val="16"/>
              </w:rPr>
              <w:t>9.93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74F8" w:rsidRDefault="00C174F8">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74F8" w:rsidRDefault="00C174F8">
            <w:pPr>
              <w:spacing w:line="200" w:lineRule="exact"/>
              <w:jc w:val="right"/>
              <w:rPr>
                <w:rFonts w:cs="宋体" w:hint="default"/>
                <w:color w:val="000000"/>
                <w:sz w:val="16"/>
                <w:szCs w:val="16"/>
              </w:rPr>
            </w:pPr>
          </w:p>
        </w:tc>
      </w:tr>
    </w:tbl>
    <w:p w:rsidR="00C174F8" w:rsidRDefault="00211651">
      <w:pPr>
        <w:rPr>
          <w:rFonts w:cs="宋体" w:hint="default"/>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p>
    <w:p w:rsidR="00C174F8" w:rsidRDefault="00C174F8">
      <w:pPr>
        <w:rPr>
          <w:rFonts w:cs="宋体" w:hint="default"/>
          <w:sz w:val="20"/>
          <w:szCs w:val="20"/>
        </w:rPr>
      </w:pPr>
    </w:p>
    <w:p w:rsidR="00C174F8" w:rsidRDefault="00C174F8">
      <w:pPr>
        <w:rPr>
          <w:rFonts w:cs="宋体" w:hint="default"/>
          <w:sz w:val="20"/>
          <w:szCs w:val="20"/>
        </w:rPr>
      </w:pPr>
    </w:p>
    <w:p w:rsidR="00C174F8" w:rsidRDefault="00211651">
      <w:pPr>
        <w:rPr>
          <w:rFonts w:eastAsiaTheme="minorEastAsia" w:hint="default"/>
        </w:rPr>
      </w:pPr>
      <w:r>
        <w:rPr>
          <w:rFonts w:eastAsiaTheme="minorEastAsia"/>
        </w:rPr>
        <w:object w:dxaOrig="14687" w:dyaOrig="10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504.75pt" o:ole="">
            <v:imagedata r:id="rId10" o:title=""/>
          </v:shape>
          <o:OLEObject Type="Embed" ProgID="Excel.Sheet.12" ShapeID="_x0000_i1025" DrawAspect="Content" ObjectID="_1788856073" r:id="rId11"/>
        </w:object>
      </w:r>
      <w:r>
        <w:rPr>
          <w:rFonts w:eastAsiaTheme="minorEastAsia"/>
        </w:rPr>
        <w:object w:dxaOrig="15142" w:dyaOrig="10018">
          <v:shape id="_x0000_i1026" type="#_x0000_t75" style="width:756.75pt;height:501pt" o:ole="">
            <v:imagedata r:id="rId12" o:title=""/>
          </v:shape>
          <o:OLEObject Type="Embed" ProgID="Excel.Sheet.12" ShapeID="_x0000_i1026" DrawAspect="Content" ObjectID="_1788856074" r:id="rId13"/>
        </w:object>
      </w:r>
      <w:r>
        <w:rPr>
          <w:rFonts w:eastAsiaTheme="minorEastAsia"/>
        </w:rPr>
        <w:object w:dxaOrig="15213" w:dyaOrig="9716">
          <v:shape id="_x0000_i1027" type="#_x0000_t75" style="width:760.5pt;height:486pt" o:ole="">
            <v:imagedata r:id="rId14" o:title=""/>
          </v:shape>
          <o:OLEObject Type="Embed" ProgID="Excel.Sheet.12" ShapeID="_x0000_i1027" DrawAspect="Content" ObjectID="_1788856075" r:id="rId15"/>
        </w:object>
      </w:r>
      <w:r>
        <w:rPr>
          <w:rFonts w:eastAsiaTheme="minorEastAsia"/>
        </w:rPr>
        <w:object w:dxaOrig="15127" w:dyaOrig="10134">
          <v:shape id="_x0000_i1028" type="#_x0000_t75" style="width:756pt;height:507pt" o:ole="">
            <v:imagedata r:id="rId16" o:title=""/>
          </v:shape>
          <o:OLEObject Type="Embed" ProgID="Excel.Sheet.12" ShapeID="_x0000_i1028" DrawAspect="Content" ObjectID="_1788856076" r:id="rId17"/>
        </w:object>
      </w:r>
      <w:r>
        <w:rPr>
          <w:rFonts w:eastAsiaTheme="minorEastAsia"/>
        </w:rPr>
        <w:object w:dxaOrig="15532" w:dyaOrig="9724">
          <v:shape id="_x0000_i1029" type="#_x0000_t75" style="width:776.25pt;height:486pt" o:ole="">
            <v:imagedata r:id="rId18" o:title=""/>
          </v:shape>
          <o:OLEObject Type="Embed" ProgID="Excel.Sheet.12" ShapeID="_x0000_i1029" DrawAspect="Content" ObjectID="_1788856077" r:id="rId19"/>
        </w:object>
      </w:r>
      <w:r>
        <w:rPr>
          <w:rFonts w:eastAsiaTheme="minorEastAsia"/>
        </w:rPr>
        <w:object w:dxaOrig="15137" w:dyaOrig="9937">
          <v:shape id="_x0000_i1030" type="#_x0000_t75" style="width:756.75pt;height:496.5pt" o:ole="">
            <v:imagedata r:id="rId20" o:title=""/>
          </v:shape>
          <o:OLEObject Type="Embed" ProgID="Excel.Sheet.12" ShapeID="_x0000_i1030" DrawAspect="Content" ObjectID="_1788856078" r:id="rId21"/>
        </w:object>
      </w:r>
      <w:r>
        <w:rPr>
          <w:rFonts w:eastAsiaTheme="minorEastAsia"/>
        </w:rPr>
        <w:object w:dxaOrig="15295" w:dyaOrig="10029">
          <v:shape id="_x0000_i1031" type="#_x0000_t75" style="width:765pt;height:501.75pt" o:ole="">
            <v:imagedata r:id="rId22" o:title=""/>
          </v:shape>
          <o:OLEObject Type="Embed" ProgID="Excel.Sheet.12" ShapeID="_x0000_i1031" DrawAspect="Content" ObjectID="_1788856079" r:id="rId23"/>
        </w:object>
      </w:r>
      <w:r>
        <w:rPr>
          <w:rFonts w:eastAsiaTheme="minorEastAsia"/>
        </w:rPr>
        <w:object w:dxaOrig="15373" w:dyaOrig="10132">
          <v:shape id="_x0000_i1032" type="#_x0000_t75" style="width:768.75pt;height:506.25pt" o:ole="">
            <v:imagedata r:id="rId24" o:title=""/>
          </v:shape>
          <o:OLEObject Type="Embed" ProgID="Excel.Sheet.12" ShapeID="_x0000_i1032" DrawAspect="Content" ObjectID="_1788856080" r:id="rId25"/>
        </w:object>
      </w:r>
      <w:r>
        <w:rPr>
          <w:rFonts w:eastAsiaTheme="minorEastAsia"/>
        </w:rPr>
        <w:object w:dxaOrig="15380" w:dyaOrig="10061">
          <v:shape id="_x0000_i1033" type="#_x0000_t75" style="width:768.75pt;height:503.25pt" o:ole="">
            <v:imagedata r:id="rId26" o:title=""/>
          </v:shape>
          <o:OLEObject Type="Embed" ProgID="Excel.Sheet.12" ShapeID="_x0000_i1033" DrawAspect="Content" ObjectID="_1788856081" r:id="rId27"/>
        </w:object>
      </w:r>
      <w:r>
        <w:rPr>
          <w:rFonts w:eastAsiaTheme="minorEastAsia"/>
        </w:rPr>
        <w:object w:dxaOrig="15217" w:dyaOrig="10302">
          <v:shape id="_x0000_i1034" type="#_x0000_t75" style="width:760.5pt;height:515.25pt" o:ole="">
            <v:imagedata r:id="rId28" o:title=""/>
          </v:shape>
          <o:OLEObject Type="Embed" ProgID="Excel.Sheet.12" ShapeID="_x0000_i1034" DrawAspect="Content" ObjectID="_1788856082" r:id="rId29"/>
        </w:object>
      </w:r>
      <w:r>
        <w:rPr>
          <w:rFonts w:eastAsiaTheme="minorEastAsia"/>
        </w:rPr>
        <w:object w:dxaOrig="15029" w:dyaOrig="10697">
          <v:shape id="_x0000_i1035" type="#_x0000_t75" style="width:751.5pt;height:534.75pt" o:ole="">
            <v:imagedata r:id="rId30" o:title=""/>
          </v:shape>
          <o:OLEObject Type="Embed" ProgID="Excel.Sheet.12" ShapeID="_x0000_i1035" DrawAspect="Content" ObjectID="_1788856083" r:id="rId31"/>
        </w:object>
      </w:r>
      <w:r>
        <w:rPr>
          <w:rFonts w:eastAsiaTheme="minorEastAsia"/>
        </w:rPr>
        <w:object w:dxaOrig="14918" w:dyaOrig="9993">
          <v:shape id="_x0000_i1036" type="#_x0000_t75" style="width:746.25pt;height:499.5pt" o:ole="">
            <v:imagedata r:id="rId32" o:title=""/>
          </v:shape>
          <o:OLEObject Type="Embed" ProgID="Excel.Sheet.12" ShapeID="_x0000_i1036" DrawAspect="Content" ObjectID="_1788856084" r:id="rId33"/>
        </w:object>
      </w:r>
    </w:p>
    <w:p w:rsidR="00C174F8" w:rsidRDefault="00211651">
      <w:pPr>
        <w:rPr>
          <w:rFonts w:cs="宋体" w:hint="default"/>
          <w:sz w:val="21"/>
          <w:szCs w:val="21"/>
        </w:rPr>
      </w:pPr>
      <w:r>
        <w:rPr>
          <w:rFonts w:cs="宋体"/>
          <w:sz w:val="20"/>
          <w:szCs w:val="20"/>
        </w:rPr>
        <w:br/>
      </w:r>
    </w:p>
    <w:sectPr w:rsidR="00C174F8">
      <w:headerReference w:type="default" r:id="rId34"/>
      <w:footerReference w:type="default" r:id="rId35"/>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08" w:rsidRDefault="00F17A08">
      <w:pPr>
        <w:rPr>
          <w:rFonts w:hint="default"/>
        </w:rPr>
      </w:pPr>
      <w:r>
        <w:separator/>
      </w:r>
    </w:p>
  </w:endnote>
  <w:endnote w:type="continuationSeparator" w:id="0">
    <w:p w:rsidR="00F17A08" w:rsidRDefault="00F17A0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8" w:rsidRDefault="00F17A08">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174F8" w:rsidRDefault="00211651">
                <w:pPr>
                  <w:pStyle w:val="a4"/>
                  <w:rPr>
                    <w:rFonts w:hint="default"/>
                  </w:rPr>
                </w:pPr>
                <w:r>
                  <w:fldChar w:fldCharType="begin"/>
                </w:r>
                <w:r>
                  <w:instrText xml:space="preserve"> PAGE  \* MERGEFORMAT </w:instrText>
                </w:r>
                <w:r>
                  <w:fldChar w:fldCharType="separate"/>
                </w:r>
                <w:r w:rsidR="001545C4">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8" w:rsidRDefault="00F17A08">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C174F8" w:rsidRDefault="00211651">
                <w:pPr>
                  <w:pStyle w:val="a4"/>
                  <w:rPr>
                    <w:rFonts w:hint="default"/>
                  </w:rPr>
                </w:pPr>
                <w:r>
                  <w:t xml:space="preserve"> </w:t>
                </w:r>
                <w:r>
                  <w:fldChar w:fldCharType="begin"/>
                </w:r>
                <w:r>
                  <w:instrText>PAGE   \* MERGEFORMAT</w:instrText>
                </w:r>
                <w:r>
                  <w:fldChar w:fldCharType="separate"/>
                </w:r>
                <w:r w:rsidR="001545C4" w:rsidRPr="001545C4">
                  <w:rPr>
                    <w:rFonts w:hint="default"/>
                    <w:noProof/>
                    <w:lang w:val="zh-CN"/>
                  </w:rPr>
                  <w:t>-</w:t>
                </w:r>
                <w:r w:rsidR="001545C4">
                  <w:rPr>
                    <w:rFonts w:hint="default"/>
                    <w:noProof/>
                  </w:rPr>
                  <w:t xml:space="preserve"> 12 -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C174F8" w:rsidRDefault="00211651">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08" w:rsidRDefault="00F17A08">
      <w:pPr>
        <w:rPr>
          <w:rFonts w:hint="default"/>
        </w:rPr>
      </w:pPr>
      <w:r>
        <w:separator/>
      </w:r>
    </w:p>
  </w:footnote>
  <w:footnote w:type="continuationSeparator" w:id="0">
    <w:p w:rsidR="00F17A08" w:rsidRDefault="00F17A0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8" w:rsidRDefault="00C174F8">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5A211"/>
    <w:multiLevelType w:val="singleLevel"/>
    <w:tmpl w:val="BFC5A211"/>
    <w:lvl w:ilvl="0">
      <w:start w:val="5"/>
      <w:numFmt w:val="chineseCounting"/>
      <w:suff w:val="nothing"/>
      <w:lvlText w:val="（%1）"/>
      <w:lvlJc w:val="left"/>
      <w:rPr>
        <w:rFonts w:hint="eastAsia"/>
      </w:rPr>
    </w:lvl>
  </w:abstractNum>
  <w:abstractNum w:abstractNumId="1">
    <w:nsid w:val="C5339A02"/>
    <w:multiLevelType w:val="singleLevel"/>
    <w:tmpl w:val="C5339A0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545C4"/>
    <w:rsid w:val="001B6886"/>
    <w:rsid w:val="001D3BB7"/>
    <w:rsid w:val="00211651"/>
    <w:rsid w:val="002B254B"/>
    <w:rsid w:val="00466C9B"/>
    <w:rsid w:val="00550ABE"/>
    <w:rsid w:val="00770383"/>
    <w:rsid w:val="007819D4"/>
    <w:rsid w:val="00781EF3"/>
    <w:rsid w:val="007B419D"/>
    <w:rsid w:val="007B7C4B"/>
    <w:rsid w:val="007D3D39"/>
    <w:rsid w:val="00994AF7"/>
    <w:rsid w:val="009B67B8"/>
    <w:rsid w:val="009D2B67"/>
    <w:rsid w:val="00A566F9"/>
    <w:rsid w:val="00AF2751"/>
    <w:rsid w:val="00B03CCD"/>
    <w:rsid w:val="00BE2B89"/>
    <w:rsid w:val="00C10E9E"/>
    <w:rsid w:val="00C174F8"/>
    <w:rsid w:val="00C20C3E"/>
    <w:rsid w:val="00F17A0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F22D4C"/>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5864A7"/>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7B065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C0C6C"/>
    <w:rsid w:val="558E4E05"/>
    <w:rsid w:val="55BE2E85"/>
    <w:rsid w:val="56530F5D"/>
    <w:rsid w:val="567700D3"/>
    <w:rsid w:val="56FF7E9E"/>
    <w:rsid w:val="578867FC"/>
    <w:rsid w:val="5842572D"/>
    <w:rsid w:val="5A3B59D6"/>
    <w:rsid w:val="5AD134D8"/>
    <w:rsid w:val="5C1F6E31"/>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23713D"/>
    <w:rsid w:val="6B474EF5"/>
    <w:rsid w:val="6C0A5AC5"/>
    <w:rsid w:val="6C560CAE"/>
    <w:rsid w:val="6C576495"/>
    <w:rsid w:val="6CA64CAC"/>
    <w:rsid w:val="6CB6261B"/>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2.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___6.xls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___4.xlsx"/><Relationship Id="rId25" Type="http://schemas.openxmlformats.org/officeDocument/2006/relationships/package" Target="embeddings/Microsoft_Excel____8.xlsx"/><Relationship Id="rId33" Type="http://schemas.openxmlformats.org/officeDocument/2006/relationships/package" Target="embeddings/Microsoft_Excel____12.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___10.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__1.xls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Excel____3.xlsx"/><Relationship Id="rId23" Type="http://schemas.openxmlformats.org/officeDocument/2006/relationships/package" Target="embeddings/Microsoft_Excel____7.xls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Excel____5.xlsx"/><Relationship Id="rId31" Type="http://schemas.openxmlformats.org/officeDocument/2006/relationships/package" Target="embeddings/Microsoft_Excel____11.xlsx"/><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___9.xlsx"/><Relationship Id="rId30" Type="http://schemas.openxmlformats.org/officeDocument/2006/relationships/image" Target="media/image11.emf"/><Relationship Id="rId35"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1964</Words>
  <Characters>11198</Characters>
  <Application>Microsoft Office Word</Application>
  <DocSecurity>0</DocSecurity>
  <Lines>93</Lines>
  <Paragraphs>26</Paragraphs>
  <ScaleCrop>false</ScaleCrop>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13</cp:revision>
  <dcterms:created xsi:type="dcterms:W3CDTF">2024-07-11T02:00:00Z</dcterms:created>
  <dcterms:modified xsi:type="dcterms:W3CDTF">2024-09-26T03:40:00Z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