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46" w:rsidRDefault="003059E7">
      <w:pPr>
        <w:pStyle w:val="a6"/>
        <w:spacing w:before="0" w:beforeAutospacing="0"/>
        <w:jc w:val="center"/>
        <w:rPr>
          <w:rFonts w:asciiTheme="majorEastAsia" w:eastAsiaTheme="majorEastAsia" w:hAnsiTheme="majorEastAsia" w:cstheme="majorEastAsia" w:hint="default"/>
          <w:b/>
          <w:bCs/>
          <w:sz w:val="36"/>
          <w:szCs w:val="36"/>
        </w:rPr>
      </w:pPr>
      <w:r>
        <w:rPr>
          <w:rFonts w:asciiTheme="majorEastAsia" w:eastAsiaTheme="majorEastAsia" w:hAnsiTheme="majorEastAsia" w:cstheme="majorEastAsia"/>
          <w:b/>
          <w:bCs/>
          <w:sz w:val="36"/>
          <w:szCs w:val="36"/>
        </w:rPr>
        <w:t>丰都县南天湖镇三抚完全小学校</w:t>
      </w:r>
    </w:p>
    <w:p w:rsidR="001E028F" w:rsidRDefault="003059E7">
      <w:pPr>
        <w:pStyle w:val="a6"/>
        <w:spacing w:before="0" w:beforeAutospacing="0"/>
        <w:jc w:val="center"/>
        <w:rPr>
          <w:rFonts w:asciiTheme="majorEastAsia" w:eastAsiaTheme="majorEastAsia" w:hAnsiTheme="majorEastAsia" w:cstheme="majorEastAsia" w:hint="default"/>
          <w:b/>
          <w:bCs/>
          <w:sz w:val="36"/>
          <w:szCs w:val="36"/>
          <w:shd w:val="clear" w:color="auto" w:fill="FFFFFF"/>
        </w:rPr>
      </w:pPr>
      <w:r>
        <w:rPr>
          <w:rFonts w:asciiTheme="majorEastAsia" w:eastAsiaTheme="majorEastAsia" w:hAnsiTheme="majorEastAsia" w:cstheme="majorEastAsia"/>
          <w:b/>
          <w:bCs/>
          <w:sz w:val="36"/>
          <w:szCs w:val="36"/>
          <w:shd w:val="clear" w:color="auto" w:fill="FFFFFF"/>
        </w:rPr>
        <w:t>2023年度决算公开说明</w:t>
      </w:r>
    </w:p>
    <w:p w:rsidR="001E028F" w:rsidRDefault="003059E7">
      <w:pPr>
        <w:pStyle w:val="a6"/>
        <w:shd w:val="clear" w:color="auto" w:fill="FFFFFF"/>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一、单位基本情况</w:t>
      </w:r>
    </w:p>
    <w:p w:rsidR="001E028F" w:rsidRDefault="003059E7">
      <w:pPr>
        <w:pStyle w:val="a6"/>
        <w:shd w:val="clear" w:color="auto" w:fill="FFFFFF"/>
        <w:ind w:firstLine="420"/>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（一）职能职责</w:t>
      </w:r>
    </w:p>
    <w:p w:rsidR="001E028F" w:rsidRDefault="003059E7">
      <w:pPr>
        <w:shd w:val="solid" w:color="FFFFFF" w:fill="auto"/>
        <w:autoSpaceDN w:val="0"/>
        <w:spacing w:line="560" w:lineRule="exact"/>
        <w:ind w:firstLineChars="200" w:firstLine="640"/>
        <w:rPr>
          <w:rFonts w:asciiTheme="minorEastAsia" w:eastAsiaTheme="minorEastAsia" w:hAnsiTheme="minorEastAsia" w:cstheme="minorEastAsia" w:hint="default"/>
          <w:sz w:val="32"/>
          <w:szCs w:val="32"/>
          <w:shd w:val="clear" w:color="auto" w:fill="FFFFFF"/>
        </w:rPr>
      </w:pPr>
      <w:r>
        <w:rPr>
          <w:rFonts w:asciiTheme="minorEastAsia" w:eastAsiaTheme="minorEastAsia" w:hAnsiTheme="minorEastAsia" w:cstheme="minorEastAsia"/>
          <w:sz w:val="32"/>
          <w:szCs w:val="32"/>
          <w:shd w:val="clear" w:color="auto" w:fill="FFFFFF"/>
        </w:rPr>
        <w:t>实施小学义务教育,促进基础教育发展。承担辖区内小学义务教育;推进课程改革和教法学法改革;提高学生综合素质;培养学生多样化发展;培养学生良好品德;从事小学义务教育及学前教育的相关社会服务。</w:t>
      </w:r>
    </w:p>
    <w:p w:rsidR="001E028F" w:rsidRDefault="003059E7">
      <w:pPr>
        <w:pStyle w:val="a6"/>
        <w:shd w:val="clear" w:color="auto" w:fill="FFFFFF"/>
        <w:ind w:firstLine="420"/>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（二）机构设置</w:t>
      </w:r>
    </w:p>
    <w:p w:rsidR="001E028F" w:rsidRDefault="003059E7">
      <w:pPr>
        <w:shd w:val="solid" w:color="FFFFFF" w:fill="auto"/>
        <w:autoSpaceDN w:val="0"/>
        <w:spacing w:line="560" w:lineRule="exact"/>
        <w:ind w:firstLineChars="200" w:firstLine="640"/>
        <w:rPr>
          <w:rFonts w:asciiTheme="minorEastAsia" w:eastAsiaTheme="minorEastAsia" w:hAnsiTheme="minorEastAsia" w:cstheme="minorEastAsia" w:hint="default"/>
          <w:sz w:val="32"/>
          <w:szCs w:val="32"/>
          <w:shd w:val="clear" w:color="auto" w:fill="FFFFFF"/>
        </w:rPr>
      </w:pPr>
      <w:r>
        <w:rPr>
          <w:rFonts w:asciiTheme="minorEastAsia" w:eastAsiaTheme="minorEastAsia" w:hAnsiTheme="minorEastAsia" w:cstheme="minorEastAsia"/>
          <w:sz w:val="32"/>
          <w:szCs w:val="32"/>
          <w:shd w:val="clear" w:color="auto" w:fill="FFFFFF"/>
        </w:rPr>
        <w:t>学校设有德育处、教务处、后勤处。</w:t>
      </w:r>
    </w:p>
    <w:p w:rsidR="001E028F" w:rsidRDefault="003059E7">
      <w:pPr>
        <w:pStyle w:val="a6"/>
        <w:shd w:val="clear" w:color="auto" w:fill="FFFFFF"/>
        <w:rPr>
          <w:rStyle w:val="a8"/>
          <w:rFonts w:asciiTheme="majorEastAsia" w:eastAsiaTheme="majorEastAsia" w:hAnsiTheme="majorEastAsia" w:cstheme="majorEastAsia" w:hint="default"/>
          <w:sz w:val="32"/>
          <w:szCs w:val="32"/>
          <w:shd w:val="clear" w:color="auto" w:fill="FFFFFF"/>
        </w:rPr>
      </w:pPr>
      <w:r>
        <w:rPr>
          <w:rStyle w:val="a8"/>
          <w:rFonts w:asciiTheme="majorEastAsia" w:eastAsiaTheme="majorEastAsia" w:hAnsiTheme="majorEastAsia" w:cstheme="majorEastAsia"/>
          <w:sz w:val="32"/>
          <w:szCs w:val="32"/>
          <w:shd w:val="clear" w:color="auto" w:fill="FFFFFF"/>
        </w:rPr>
        <w:t>二、单位决算情况说明</w:t>
      </w:r>
    </w:p>
    <w:p w:rsidR="001E028F" w:rsidRDefault="003059E7">
      <w:pPr>
        <w:pStyle w:val="1"/>
        <w:autoSpaceDE w:val="0"/>
        <w:ind w:firstLine="643"/>
        <w:rPr>
          <w:rFonts w:asciiTheme="majorEastAsia" w:eastAsiaTheme="majorEastAsia" w:hAnsiTheme="majorEastAsia" w:cstheme="majorEastAsia"/>
          <w:b/>
          <w:bCs/>
          <w:sz w:val="32"/>
          <w:szCs w:val="32"/>
          <w:shd w:val="clear" w:color="auto" w:fill="FFFFFF"/>
        </w:rPr>
      </w:pPr>
      <w:r>
        <w:rPr>
          <w:rFonts w:asciiTheme="majorEastAsia" w:eastAsiaTheme="majorEastAsia" w:hAnsiTheme="majorEastAsia" w:cstheme="majorEastAsia" w:hint="eastAsia"/>
          <w:b/>
          <w:bCs/>
          <w:sz w:val="32"/>
          <w:szCs w:val="32"/>
          <w:shd w:val="clear" w:color="auto" w:fill="FFFFFF"/>
        </w:rPr>
        <w:t>（一）收入支出决算总体情况说明。</w:t>
      </w:r>
    </w:p>
    <w:p w:rsidR="001E028F" w:rsidRDefault="003059E7">
      <w:pPr>
        <w:shd w:val="solid" w:color="FFFFFF" w:fill="auto"/>
        <w:autoSpaceDN w:val="0"/>
        <w:spacing w:line="560" w:lineRule="exact"/>
        <w:ind w:firstLineChars="200" w:firstLine="643"/>
        <w:rPr>
          <w:rFonts w:asciiTheme="minorEastAsia" w:eastAsiaTheme="minorEastAsia" w:hAnsiTheme="minorEastAsia" w:cstheme="minorEastAsia" w:hint="default"/>
          <w:sz w:val="32"/>
          <w:szCs w:val="32"/>
          <w:shd w:val="clear" w:color="auto" w:fill="FFFFFF"/>
        </w:rPr>
      </w:pPr>
      <w:r>
        <w:rPr>
          <w:rStyle w:val="a8"/>
          <w:rFonts w:asciiTheme="majorEastAsia" w:eastAsiaTheme="majorEastAsia" w:hAnsiTheme="majorEastAsia" w:cstheme="majorEastAsia"/>
          <w:sz w:val="32"/>
          <w:szCs w:val="32"/>
          <w:shd w:val="clear" w:color="auto" w:fill="FFFFFF"/>
        </w:rPr>
        <w:t>1.总体情况。</w:t>
      </w:r>
      <w:r>
        <w:rPr>
          <w:rFonts w:asciiTheme="minorEastAsia" w:eastAsiaTheme="minorEastAsia" w:hAnsiTheme="minorEastAsia" w:cstheme="minorEastAsia"/>
          <w:sz w:val="32"/>
          <w:szCs w:val="32"/>
          <w:shd w:val="clear" w:color="auto" w:fill="FFFFFF"/>
        </w:rPr>
        <w:t>2023年度收入总计1214.80万元，支出总计1214.80万元。收支较上年决算数增加275.57万元，增长29.34%，主要原因是人员工资调整和超额绩效增加。</w:t>
      </w:r>
    </w:p>
    <w:p w:rsidR="001E028F" w:rsidRDefault="003059E7">
      <w:pPr>
        <w:pStyle w:val="a6"/>
        <w:snapToGrid w:val="0"/>
        <w:spacing w:before="0" w:beforeAutospacing="0" w:after="0" w:afterAutospacing="0" w:line="600" w:lineRule="exact"/>
        <w:ind w:firstLineChars="200" w:firstLine="643"/>
        <w:jc w:val="both"/>
        <w:rPr>
          <w:rFonts w:asciiTheme="minorEastAsia" w:eastAsiaTheme="minorEastAsia" w:hAnsiTheme="minorEastAsia" w:cstheme="minorEastAsia" w:hint="default"/>
          <w:sz w:val="32"/>
          <w:szCs w:val="32"/>
          <w:shd w:val="clear" w:color="auto" w:fill="FFFFFF"/>
        </w:rPr>
      </w:pPr>
      <w:r>
        <w:rPr>
          <w:rStyle w:val="a8"/>
          <w:rFonts w:asciiTheme="majorEastAsia" w:eastAsiaTheme="majorEastAsia" w:hAnsiTheme="majorEastAsia" w:cstheme="majorEastAsia"/>
          <w:sz w:val="32"/>
          <w:szCs w:val="32"/>
          <w:shd w:val="clear" w:color="auto" w:fill="FFFFFF"/>
        </w:rPr>
        <w:t>2.收入情况。</w:t>
      </w:r>
      <w:r>
        <w:rPr>
          <w:rFonts w:asciiTheme="minorEastAsia" w:eastAsiaTheme="minorEastAsia" w:hAnsiTheme="minorEastAsia" w:cstheme="minorEastAsia"/>
          <w:sz w:val="32"/>
          <w:szCs w:val="32"/>
          <w:shd w:val="clear" w:color="auto" w:fill="FFFFFF"/>
        </w:rPr>
        <w:t>2023年度收入合计1116.20万元，较上年决算数增加177.56万元，增长18.92%，主要原因是人员工资调整和超额绩效增加。其中：财政拨款收入1073.63万元，占96.19%；事业收入19.62万元，占1.76%；经营收入0.00</w:t>
      </w:r>
      <w:r>
        <w:rPr>
          <w:rFonts w:asciiTheme="minorEastAsia" w:eastAsiaTheme="minorEastAsia" w:hAnsiTheme="minorEastAsia" w:cstheme="minorEastAsia"/>
          <w:sz w:val="32"/>
          <w:szCs w:val="32"/>
          <w:shd w:val="clear" w:color="auto" w:fill="FFFFFF"/>
        </w:rPr>
        <w:lastRenderedPageBreak/>
        <w:t>万元，占0.00%；其他收入22.95万元，占2.06%。此外，使用非财政拨款结余和专用结余0.00万元，年初结转和结余98.60万元。</w:t>
      </w:r>
    </w:p>
    <w:p w:rsidR="001E028F" w:rsidRDefault="003059E7">
      <w:pPr>
        <w:pStyle w:val="a6"/>
        <w:snapToGrid w:val="0"/>
        <w:spacing w:before="0" w:beforeAutospacing="0" w:after="0" w:afterAutospacing="0" w:line="600" w:lineRule="exact"/>
        <w:ind w:firstLineChars="200" w:firstLine="643"/>
        <w:jc w:val="both"/>
        <w:rPr>
          <w:rFonts w:asciiTheme="minorEastAsia" w:eastAsiaTheme="minorEastAsia" w:hAnsiTheme="minorEastAsia" w:cstheme="minorEastAsia" w:hint="default"/>
          <w:sz w:val="32"/>
          <w:szCs w:val="32"/>
          <w:shd w:val="clear" w:color="auto" w:fill="FFFFFF"/>
        </w:rPr>
      </w:pPr>
      <w:r>
        <w:rPr>
          <w:rStyle w:val="a8"/>
          <w:rFonts w:asciiTheme="majorEastAsia" w:eastAsiaTheme="majorEastAsia" w:hAnsiTheme="majorEastAsia" w:cstheme="majorEastAsia"/>
          <w:sz w:val="32"/>
          <w:szCs w:val="32"/>
          <w:shd w:val="clear" w:color="auto" w:fill="FFFFFF"/>
        </w:rPr>
        <w:t>3.支出情况。</w:t>
      </w:r>
      <w:r>
        <w:rPr>
          <w:rFonts w:asciiTheme="minorEastAsia" w:eastAsiaTheme="minorEastAsia" w:hAnsiTheme="minorEastAsia" w:cstheme="minorEastAsia"/>
          <w:sz w:val="32"/>
          <w:szCs w:val="32"/>
          <w:shd w:val="clear" w:color="auto" w:fill="FFFFFF"/>
        </w:rPr>
        <w:t>2023年度支出合计1202.25万元，较上年决算数增加276.36万元，增长29.85%，主要原因是人员工资调整和超额绩效增加。其中：基本支出1014.47万元，占84.38%；项目支出187.79万元，占15.62%；经营支出0.00万元，占0.00%。此外，结余分配0.00万元。</w:t>
      </w:r>
    </w:p>
    <w:p w:rsidR="001E028F" w:rsidRDefault="003059E7">
      <w:pPr>
        <w:pStyle w:val="a6"/>
        <w:snapToGrid w:val="0"/>
        <w:spacing w:before="0" w:beforeAutospacing="0" w:after="0" w:afterAutospacing="0" w:line="600" w:lineRule="exact"/>
        <w:ind w:firstLineChars="200" w:firstLine="643"/>
        <w:jc w:val="both"/>
        <w:rPr>
          <w:rFonts w:asciiTheme="minorEastAsia" w:eastAsiaTheme="minorEastAsia" w:hAnsiTheme="minorEastAsia" w:cstheme="minorEastAsia" w:hint="default"/>
          <w:sz w:val="32"/>
          <w:szCs w:val="32"/>
          <w:shd w:val="clear" w:color="auto" w:fill="FFFFFF"/>
        </w:rPr>
      </w:pPr>
      <w:r>
        <w:rPr>
          <w:rStyle w:val="a8"/>
          <w:rFonts w:asciiTheme="majorEastAsia" w:eastAsiaTheme="majorEastAsia" w:hAnsiTheme="majorEastAsia" w:cstheme="majorEastAsia"/>
          <w:sz w:val="32"/>
          <w:szCs w:val="32"/>
          <w:shd w:val="clear" w:color="auto" w:fill="FFFFFF"/>
        </w:rPr>
        <w:t>4.结转结余情况。</w:t>
      </w:r>
      <w:r>
        <w:rPr>
          <w:rFonts w:asciiTheme="minorEastAsia" w:eastAsiaTheme="minorEastAsia" w:hAnsiTheme="minorEastAsia" w:cstheme="minorEastAsia"/>
          <w:sz w:val="32"/>
          <w:szCs w:val="32"/>
          <w:shd w:val="clear" w:color="auto" w:fill="FFFFFF"/>
        </w:rPr>
        <w:t>2023年度年末结转和结余12.55万元，较上年决算数减少0.79万元，下降5.92%，主要原因是2022年学生课后服务费一部分是2023年产生的支出。</w:t>
      </w:r>
    </w:p>
    <w:p w:rsidR="001E028F" w:rsidRDefault="003059E7">
      <w:pPr>
        <w:pStyle w:val="1"/>
        <w:autoSpaceDE w:val="0"/>
        <w:ind w:firstLine="643"/>
        <w:rPr>
          <w:rFonts w:asciiTheme="majorEastAsia" w:eastAsiaTheme="majorEastAsia" w:hAnsiTheme="majorEastAsia" w:cstheme="majorEastAsia"/>
          <w:b/>
          <w:bCs/>
          <w:sz w:val="32"/>
          <w:szCs w:val="32"/>
          <w:shd w:val="clear" w:color="auto" w:fill="FFFFFF"/>
        </w:rPr>
      </w:pPr>
      <w:r>
        <w:rPr>
          <w:rFonts w:asciiTheme="majorEastAsia" w:eastAsiaTheme="majorEastAsia" w:hAnsiTheme="majorEastAsia" w:cstheme="majorEastAsia" w:hint="eastAsia"/>
          <w:b/>
          <w:bCs/>
          <w:sz w:val="32"/>
          <w:szCs w:val="32"/>
          <w:shd w:val="clear" w:color="auto" w:fill="FFFFFF"/>
        </w:rPr>
        <w:t>（二）财政拨款收入支出决算总体情况说明</w:t>
      </w:r>
    </w:p>
    <w:p w:rsidR="001E028F" w:rsidRDefault="003059E7">
      <w:pPr>
        <w:pStyle w:val="a6"/>
        <w:snapToGrid w:val="0"/>
        <w:spacing w:before="0" w:beforeAutospacing="0" w:after="0" w:afterAutospacing="0" w:line="600" w:lineRule="exact"/>
        <w:ind w:firstLineChars="200" w:firstLine="640"/>
        <w:jc w:val="both"/>
        <w:rPr>
          <w:rFonts w:asciiTheme="minorEastAsia" w:eastAsiaTheme="minorEastAsia" w:hAnsiTheme="minorEastAsia" w:cstheme="minorEastAsia" w:hint="default"/>
          <w:sz w:val="32"/>
          <w:szCs w:val="32"/>
          <w:shd w:val="clear" w:color="auto" w:fill="FFFFFF"/>
        </w:rPr>
      </w:pPr>
      <w:r>
        <w:rPr>
          <w:rFonts w:asciiTheme="minorEastAsia" w:eastAsiaTheme="minorEastAsia" w:hAnsiTheme="minorEastAsia" w:cstheme="minorEastAsia"/>
          <w:sz w:val="32"/>
          <w:szCs w:val="32"/>
          <w:shd w:val="clear" w:color="auto" w:fill="FFFFFF"/>
        </w:rPr>
        <w:t>2023年度财政拨款收、支总计1158.89万元。与2022年相比，财政拨款收、支总计各增加247.79万元，增长27.20%。主要原因是人员工资调整和超额绩效增加。</w:t>
      </w:r>
    </w:p>
    <w:p w:rsidR="001E028F" w:rsidRDefault="003059E7">
      <w:pPr>
        <w:pStyle w:val="1"/>
        <w:autoSpaceDE w:val="0"/>
        <w:ind w:firstLine="643"/>
        <w:rPr>
          <w:rFonts w:asciiTheme="majorEastAsia" w:eastAsiaTheme="majorEastAsia" w:hAnsiTheme="majorEastAsia" w:cstheme="majorEastAsia"/>
          <w:b/>
          <w:bCs/>
          <w:sz w:val="32"/>
          <w:szCs w:val="32"/>
          <w:shd w:val="clear" w:color="auto" w:fill="FFFFFF"/>
        </w:rPr>
      </w:pPr>
      <w:r>
        <w:rPr>
          <w:rFonts w:asciiTheme="majorEastAsia" w:eastAsiaTheme="majorEastAsia" w:hAnsiTheme="majorEastAsia" w:cstheme="majorEastAsia" w:hint="eastAsia"/>
          <w:b/>
          <w:bCs/>
          <w:sz w:val="32"/>
          <w:szCs w:val="32"/>
          <w:shd w:val="clear" w:color="auto" w:fill="FFFFFF"/>
        </w:rPr>
        <w:t>（三）一般公共预算财政拨款收入支出决算情况说明</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1.收入情况。</w:t>
      </w:r>
      <w:r>
        <w:rPr>
          <w:rFonts w:asciiTheme="minorEastAsia" w:eastAsiaTheme="minorEastAsia" w:hAnsiTheme="minorEastAsia" w:cstheme="minorEastAsia"/>
          <w:sz w:val="32"/>
          <w:szCs w:val="32"/>
          <w:shd w:val="clear" w:color="auto" w:fill="FFFFFF"/>
        </w:rPr>
        <w:t>2023年度一般公共预算财政拨款收入</w:t>
      </w:r>
      <w:r>
        <w:rPr>
          <w:rFonts w:asciiTheme="minorEastAsia" w:eastAsiaTheme="minorEastAsia" w:hAnsiTheme="minorEastAsia" w:cstheme="minorEastAsia"/>
          <w:sz w:val="32"/>
          <w:szCs w:val="32"/>
        </w:rPr>
        <w:t>1073.63</w:t>
      </w:r>
      <w:r>
        <w:rPr>
          <w:rFonts w:asciiTheme="minorEastAsia" w:eastAsiaTheme="minorEastAsia" w:hAnsiTheme="minorEastAsia" w:cstheme="minorEastAsia"/>
          <w:sz w:val="32"/>
          <w:szCs w:val="32"/>
          <w:shd w:val="clear" w:color="auto" w:fill="FFFFFF"/>
        </w:rPr>
        <w:t>万元，较上年决算数增加162.53万元，增长17.84%。主要原因是人员工资调整和超额绩效增加。较年初预算数增加314.55万元，增长41.44%。主要原因是人员工资调整和超额绩效增加。此外，年初财政拨款结转和结余</w:t>
      </w:r>
      <w:r>
        <w:rPr>
          <w:rFonts w:asciiTheme="majorEastAsia" w:eastAsiaTheme="majorEastAsia" w:hAnsiTheme="majorEastAsia" w:cstheme="majorEastAsia"/>
          <w:sz w:val="32"/>
          <w:szCs w:val="32"/>
        </w:rPr>
        <w:t>85.26</w:t>
      </w:r>
      <w:r>
        <w:rPr>
          <w:rFonts w:asciiTheme="majorEastAsia" w:eastAsiaTheme="majorEastAsia" w:hAnsiTheme="majorEastAsia" w:cstheme="majorEastAsia"/>
          <w:sz w:val="32"/>
          <w:szCs w:val="32"/>
          <w:shd w:val="clear" w:color="auto" w:fill="FFFFFF"/>
        </w:rPr>
        <w:t>万元。</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shd w:val="clear" w:color="auto" w:fill="FFFFFF"/>
        </w:rPr>
      </w:pPr>
      <w:r>
        <w:rPr>
          <w:rStyle w:val="a8"/>
          <w:rFonts w:asciiTheme="majorEastAsia" w:eastAsiaTheme="majorEastAsia" w:hAnsiTheme="majorEastAsia" w:cstheme="majorEastAsia"/>
          <w:sz w:val="32"/>
          <w:szCs w:val="32"/>
          <w:shd w:val="clear" w:color="auto" w:fill="FFFFFF"/>
        </w:rPr>
        <w:t>2.支出情况。</w:t>
      </w:r>
      <w:r>
        <w:rPr>
          <w:rFonts w:asciiTheme="majorEastAsia" w:eastAsiaTheme="majorEastAsia" w:hAnsiTheme="majorEastAsia" w:cstheme="majorEastAsia"/>
          <w:sz w:val="32"/>
          <w:szCs w:val="32"/>
          <w:shd w:val="clear" w:color="auto" w:fill="FFFFFF"/>
        </w:rPr>
        <w:t>2023年度一般公共预算财政拨款支出</w:t>
      </w:r>
      <w:r>
        <w:rPr>
          <w:rFonts w:asciiTheme="majorEastAsia" w:eastAsiaTheme="majorEastAsia" w:hAnsiTheme="majorEastAsia" w:cstheme="majorEastAsia"/>
          <w:sz w:val="32"/>
          <w:szCs w:val="32"/>
        </w:rPr>
        <w:t>1158.89</w:t>
      </w:r>
      <w:r>
        <w:rPr>
          <w:rFonts w:asciiTheme="majorEastAsia" w:eastAsiaTheme="majorEastAsia" w:hAnsiTheme="majorEastAsia" w:cstheme="majorEastAsia"/>
          <w:sz w:val="32"/>
          <w:szCs w:val="32"/>
          <w:shd w:val="clear" w:color="auto" w:fill="FFFFFF"/>
        </w:rPr>
        <w:t>万元，较上年决算数增加247.79万元，增长27.20%。</w:t>
      </w:r>
      <w:r>
        <w:rPr>
          <w:rFonts w:asciiTheme="majorEastAsia" w:eastAsiaTheme="majorEastAsia" w:hAnsiTheme="majorEastAsia" w:cstheme="majorEastAsia"/>
          <w:sz w:val="32"/>
          <w:szCs w:val="32"/>
          <w:shd w:val="clear" w:color="auto" w:fill="FFFFFF"/>
        </w:rPr>
        <w:lastRenderedPageBreak/>
        <w:t>主要原因是人员工资调整和超额绩效增加。较年初预算数增加399.81万元，增长52.67%。主要原因是人员工资调整和超额绩效增加。</w:t>
      </w:r>
    </w:p>
    <w:p w:rsidR="001E028F" w:rsidRDefault="003059E7">
      <w:pPr>
        <w:pStyle w:val="a6"/>
        <w:snapToGrid w:val="0"/>
        <w:spacing w:before="0" w:beforeAutospacing="0" w:after="0" w:afterAutospacing="0" w:line="600" w:lineRule="exact"/>
        <w:ind w:firstLineChars="200" w:firstLine="643"/>
        <w:jc w:val="both"/>
        <w:rPr>
          <w:rFonts w:asciiTheme="minorEastAsia" w:eastAsiaTheme="minorEastAsia" w:hAnsiTheme="minorEastAsia" w:cstheme="minorEastAsia" w:hint="default"/>
          <w:sz w:val="32"/>
          <w:szCs w:val="32"/>
        </w:rPr>
      </w:pPr>
      <w:r>
        <w:rPr>
          <w:rStyle w:val="a8"/>
          <w:rFonts w:asciiTheme="majorEastAsia" w:eastAsiaTheme="majorEastAsia" w:hAnsiTheme="majorEastAsia" w:cstheme="majorEastAsia"/>
          <w:sz w:val="32"/>
          <w:szCs w:val="32"/>
          <w:shd w:val="clear" w:color="auto" w:fill="FFFFFF"/>
        </w:rPr>
        <w:t>3.结转结余情况。</w:t>
      </w:r>
      <w:r>
        <w:rPr>
          <w:rFonts w:asciiTheme="minorEastAsia" w:eastAsiaTheme="minorEastAsia" w:hAnsiTheme="minorEastAsia" w:cstheme="minorEastAsia"/>
          <w:sz w:val="32"/>
          <w:szCs w:val="32"/>
          <w:shd w:val="clear" w:color="auto" w:fill="FFFFFF"/>
        </w:rPr>
        <w:t>2023年度年末一般公共预算财政拨款结转和结余</w:t>
      </w:r>
      <w:r>
        <w:rPr>
          <w:rFonts w:asciiTheme="minorEastAsia" w:eastAsiaTheme="minorEastAsia" w:hAnsiTheme="minorEastAsia" w:cstheme="minorEastAsia"/>
          <w:sz w:val="32"/>
          <w:szCs w:val="32"/>
        </w:rPr>
        <w:t>0.00</w:t>
      </w:r>
      <w:r>
        <w:rPr>
          <w:rFonts w:asciiTheme="minorEastAsia" w:eastAsiaTheme="minorEastAsia" w:hAnsiTheme="minorEastAsia" w:cstheme="minorEastAsia"/>
          <w:sz w:val="32"/>
          <w:szCs w:val="32"/>
          <w:shd w:val="clear" w:color="auto" w:fill="FFFFFF"/>
        </w:rPr>
        <w:t>万元，较上年</w:t>
      </w:r>
      <w:proofErr w:type="gramStart"/>
      <w:r>
        <w:rPr>
          <w:rFonts w:asciiTheme="minorEastAsia" w:eastAsiaTheme="minorEastAsia" w:hAnsiTheme="minorEastAsia" w:cstheme="minorEastAsia"/>
          <w:sz w:val="32"/>
          <w:szCs w:val="32"/>
          <w:shd w:val="clear" w:color="auto" w:fill="FFFFFF"/>
        </w:rPr>
        <w:t>决算数无增减</w:t>
      </w:r>
      <w:proofErr w:type="gramEnd"/>
      <w:r>
        <w:rPr>
          <w:rFonts w:asciiTheme="minorEastAsia" w:eastAsiaTheme="minorEastAsia" w:hAnsiTheme="minorEastAsia" w:cstheme="minorEastAsia"/>
          <w:sz w:val="32"/>
          <w:szCs w:val="32"/>
          <w:shd w:val="clear" w:color="auto" w:fill="FFFFFF"/>
        </w:rPr>
        <w:t>，与上年数持平。</w:t>
      </w:r>
    </w:p>
    <w:p w:rsidR="001E028F" w:rsidRDefault="003059E7">
      <w:pPr>
        <w:pStyle w:val="a6"/>
        <w:snapToGrid w:val="0"/>
        <w:spacing w:before="0" w:beforeAutospacing="0" w:after="0" w:afterAutospacing="0" w:line="600" w:lineRule="exact"/>
        <w:ind w:firstLineChars="200" w:firstLine="643"/>
        <w:jc w:val="both"/>
        <w:rPr>
          <w:rFonts w:asciiTheme="minorEastAsia" w:eastAsiaTheme="minorEastAsia" w:hAnsiTheme="minorEastAsia" w:cstheme="minorEastAsia" w:hint="default"/>
          <w:sz w:val="32"/>
          <w:szCs w:val="32"/>
          <w:shd w:val="clear" w:color="auto" w:fill="FFFFFF"/>
        </w:rPr>
      </w:pPr>
      <w:r>
        <w:rPr>
          <w:rStyle w:val="a8"/>
          <w:rFonts w:asciiTheme="majorEastAsia" w:eastAsiaTheme="majorEastAsia" w:hAnsiTheme="majorEastAsia" w:cstheme="majorEastAsia"/>
          <w:sz w:val="32"/>
          <w:szCs w:val="32"/>
          <w:shd w:val="clear" w:color="auto" w:fill="FFFFFF"/>
        </w:rPr>
        <w:t xml:space="preserve"> 4.比较情况。</w:t>
      </w:r>
      <w:r>
        <w:rPr>
          <w:rFonts w:asciiTheme="minorEastAsia" w:eastAsiaTheme="minorEastAsia" w:hAnsiTheme="minorEastAsia" w:cstheme="minorEastAsia"/>
          <w:sz w:val="32"/>
          <w:szCs w:val="32"/>
          <w:shd w:val="clear" w:color="auto" w:fill="FFFFFF"/>
        </w:rPr>
        <w:t>本单位2023年度一般公共预算财政拨款支出主要用于以下几个方面：</w:t>
      </w:r>
    </w:p>
    <w:p w:rsidR="001E028F" w:rsidRDefault="003059E7">
      <w:pPr>
        <w:shd w:val="solid" w:color="FFFFFF" w:fill="auto"/>
        <w:autoSpaceDN w:val="0"/>
        <w:spacing w:line="560" w:lineRule="exact"/>
        <w:ind w:firstLineChars="200" w:firstLine="640"/>
        <w:rPr>
          <w:rFonts w:asciiTheme="minorEastAsia" w:eastAsiaTheme="minorEastAsia" w:hAnsiTheme="minorEastAsia" w:cstheme="minorEastAsia" w:hint="default"/>
          <w:sz w:val="32"/>
          <w:szCs w:val="32"/>
          <w:shd w:val="clear" w:color="auto" w:fill="FFFFFF"/>
        </w:rPr>
      </w:pPr>
      <w:r>
        <w:rPr>
          <w:rFonts w:asciiTheme="minorEastAsia" w:eastAsiaTheme="minorEastAsia" w:hAnsiTheme="minorEastAsia" w:cstheme="minorEastAsia"/>
          <w:sz w:val="32"/>
          <w:szCs w:val="32"/>
          <w:shd w:val="clear" w:color="auto" w:fill="FFFFFF"/>
        </w:rPr>
        <w:t>（1）教育支出955.19万元，占82.42%，较年初预算数增加380.25万元，增长66.14%，主要原因是人员工资调整和超额绩效增加。</w:t>
      </w:r>
    </w:p>
    <w:p w:rsidR="001E028F" w:rsidRDefault="003059E7">
      <w:pPr>
        <w:shd w:val="solid" w:color="FFFFFF" w:fill="auto"/>
        <w:autoSpaceDN w:val="0"/>
        <w:spacing w:line="560" w:lineRule="exact"/>
        <w:ind w:firstLineChars="200" w:firstLine="640"/>
        <w:rPr>
          <w:rFonts w:asciiTheme="minorEastAsia" w:eastAsiaTheme="minorEastAsia" w:hAnsiTheme="minorEastAsia" w:cstheme="minorEastAsia" w:hint="default"/>
          <w:sz w:val="32"/>
          <w:szCs w:val="32"/>
          <w:shd w:val="clear" w:color="auto" w:fill="FFFFFF"/>
        </w:rPr>
      </w:pPr>
      <w:r>
        <w:rPr>
          <w:rFonts w:asciiTheme="minorEastAsia" w:eastAsiaTheme="minorEastAsia" w:hAnsiTheme="minorEastAsia" w:cstheme="minorEastAsia"/>
          <w:sz w:val="32"/>
          <w:szCs w:val="32"/>
          <w:shd w:val="clear" w:color="auto" w:fill="FFFFFF"/>
        </w:rPr>
        <w:t>（2）社会保障与就业支出119.64万元，占10.32%，较年初预算数增加19.56万元，增长19.54%，主要原因是社保缴费基数提高。</w:t>
      </w:r>
    </w:p>
    <w:p w:rsidR="001E028F" w:rsidRDefault="003059E7">
      <w:pPr>
        <w:shd w:val="solid" w:color="FFFFFF" w:fill="auto"/>
        <w:autoSpaceDN w:val="0"/>
        <w:spacing w:line="560" w:lineRule="exact"/>
        <w:ind w:firstLineChars="200" w:firstLine="640"/>
        <w:rPr>
          <w:rFonts w:asciiTheme="minorEastAsia" w:eastAsiaTheme="minorEastAsia" w:hAnsiTheme="minorEastAsia" w:cstheme="minorEastAsia" w:hint="default"/>
          <w:sz w:val="32"/>
          <w:szCs w:val="32"/>
          <w:shd w:val="clear" w:color="auto" w:fill="FFFFFF"/>
        </w:rPr>
      </w:pPr>
      <w:r>
        <w:rPr>
          <w:rFonts w:asciiTheme="minorEastAsia" w:eastAsiaTheme="minorEastAsia" w:hAnsiTheme="minorEastAsia" w:cstheme="minorEastAsia"/>
          <w:sz w:val="32"/>
          <w:szCs w:val="32"/>
          <w:shd w:val="clear" w:color="auto" w:fill="FFFFFF"/>
        </w:rPr>
        <w:t>（3）卫生健康支出43.22万元，占3.73%，较年初</w:t>
      </w:r>
      <w:proofErr w:type="gramStart"/>
      <w:r>
        <w:rPr>
          <w:rFonts w:asciiTheme="minorEastAsia" w:eastAsiaTheme="minorEastAsia" w:hAnsiTheme="minorEastAsia" w:cstheme="minorEastAsia"/>
          <w:sz w:val="32"/>
          <w:szCs w:val="32"/>
          <w:shd w:val="clear" w:color="auto" w:fill="FFFFFF"/>
        </w:rPr>
        <w:t>预算数无增减</w:t>
      </w:r>
      <w:proofErr w:type="gramEnd"/>
      <w:r>
        <w:rPr>
          <w:rFonts w:asciiTheme="minorEastAsia" w:eastAsiaTheme="minorEastAsia" w:hAnsiTheme="minorEastAsia" w:cstheme="minorEastAsia"/>
          <w:sz w:val="32"/>
          <w:szCs w:val="32"/>
          <w:shd w:val="clear" w:color="auto" w:fill="FFFFFF"/>
        </w:rPr>
        <w:t>，主要原因是2023年缴费基数提高部分与退休教师减少部分持平。</w:t>
      </w:r>
    </w:p>
    <w:p w:rsidR="001E028F" w:rsidRDefault="003059E7">
      <w:pPr>
        <w:shd w:val="solid" w:color="FFFFFF" w:fill="auto"/>
        <w:autoSpaceDN w:val="0"/>
        <w:spacing w:line="560" w:lineRule="exact"/>
        <w:ind w:firstLineChars="200" w:firstLine="640"/>
        <w:rPr>
          <w:rFonts w:asciiTheme="minorEastAsia" w:eastAsiaTheme="minorEastAsia" w:hAnsiTheme="minorEastAsia" w:cstheme="minorEastAsia" w:hint="default"/>
          <w:sz w:val="32"/>
          <w:szCs w:val="32"/>
          <w:shd w:val="clear" w:color="auto" w:fill="FFFFFF"/>
        </w:rPr>
      </w:pPr>
      <w:r>
        <w:rPr>
          <w:rFonts w:asciiTheme="minorEastAsia" w:eastAsiaTheme="minorEastAsia" w:hAnsiTheme="minorEastAsia" w:cstheme="minorEastAsia"/>
          <w:sz w:val="32"/>
          <w:szCs w:val="32"/>
          <w:shd w:val="clear" w:color="auto" w:fill="FFFFFF"/>
        </w:rPr>
        <w:t>（4）住房保障支出40.84万元，占3.52%，较年初</w:t>
      </w:r>
      <w:proofErr w:type="gramStart"/>
      <w:r>
        <w:rPr>
          <w:rFonts w:asciiTheme="minorEastAsia" w:eastAsiaTheme="minorEastAsia" w:hAnsiTheme="minorEastAsia" w:cstheme="minorEastAsia"/>
          <w:sz w:val="32"/>
          <w:szCs w:val="32"/>
          <w:shd w:val="clear" w:color="auto" w:fill="FFFFFF"/>
        </w:rPr>
        <w:t>预算数无增减</w:t>
      </w:r>
      <w:proofErr w:type="gramEnd"/>
      <w:r>
        <w:rPr>
          <w:rFonts w:asciiTheme="minorEastAsia" w:eastAsiaTheme="minorEastAsia" w:hAnsiTheme="minorEastAsia" w:cstheme="minorEastAsia"/>
          <w:sz w:val="32"/>
          <w:szCs w:val="32"/>
          <w:shd w:val="clear" w:color="auto" w:fill="FFFFFF"/>
        </w:rPr>
        <w:t>，主要原因是2023年缴费基数提高部分与2022年补缴部分持平。</w:t>
      </w:r>
    </w:p>
    <w:p w:rsidR="001E028F" w:rsidRDefault="003059E7">
      <w:pPr>
        <w:pStyle w:val="1"/>
        <w:autoSpaceDE w:val="0"/>
        <w:ind w:firstLine="643"/>
        <w:rPr>
          <w:rFonts w:asciiTheme="majorEastAsia" w:eastAsiaTheme="majorEastAsia" w:hAnsiTheme="majorEastAsia" w:cstheme="majorEastAsia"/>
          <w:b/>
          <w:bCs/>
          <w:sz w:val="32"/>
          <w:szCs w:val="32"/>
          <w:shd w:val="clear" w:color="auto" w:fill="FFFFFF"/>
        </w:rPr>
      </w:pPr>
      <w:r>
        <w:rPr>
          <w:rFonts w:asciiTheme="majorEastAsia" w:eastAsiaTheme="majorEastAsia" w:hAnsiTheme="majorEastAsia" w:cstheme="majorEastAsia" w:hint="eastAsia"/>
          <w:b/>
          <w:bCs/>
          <w:sz w:val="32"/>
          <w:szCs w:val="32"/>
          <w:shd w:val="clear" w:color="auto" w:fill="FFFFFF"/>
        </w:rPr>
        <w:t>（四）一般公共预算财政拨款基本支出决算情况说明</w:t>
      </w:r>
    </w:p>
    <w:p w:rsidR="001E028F" w:rsidRDefault="003059E7">
      <w:pPr>
        <w:pStyle w:val="a6"/>
        <w:snapToGrid w:val="0"/>
        <w:spacing w:before="0" w:beforeAutospacing="0" w:after="0" w:afterAutospacing="0" w:line="600" w:lineRule="exact"/>
        <w:ind w:firstLineChars="200" w:firstLine="640"/>
        <w:jc w:val="both"/>
        <w:rPr>
          <w:rFonts w:asciiTheme="minorEastAsia" w:eastAsiaTheme="minorEastAsia" w:hAnsiTheme="minorEastAsia" w:cstheme="minorEastAsia" w:hint="default"/>
          <w:sz w:val="32"/>
          <w:szCs w:val="32"/>
          <w:shd w:val="clear" w:color="auto" w:fill="FFFFFF"/>
        </w:rPr>
      </w:pPr>
      <w:r>
        <w:rPr>
          <w:rFonts w:asciiTheme="minorEastAsia" w:eastAsiaTheme="minorEastAsia" w:hAnsiTheme="minorEastAsia" w:cstheme="minorEastAsia"/>
          <w:sz w:val="32"/>
          <w:szCs w:val="32"/>
          <w:shd w:val="clear" w:color="auto" w:fill="FFFFFF"/>
        </w:rPr>
        <w:t>2023年度一般公共财政拨款基本支出971.10万元。其中：人员经费922.57万元，较上年决算数增加97.70万元，增长11.84%，主要原因是人员工资调整和超额绩效增加。</w:t>
      </w:r>
    </w:p>
    <w:p w:rsidR="001E028F" w:rsidRDefault="003059E7">
      <w:pPr>
        <w:pStyle w:val="a6"/>
        <w:snapToGrid w:val="0"/>
        <w:spacing w:before="0" w:beforeAutospacing="0" w:after="0" w:afterAutospacing="0" w:line="600" w:lineRule="exact"/>
        <w:jc w:val="both"/>
        <w:rPr>
          <w:rFonts w:asciiTheme="minorEastAsia" w:eastAsiaTheme="minorEastAsia" w:hAnsiTheme="minorEastAsia" w:cstheme="minorEastAsia" w:hint="default"/>
          <w:sz w:val="32"/>
          <w:szCs w:val="32"/>
          <w:shd w:val="clear" w:color="auto" w:fill="FFFFFF"/>
        </w:rPr>
      </w:pPr>
      <w:r>
        <w:rPr>
          <w:rFonts w:asciiTheme="minorEastAsia" w:eastAsiaTheme="minorEastAsia" w:hAnsiTheme="minorEastAsia" w:cstheme="minorEastAsia"/>
          <w:sz w:val="32"/>
          <w:szCs w:val="32"/>
          <w:shd w:val="clear" w:color="auto" w:fill="FFFFFF"/>
        </w:rPr>
        <w:lastRenderedPageBreak/>
        <w:t>人员经费用途主要包括基本工资、津贴补贴、绩效工资、社会保障缴费、其他福利支出等。公用经费48.53万元，较上年决算数增加5.46万元，增长12.68%，主要原因是学生人数增加公用经费用途主要包括办公费、印刷费、培训费、差旅费、维修费、水费、电费、邮电费等。</w:t>
      </w:r>
    </w:p>
    <w:p w:rsidR="001E028F" w:rsidRDefault="003059E7">
      <w:pPr>
        <w:pStyle w:val="1"/>
        <w:autoSpaceDE w:val="0"/>
        <w:ind w:firstLine="643"/>
        <w:rPr>
          <w:rFonts w:asciiTheme="majorEastAsia" w:eastAsiaTheme="majorEastAsia" w:hAnsiTheme="majorEastAsia" w:cstheme="majorEastAsia"/>
          <w:b/>
          <w:bCs/>
          <w:sz w:val="32"/>
          <w:szCs w:val="32"/>
          <w:shd w:val="clear" w:color="auto" w:fill="FFFFFF"/>
        </w:rPr>
      </w:pPr>
      <w:r>
        <w:rPr>
          <w:rFonts w:asciiTheme="majorEastAsia" w:eastAsiaTheme="majorEastAsia" w:hAnsiTheme="majorEastAsia" w:cstheme="majorEastAsia" w:hint="eastAsia"/>
          <w:b/>
          <w:bCs/>
          <w:sz w:val="32"/>
          <w:szCs w:val="32"/>
          <w:shd w:val="clear" w:color="auto" w:fill="FFFFFF"/>
        </w:rPr>
        <w:t>（五）政府性基金预算收支决算情况说明</w:t>
      </w:r>
    </w:p>
    <w:p w:rsidR="001E028F" w:rsidRDefault="003059E7">
      <w:pPr>
        <w:pStyle w:val="a6"/>
        <w:snapToGrid w:val="0"/>
        <w:spacing w:before="0" w:beforeAutospacing="0" w:after="0" w:afterAutospacing="0" w:line="600" w:lineRule="exact"/>
        <w:ind w:firstLineChars="200" w:firstLine="640"/>
        <w:jc w:val="both"/>
        <w:rPr>
          <w:rFonts w:asciiTheme="majorEastAsia" w:eastAsiaTheme="majorEastAsia" w:hAnsiTheme="majorEastAsia" w:cstheme="majorEastAsia" w:hint="default"/>
          <w:sz w:val="32"/>
          <w:szCs w:val="32"/>
          <w:shd w:val="clear" w:color="auto" w:fill="FFFFFF"/>
        </w:rPr>
      </w:pPr>
      <w:r>
        <w:rPr>
          <w:rFonts w:asciiTheme="majorEastAsia" w:eastAsiaTheme="majorEastAsia" w:hAnsiTheme="majorEastAsia" w:cstheme="majorEastAsia"/>
          <w:sz w:val="32"/>
          <w:szCs w:val="32"/>
          <w:shd w:val="clear" w:color="auto" w:fill="FFFFFF"/>
        </w:rPr>
        <w:t>本单位2023年度无政府性基金预算财政拨款收支。</w:t>
      </w:r>
    </w:p>
    <w:p w:rsidR="001E028F" w:rsidRDefault="003059E7">
      <w:pPr>
        <w:pStyle w:val="1"/>
        <w:autoSpaceDE w:val="0"/>
        <w:ind w:firstLine="643"/>
        <w:rPr>
          <w:rFonts w:asciiTheme="majorEastAsia" w:eastAsiaTheme="majorEastAsia" w:hAnsiTheme="majorEastAsia" w:cstheme="majorEastAsia"/>
          <w:b/>
          <w:bCs/>
          <w:sz w:val="32"/>
          <w:szCs w:val="32"/>
          <w:shd w:val="clear" w:color="auto" w:fill="FFFFFF"/>
        </w:rPr>
      </w:pPr>
      <w:r>
        <w:rPr>
          <w:rFonts w:asciiTheme="majorEastAsia" w:eastAsiaTheme="majorEastAsia" w:hAnsiTheme="majorEastAsia" w:cstheme="majorEastAsia" w:hint="eastAsia"/>
          <w:b/>
          <w:bCs/>
          <w:sz w:val="32"/>
          <w:szCs w:val="32"/>
          <w:shd w:val="clear" w:color="auto" w:fill="FFFFFF"/>
        </w:rPr>
        <w:t>（六）国有资本经营预算财政拨款支出决算情况说明</w:t>
      </w:r>
    </w:p>
    <w:p w:rsidR="001E028F" w:rsidRDefault="003059E7">
      <w:pPr>
        <w:pStyle w:val="a6"/>
        <w:snapToGrid w:val="0"/>
        <w:spacing w:before="0" w:beforeAutospacing="0" w:after="0" w:afterAutospacing="0" w:line="600" w:lineRule="exact"/>
        <w:ind w:firstLineChars="200" w:firstLine="640"/>
        <w:jc w:val="both"/>
        <w:rPr>
          <w:rFonts w:asciiTheme="majorEastAsia" w:eastAsiaTheme="majorEastAsia" w:hAnsiTheme="majorEastAsia" w:cstheme="majorEastAsia" w:hint="default"/>
          <w:sz w:val="32"/>
          <w:szCs w:val="32"/>
          <w:shd w:val="clear" w:color="auto" w:fill="FFFFFF"/>
        </w:rPr>
      </w:pPr>
      <w:r>
        <w:rPr>
          <w:rFonts w:asciiTheme="majorEastAsia" w:eastAsiaTheme="majorEastAsia" w:hAnsiTheme="majorEastAsia" w:cstheme="majorEastAsia"/>
          <w:sz w:val="32"/>
          <w:szCs w:val="32"/>
          <w:shd w:val="clear" w:color="auto" w:fill="FFFFFF"/>
        </w:rPr>
        <w:t>本单位2023年度无国有资本经营预算财政拨款支出。</w:t>
      </w:r>
    </w:p>
    <w:p w:rsidR="001E028F" w:rsidRDefault="003059E7">
      <w:pPr>
        <w:pStyle w:val="a6"/>
        <w:shd w:val="clear" w:color="auto" w:fill="FFFFFF"/>
        <w:rPr>
          <w:rStyle w:val="a8"/>
          <w:rFonts w:asciiTheme="majorEastAsia" w:eastAsiaTheme="majorEastAsia" w:hAnsiTheme="majorEastAsia" w:cstheme="majorEastAsia" w:hint="default"/>
          <w:sz w:val="32"/>
          <w:szCs w:val="32"/>
          <w:shd w:val="clear" w:color="auto" w:fill="FFFFFF"/>
        </w:rPr>
      </w:pPr>
      <w:r>
        <w:rPr>
          <w:rStyle w:val="a8"/>
          <w:rFonts w:asciiTheme="majorEastAsia" w:eastAsiaTheme="majorEastAsia" w:hAnsiTheme="majorEastAsia" w:cstheme="majorEastAsia"/>
          <w:sz w:val="32"/>
          <w:szCs w:val="32"/>
          <w:shd w:val="clear" w:color="auto" w:fill="FFFFFF"/>
        </w:rPr>
        <w:t>三、“三公”经费情况说明</w:t>
      </w:r>
    </w:p>
    <w:p w:rsidR="001E028F" w:rsidRDefault="003059E7">
      <w:pPr>
        <w:pStyle w:val="1"/>
        <w:autoSpaceDE w:val="0"/>
        <w:ind w:firstLine="643"/>
        <w:rPr>
          <w:rFonts w:asciiTheme="majorEastAsia" w:eastAsiaTheme="majorEastAsia" w:hAnsiTheme="majorEastAsia" w:cstheme="majorEastAsia"/>
          <w:b/>
          <w:bCs/>
          <w:sz w:val="32"/>
          <w:szCs w:val="32"/>
          <w:shd w:val="clear" w:color="auto" w:fill="FFFFFF"/>
        </w:rPr>
      </w:pPr>
      <w:r>
        <w:rPr>
          <w:rFonts w:asciiTheme="majorEastAsia" w:eastAsiaTheme="majorEastAsia" w:hAnsiTheme="majorEastAsia" w:cstheme="majorEastAsia" w:hint="eastAsia"/>
          <w:b/>
          <w:bCs/>
          <w:sz w:val="32"/>
          <w:szCs w:val="32"/>
          <w:shd w:val="clear" w:color="auto" w:fill="FFFFFF"/>
        </w:rPr>
        <w:t>（一）“三公”经费支出总体情况说明</w:t>
      </w:r>
    </w:p>
    <w:p w:rsidR="001E028F" w:rsidRDefault="003059E7">
      <w:pPr>
        <w:pStyle w:val="a6"/>
        <w:snapToGrid w:val="0"/>
        <w:spacing w:before="0" w:beforeAutospacing="0" w:after="0" w:afterAutospacing="0" w:line="600" w:lineRule="exact"/>
        <w:ind w:firstLineChars="200" w:firstLine="640"/>
        <w:jc w:val="both"/>
        <w:rPr>
          <w:rFonts w:asciiTheme="minorEastAsia" w:eastAsiaTheme="minorEastAsia" w:hAnsiTheme="minorEastAsia" w:cstheme="minorEastAsia" w:hint="default"/>
          <w:sz w:val="32"/>
          <w:szCs w:val="32"/>
          <w:shd w:val="clear" w:color="auto" w:fill="FFFFFF"/>
        </w:rPr>
      </w:pPr>
      <w:r>
        <w:rPr>
          <w:rFonts w:asciiTheme="minorEastAsia" w:eastAsiaTheme="minorEastAsia" w:hAnsiTheme="minorEastAsia" w:cstheme="minorEastAsia"/>
          <w:sz w:val="32"/>
          <w:szCs w:val="32"/>
          <w:shd w:val="clear" w:color="auto" w:fill="FFFFFF"/>
        </w:rPr>
        <w:t>2023年度“三公”经费支出共计0.00万元，较年初</w:t>
      </w:r>
      <w:proofErr w:type="gramStart"/>
      <w:r>
        <w:rPr>
          <w:rFonts w:asciiTheme="minorEastAsia" w:eastAsiaTheme="minorEastAsia" w:hAnsiTheme="minorEastAsia" w:cstheme="minorEastAsia"/>
          <w:sz w:val="32"/>
          <w:szCs w:val="32"/>
          <w:shd w:val="clear" w:color="auto" w:fill="FFFFFF"/>
        </w:rPr>
        <w:t>预算数无增减</w:t>
      </w:r>
      <w:proofErr w:type="gramEnd"/>
      <w:r>
        <w:rPr>
          <w:rFonts w:asciiTheme="minorEastAsia" w:eastAsiaTheme="minorEastAsia" w:hAnsiTheme="minorEastAsia" w:cstheme="minorEastAsia"/>
          <w:sz w:val="32"/>
          <w:szCs w:val="32"/>
          <w:shd w:val="clear" w:color="auto" w:fill="FFFFFF"/>
        </w:rPr>
        <w:t>，主要原因是本单位2023年度无“三公”经费预算，与上年数持平。较上年</w:t>
      </w:r>
      <w:proofErr w:type="gramStart"/>
      <w:r>
        <w:rPr>
          <w:rFonts w:asciiTheme="minorEastAsia" w:eastAsiaTheme="minorEastAsia" w:hAnsiTheme="minorEastAsia" w:cstheme="minorEastAsia"/>
          <w:sz w:val="32"/>
          <w:szCs w:val="32"/>
          <w:shd w:val="clear" w:color="auto" w:fill="FFFFFF"/>
        </w:rPr>
        <w:t>支出数无增减</w:t>
      </w:r>
      <w:proofErr w:type="gramEnd"/>
      <w:r>
        <w:rPr>
          <w:rFonts w:asciiTheme="minorEastAsia" w:eastAsiaTheme="minorEastAsia" w:hAnsiTheme="minorEastAsia" w:cstheme="minorEastAsia"/>
          <w:sz w:val="32"/>
          <w:szCs w:val="32"/>
          <w:shd w:val="clear" w:color="auto" w:fill="FFFFFF"/>
        </w:rPr>
        <w:t>，主要原因是本单位2023年度无“三公”经费支出，与上年数持平。</w:t>
      </w:r>
    </w:p>
    <w:p w:rsidR="001E028F" w:rsidRDefault="003059E7">
      <w:pPr>
        <w:pStyle w:val="1"/>
        <w:autoSpaceDE w:val="0"/>
        <w:ind w:firstLine="643"/>
        <w:rPr>
          <w:rFonts w:asciiTheme="majorEastAsia" w:eastAsiaTheme="majorEastAsia" w:hAnsiTheme="majorEastAsia" w:cstheme="majorEastAsia"/>
          <w:b/>
          <w:bCs/>
          <w:sz w:val="32"/>
          <w:szCs w:val="32"/>
          <w:shd w:val="clear" w:color="auto" w:fill="FFFFFF"/>
        </w:rPr>
      </w:pPr>
      <w:r>
        <w:rPr>
          <w:rFonts w:asciiTheme="majorEastAsia" w:eastAsiaTheme="majorEastAsia" w:hAnsiTheme="majorEastAsia" w:cstheme="majorEastAsia" w:hint="eastAsia"/>
          <w:b/>
          <w:bCs/>
          <w:sz w:val="32"/>
          <w:szCs w:val="32"/>
          <w:shd w:val="clear" w:color="auto" w:fill="FFFFFF"/>
        </w:rPr>
        <w:t>（二）“三公”经费分项支出情况</w:t>
      </w:r>
    </w:p>
    <w:p w:rsidR="001E028F" w:rsidRDefault="003059E7">
      <w:pPr>
        <w:pStyle w:val="a6"/>
        <w:snapToGrid w:val="0"/>
        <w:spacing w:before="0" w:beforeAutospacing="0" w:after="0" w:afterAutospacing="0" w:line="600" w:lineRule="exact"/>
        <w:ind w:firstLineChars="200" w:firstLine="640"/>
        <w:jc w:val="both"/>
        <w:rPr>
          <w:rFonts w:asciiTheme="minorEastAsia" w:eastAsiaTheme="minorEastAsia" w:hAnsiTheme="minorEastAsia" w:cstheme="minorEastAsia" w:hint="default"/>
          <w:sz w:val="32"/>
          <w:szCs w:val="32"/>
          <w:shd w:val="clear" w:color="auto" w:fill="FFFFFF"/>
        </w:rPr>
      </w:pPr>
      <w:r>
        <w:rPr>
          <w:rFonts w:asciiTheme="minorEastAsia" w:eastAsiaTheme="minorEastAsia" w:hAnsiTheme="minorEastAsia" w:cstheme="minorEastAsia"/>
          <w:sz w:val="32"/>
          <w:szCs w:val="32"/>
          <w:shd w:val="clear" w:color="auto" w:fill="FFFFFF"/>
        </w:rPr>
        <w:t>2023年度本单位因公出国（境）费用0.00万元，费用支出较年初</w:t>
      </w:r>
      <w:proofErr w:type="gramStart"/>
      <w:r>
        <w:rPr>
          <w:rFonts w:asciiTheme="minorEastAsia" w:eastAsiaTheme="minorEastAsia" w:hAnsiTheme="minorEastAsia" w:cstheme="minorEastAsia"/>
          <w:sz w:val="32"/>
          <w:szCs w:val="32"/>
          <w:shd w:val="clear" w:color="auto" w:fill="FFFFFF"/>
        </w:rPr>
        <w:t>预算数无增减</w:t>
      </w:r>
      <w:proofErr w:type="gramEnd"/>
      <w:r>
        <w:rPr>
          <w:rFonts w:asciiTheme="minorEastAsia" w:eastAsiaTheme="minorEastAsia" w:hAnsiTheme="minorEastAsia" w:cstheme="minorEastAsia"/>
          <w:sz w:val="32"/>
          <w:szCs w:val="32"/>
          <w:shd w:val="clear" w:color="auto" w:fill="FFFFFF"/>
        </w:rPr>
        <w:t>，主要原因是本单位2023年度无因公出国（境）预算，与上年数持平。较上年</w:t>
      </w:r>
      <w:proofErr w:type="gramStart"/>
      <w:r>
        <w:rPr>
          <w:rFonts w:asciiTheme="minorEastAsia" w:eastAsiaTheme="minorEastAsia" w:hAnsiTheme="minorEastAsia" w:cstheme="minorEastAsia"/>
          <w:sz w:val="32"/>
          <w:szCs w:val="32"/>
          <w:shd w:val="clear" w:color="auto" w:fill="FFFFFF"/>
        </w:rPr>
        <w:t>支出数无增减</w:t>
      </w:r>
      <w:proofErr w:type="gramEnd"/>
      <w:r>
        <w:rPr>
          <w:rFonts w:asciiTheme="minorEastAsia" w:eastAsiaTheme="minorEastAsia" w:hAnsiTheme="minorEastAsia" w:cstheme="minorEastAsia"/>
          <w:sz w:val="32"/>
          <w:szCs w:val="32"/>
          <w:shd w:val="clear" w:color="auto" w:fill="FFFFFF"/>
        </w:rPr>
        <w:t>，主要原因是本单位2023年度无因公出国（境）支出，与上年数持平。</w:t>
      </w:r>
    </w:p>
    <w:p w:rsidR="001E028F" w:rsidRDefault="003059E7">
      <w:pPr>
        <w:pStyle w:val="a6"/>
        <w:snapToGrid w:val="0"/>
        <w:spacing w:before="0" w:beforeAutospacing="0" w:after="0" w:afterAutospacing="0" w:line="600" w:lineRule="exact"/>
        <w:ind w:firstLineChars="200" w:firstLine="640"/>
        <w:jc w:val="both"/>
        <w:rPr>
          <w:rFonts w:asciiTheme="minorEastAsia" w:eastAsiaTheme="minorEastAsia" w:hAnsiTheme="minorEastAsia" w:cstheme="minorEastAsia" w:hint="default"/>
          <w:sz w:val="32"/>
          <w:szCs w:val="32"/>
          <w:shd w:val="clear" w:color="auto" w:fill="FFFFFF"/>
        </w:rPr>
      </w:pPr>
      <w:r>
        <w:rPr>
          <w:rFonts w:asciiTheme="minorEastAsia" w:eastAsiaTheme="minorEastAsia" w:hAnsiTheme="minorEastAsia" w:cstheme="minorEastAsia"/>
          <w:sz w:val="32"/>
          <w:szCs w:val="32"/>
          <w:shd w:val="clear" w:color="auto" w:fill="FFFFFF"/>
        </w:rPr>
        <w:lastRenderedPageBreak/>
        <w:t>公务车购置费0.00万元，费用支出较年初</w:t>
      </w:r>
      <w:proofErr w:type="gramStart"/>
      <w:r>
        <w:rPr>
          <w:rFonts w:asciiTheme="minorEastAsia" w:eastAsiaTheme="minorEastAsia" w:hAnsiTheme="minorEastAsia" w:cstheme="minorEastAsia"/>
          <w:sz w:val="32"/>
          <w:szCs w:val="32"/>
          <w:shd w:val="clear" w:color="auto" w:fill="FFFFFF"/>
        </w:rPr>
        <w:t>预算数无增减</w:t>
      </w:r>
      <w:proofErr w:type="gramEnd"/>
      <w:r>
        <w:rPr>
          <w:rFonts w:asciiTheme="minorEastAsia" w:eastAsiaTheme="minorEastAsia" w:hAnsiTheme="minorEastAsia" w:cstheme="minorEastAsia"/>
          <w:sz w:val="32"/>
          <w:szCs w:val="32"/>
          <w:shd w:val="clear" w:color="auto" w:fill="FFFFFF"/>
        </w:rPr>
        <w:t>，主要原因是本单位2023年度无公务车购置预算，与上年数持平。较上年</w:t>
      </w:r>
      <w:proofErr w:type="gramStart"/>
      <w:r>
        <w:rPr>
          <w:rFonts w:asciiTheme="minorEastAsia" w:eastAsiaTheme="minorEastAsia" w:hAnsiTheme="minorEastAsia" w:cstheme="minorEastAsia"/>
          <w:sz w:val="32"/>
          <w:szCs w:val="32"/>
          <w:shd w:val="clear" w:color="auto" w:fill="FFFFFF"/>
        </w:rPr>
        <w:t>支出数无增减</w:t>
      </w:r>
      <w:proofErr w:type="gramEnd"/>
      <w:r>
        <w:rPr>
          <w:rFonts w:asciiTheme="minorEastAsia" w:eastAsiaTheme="minorEastAsia" w:hAnsiTheme="minorEastAsia" w:cstheme="minorEastAsia"/>
          <w:sz w:val="32"/>
          <w:szCs w:val="32"/>
          <w:shd w:val="clear" w:color="auto" w:fill="FFFFFF"/>
        </w:rPr>
        <w:t>，主要原因是本单位2023年度无公务车购置支出，与上年数持平。</w:t>
      </w:r>
    </w:p>
    <w:p w:rsidR="001E028F" w:rsidRDefault="003059E7">
      <w:pPr>
        <w:pStyle w:val="a6"/>
        <w:snapToGrid w:val="0"/>
        <w:spacing w:before="0" w:beforeAutospacing="0" w:after="0" w:afterAutospacing="0" w:line="600" w:lineRule="exact"/>
        <w:ind w:firstLineChars="200" w:firstLine="640"/>
        <w:jc w:val="both"/>
        <w:rPr>
          <w:rFonts w:asciiTheme="minorEastAsia" w:eastAsiaTheme="minorEastAsia" w:hAnsiTheme="minorEastAsia" w:cstheme="minorEastAsia" w:hint="default"/>
          <w:sz w:val="32"/>
          <w:szCs w:val="32"/>
          <w:shd w:val="clear" w:color="auto" w:fill="FFFFFF"/>
        </w:rPr>
      </w:pPr>
      <w:r>
        <w:rPr>
          <w:rFonts w:asciiTheme="minorEastAsia" w:eastAsiaTheme="minorEastAsia" w:hAnsiTheme="minorEastAsia" w:cstheme="minorEastAsia"/>
          <w:sz w:val="32"/>
          <w:szCs w:val="32"/>
          <w:shd w:val="clear" w:color="auto" w:fill="FFFFFF"/>
        </w:rPr>
        <w:t>公务车运行维护费0.00万元，费用支出较年初</w:t>
      </w:r>
      <w:proofErr w:type="gramStart"/>
      <w:r>
        <w:rPr>
          <w:rFonts w:asciiTheme="minorEastAsia" w:eastAsiaTheme="minorEastAsia" w:hAnsiTheme="minorEastAsia" w:cstheme="minorEastAsia"/>
          <w:sz w:val="32"/>
          <w:szCs w:val="32"/>
          <w:shd w:val="clear" w:color="auto" w:fill="FFFFFF"/>
        </w:rPr>
        <w:t>预算数无增减</w:t>
      </w:r>
      <w:proofErr w:type="gramEnd"/>
      <w:r>
        <w:rPr>
          <w:rFonts w:asciiTheme="minorEastAsia" w:eastAsiaTheme="minorEastAsia" w:hAnsiTheme="minorEastAsia" w:cstheme="minorEastAsia"/>
          <w:sz w:val="32"/>
          <w:szCs w:val="32"/>
          <w:shd w:val="clear" w:color="auto" w:fill="FFFFFF"/>
        </w:rPr>
        <w:t>，主要原因是本单位2023年度无公务车运行维护预算，与上年数持平。较上年</w:t>
      </w:r>
      <w:proofErr w:type="gramStart"/>
      <w:r>
        <w:rPr>
          <w:rFonts w:asciiTheme="minorEastAsia" w:eastAsiaTheme="minorEastAsia" w:hAnsiTheme="minorEastAsia" w:cstheme="minorEastAsia"/>
          <w:sz w:val="32"/>
          <w:szCs w:val="32"/>
          <w:shd w:val="clear" w:color="auto" w:fill="FFFFFF"/>
        </w:rPr>
        <w:t>支出数无增减</w:t>
      </w:r>
      <w:proofErr w:type="gramEnd"/>
      <w:r>
        <w:rPr>
          <w:rFonts w:asciiTheme="minorEastAsia" w:eastAsiaTheme="minorEastAsia" w:hAnsiTheme="minorEastAsia" w:cstheme="minorEastAsia"/>
          <w:sz w:val="32"/>
          <w:szCs w:val="32"/>
          <w:shd w:val="clear" w:color="auto" w:fill="FFFFFF"/>
        </w:rPr>
        <w:t>，主要原因是本单位2023年度无公务车运行支出，与上年数持平。</w:t>
      </w:r>
    </w:p>
    <w:p w:rsidR="001E028F" w:rsidRDefault="003059E7">
      <w:pPr>
        <w:pStyle w:val="a6"/>
        <w:snapToGrid w:val="0"/>
        <w:spacing w:before="0" w:beforeAutospacing="0" w:after="0" w:afterAutospacing="0" w:line="600" w:lineRule="exact"/>
        <w:ind w:firstLineChars="200" w:firstLine="640"/>
        <w:jc w:val="both"/>
        <w:rPr>
          <w:rFonts w:asciiTheme="minorEastAsia" w:eastAsiaTheme="minorEastAsia" w:hAnsiTheme="minorEastAsia" w:cstheme="minorEastAsia" w:hint="default"/>
          <w:sz w:val="32"/>
          <w:szCs w:val="32"/>
          <w:shd w:val="clear" w:color="auto" w:fill="FFFFFF"/>
        </w:rPr>
      </w:pPr>
      <w:r>
        <w:rPr>
          <w:rFonts w:asciiTheme="minorEastAsia" w:eastAsiaTheme="minorEastAsia" w:hAnsiTheme="minorEastAsia" w:cstheme="minorEastAsia"/>
          <w:sz w:val="32"/>
          <w:szCs w:val="32"/>
          <w:shd w:val="clear" w:color="auto" w:fill="FFFFFF"/>
        </w:rPr>
        <w:t>公务接待费0.00万元，费用支出较年初</w:t>
      </w:r>
      <w:proofErr w:type="gramStart"/>
      <w:r>
        <w:rPr>
          <w:rFonts w:asciiTheme="minorEastAsia" w:eastAsiaTheme="minorEastAsia" w:hAnsiTheme="minorEastAsia" w:cstheme="minorEastAsia"/>
          <w:sz w:val="32"/>
          <w:szCs w:val="32"/>
          <w:shd w:val="clear" w:color="auto" w:fill="FFFFFF"/>
        </w:rPr>
        <w:t>预算数无增减</w:t>
      </w:r>
      <w:proofErr w:type="gramEnd"/>
      <w:r>
        <w:rPr>
          <w:rFonts w:asciiTheme="minorEastAsia" w:eastAsiaTheme="minorEastAsia" w:hAnsiTheme="minorEastAsia" w:cstheme="minorEastAsia"/>
          <w:sz w:val="32"/>
          <w:szCs w:val="32"/>
          <w:shd w:val="clear" w:color="auto" w:fill="FFFFFF"/>
        </w:rPr>
        <w:t>，主要原因是本单位2023年度无接待预算，与上年数持平。较上年</w:t>
      </w:r>
      <w:proofErr w:type="gramStart"/>
      <w:r>
        <w:rPr>
          <w:rFonts w:asciiTheme="minorEastAsia" w:eastAsiaTheme="minorEastAsia" w:hAnsiTheme="minorEastAsia" w:cstheme="minorEastAsia"/>
          <w:sz w:val="32"/>
          <w:szCs w:val="32"/>
          <w:shd w:val="clear" w:color="auto" w:fill="FFFFFF"/>
        </w:rPr>
        <w:t>支出数无增减</w:t>
      </w:r>
      <w:proofErr w:type="gramEnd"/>
      <w:r>
        <w:rPr>
          <w:rFonts w:asciiTheme="minorEastAsia" w:eastAsiaTheme="minorEastAsia" w:hAnsiTheme="minorEastAsia" w:cstheme="minorEastAsia"/>
          <w:sz w:val="32"/>
          <w:szCs w:val="32"/>
          <w:shd w:val="clear" w:color="auto" w:fill="FFFFFF"/>
        </w:rPr>
        <w:t>，主要原因是本单位2023年度无公务车公务接待支出，与上年数持平。</w:t>
      </w:r>
    </w:p>
    <w:p w:rsidR="001E028F" w:rsidRDefault="003059E7">
      <w:pPr>
        <w:pStyle w:val="1"/>
        <w:autoSpaceDE w:val="0"/>
        <w:ind w:firstLine="643"/>
        <w:rPr>
          <w:rFonts w:asciiTheme="majorEastAsia" w:eastAsiaTheme="majorEastAsia" w:hAnsiTheme="majorEastAsia" w:cstheme="majorEastAsia"/>
          <w:b/>
          <w:bCs/>
          <w:sz w:val="32"/>
          <w:szCs w:val="32"/>
          <w:shd w:val="clear" w:color="auto" w:fill="FFFFFF"/>
        </w:rPr>
      </w:pPr>
      <w:r>
        <w:rPr>
          <w:rFonts w:asciiTheme="majorEastAsia" w:eastAsiaTheme="majorEastAsia" w:hAnsiTheme="majorEastAsia" w:cstheme="majorEastAsia" w:hint="eastAsia"/>
          <w:b/>
          <w:bCs/>
          <w:sz w:val="32"/>
          <w:szCs w:val="32"/>
          <w:shd w:val="clear" w:color="auto" w:fill="FFFFFF"/>
        </w:rPr>
        <w:t>（三）“三公”经费实物量情况</w:t>
      </w:r>
    </w:p>
    <w:p w:rsidR="001E028F" w:rsidRDefault="003059E7">
      <w:pPr>
        <w:pStyle w:val="a6"/>
        <w:snapToGrid w:val="0"/>
        <w:spacing w:before="0" w:beforeAutospacing="0" w:after="0" w:afterAutospacing="0" w:line="600" w:lineRule="exact"/>
        <w:ind w:firstLineChars="200" w:firstLine="640"/>
        <w:jc w:val="both"/>
        <w:rPr>
          <w:rFonts w:asciiTheme="majorEastAsia" w:eastAsiaTheme="majorEastAsia" w:hAnsiTheme="majorEastAsia" w:cstheme="majorEastAsia" w:hint="default"/>
          <w:sz w:val="32"/>
          <w:szCs w:val="32"/>
        </w:rPr>
      </w:pPr>
      <w:r>
        <w:rPr>
          <w:rFonts w:asciiTheme="minorEastAsia" w:eastAsiaTheme="minorEastAsia" w:hAnsiTheme="minorEastAsia" w:cstheme="minorEastAsia"/>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rsidR="001E028F" w:rsidRDefault="003059E7">
      <w:pPr>
        <w:pStyle w:val="a6"/>
        <w:shd w:val="clear" w:color="auto" w:fill="FFFFFF"/>
        <w:rPr>
          <w:rStyle w:val="a8"/>
          <w:rFonts w:asciiTheme="majorEastAsia" w:eastAsiaTheme="majorEastAsia" w:hAnsiTheme="majorEastAsia" w:cstheme="majorEastAsia" w:hint="default"/>
          <w:sz w:val="32"/>
          <w:szCs w:val="32"/>
          <w:shd w:val="clear" w:color="auto" w:fill="FFFFFF"/>
        </w:rPr>
      </w:pPr>
      <w:r>
        <w:rPr>
          <w:rStyle w:val="a8"/>
          <w:rFonts w:asciiTheme="majorEastAsia" w:eastAsiaTheme="majorEastAsia" w:hAnsiTheme="majorEastAsia" w:cstheme="majorEastAsia"/>
          <w:sz w:val="32"/>
          <w:szCs w:val="32"/>
          <w:shd w:val="clear" w:color="auto" w:fill="FFFFFF"/>
        </w:rPr>
        <w:t>四、其他需要说明的事项</w:t>
      </w:r>
    </w:p>
    <w:p w:rsidR="001E028F" w:rsidRDefault="003059E7" w:rsidP="00061B46">
      <w:pPr>
        <w:pStyle w:val="1"/>
        <w:autoSpaceDE w:val="0"/>
        <w:ind w:firstLineChars="180" w:firstLine="578"/>
        <w:rPr>
          <w:rFonts w:asciiTheme="majorEastAsia" w:eastAsiaTheme="majorEastAsia" w:hAnsiTheme="majorEastAsia" w:cstheme="majorEastAsia"/>
          <w:b/>
          <w:bCs/>
          <w:sz w:val="32"/>
          <w:szCs w:val="32"/>
          <w:shd w:val="clear" w:color="auto" w:fill="FFFFFF"/>
        </w:rPr>
      </w:pPr>
      <w:r>
        <w:rPr>
          <w:rFonts w:asciiTheme="majorEastAsia" w:eastAsiaTheme="majorEastAsia" w:hAnsiTheme="majorEastAsia" w:cstheme="majorEastAsia" w:hint="eastAsia"/>
          <w:b/>
          <w:bCs/>
          <w:sz w:val="32"/>
          <w:szCs w:val="32"/>
          <w:shd w:val="clear" w:color="auto" w:fill="FFFFFF"/>
        </w:rPr>
        <w:t>（一）财政拨款会议费和培训费情况说明</w:t>
      </w:r>
    </w:p>
    <w:p w:rsidR="001E028F" w:rsidRDefault="003059E7">
      <w:pPr>
        <w:pStyle w:val="a6"/>
        <w:snapToGrid w:val="0"/>
        <w:spacing w:before="0" w:beforeAutospacing="0" w:after="0" w:afterAutospacing="0" w:line="600" w:lineRule="exact"/>
        <w:ind w:firstLineChars="200" w:firstLine="640"/>
        <w:jc w:val="both"/>
        <w:rPr>
          <w:rFonts w:asciiTheme="majorEastAsia" w:eastAsiaTheme="majorEastAsia" w:hAnsiTheme="majorEastAsia" w:cstheme="majorEastAsia" w:hint="default"/>
          <w:sz w:val="32"/>
          <w:szCs w:val="32"/>
        </w:rPr>
      </w:pPr>
      <w:r>
        <w:rPr>
          <w:rFonts w:asciiTheme="majorEastAsia" w:eastAsiaTheme="majorEastAsia" w:hAnsiTheme="majorEastAsia" w:cstheme="majorEastAsia"/>
          <w:sz w:val="32"/>
          <w:szCs w:val="32"/>
          <w:shd w:val="clear" w:color="auto" w:fill="FFFFFF"/>
        </w:rPr>
        <w:t>本年度会议费支出</w:t>
      </w:r>
      <w:r>
        <w:rPr>
          <w:rFonts w:asciiTheme="majorEastAsia" w:eastAsiaTheme="majorEastAsia" w:hAnsiTheme="majorEastAsia" w:cstheme="majorEastAsia"/>
          <w:sz w:val="32"/>
          <w:szCs w:val="32"/>
        </w:rPr>
        <w:t>0.00</w:t>
      </w:r>
      <w:r>
        <w:rPr>
          <w:rFonts w:asciiTheme="majorEastAsia" w:eastAsiaTheme="majorEastAsia" w:hAnsiTheme="majorEastAsia" w:cstheme="majorEastAsia"/>
          <w:sz w:val="32"/>
          <w:szCs w:val="32"/>
          <w:shd w:val="clear" w:color="auto" w:fill="FFFFFF"/>
        </w:rPr>
        <w:t>万元，较上年</w:t>
      </w:r>
      <w:proofErr w:type="gramStart"/>
      <w:r>
        <w:rPr>
          <w:rFonts w:asciiTheme="majorEastAsia" w:eastAsiaTheme="majorEastAsia" w:hAnsiTheme="majorEastAsia" w:cstheme="majorEastAsia"/>
          <w:sz w:val="32"/>
          <w:szCs w:val="32"/>
          <w:shd w:val="clear" w:color="auto" w:fill="FFFFFF"/>
        </w:rPr>
        <w:t>决算数无增减</w:t>
      </w:r>
      <w:proofErr w:type="gramEnd"/>
      <w:r>
        <w:rPr>
          <w:rFonts w:asciiTheme="majorEastAsia" w:eastAsiaTheme="majorEastAsia" w:hAnsiTheme="majorEastAsia" w:cstheme="majorEastAsia"/>
          <w:sz w:val="32"/>
          <w:szCs w:val="32"/>
          <w:shd w:val="clear" w:color="auto" w:fill="FFFFFF"/>
        </w:rPr>
        <w:t>，与上年数持平。本年度培训费支出</w:t>
      </w:r>
      <w:r>
        <w:rPr>
          <w:rFonts w:asciiTheme="majorEastAsia" w:eastAsiaTheme="majorEastAsia" w:hAnsiTheme="majorEastAsia" w:cstheme="majorEastAsia"/>
          <w:sz w:val="32"/>
          <w:szCs w:val="32"/>
        </w:rPr>
        <w:t>2.11</w:t>
      </w:r>
      <w:r>
        <w:rPr>
          <w:rFonts w:asciiTheme="majorEastAsia" w:eastAsiaTheme="majorEastAsia" w:hAnsiTheme="majorEastAsia" w:cstheme="majorEastAsia"/>
          <w:sz w:val="32"/>
          <w:szCs w:val="32"/>
          <w:shd w:val="clear" w:color="auto" w:fill="FFFFFF"/>
        </w:rPr>
        <w:t>万元，较上年决算</w:t>
      </w:r>
      <w:r>
        <w:rPr>
          <w:rFonts w:asciiTheme="majorEastAsia" w:eastAsiaTheme="majorEastAsia" w:hAnsiTheme="majorEastAsia" w:cstheme="majorEastAsia"/>
          <w:sz w:val="32"/>
          <w:szCs w:val="32"/>
          <w:shd w:val="clear" w:color="auto" w:fill="FFFFFF"/>
        </w:rPr>
        <w:lastRenderedPageBreak/>
        <w:t>数减少0.47万元，下降18.22%，主要原因是教师人数减少导致培训人次减少。</w:t>
      </w:r>
    </w:p>
    <w:p w:rsidR="001E028F" w:rsidRDefault="003059E7">
      <w:pPr>
        <w:pStyle w:val="1"/>
        <w:autoSpaceDE w:val="0"/>
        <w:ind w:firstLine="643"/>
        <w:rPr>
          <w:rFonts w:asciiTheme="majorEastAsia" w:eastAsiaTheme="majorEastAsia" w:hAnsiTheme="majorEastAsia" w:cstheme="majorEastAsia"/>
          <w:b/>
          <w:bCs/>
          <w:sz w:val="32"/>
          <w:szCs w:val="32"/>
          <w:shd w:val="clear" w:color="auto" w:fill="FFFFFF"/>
        </w:rPr>
      </w:pPr>
      <w:r>
        <w:rPr>
          <w:rFonts w:asciiTheme="majorEastAsia" w:eastAsiaTheme="majorEastAsia" w:hAnsiTheme="majorEastAsia" w:cstheme="majorEastAsia" w:hint="eastAsia"/>
          <w:b/>
          <w:bCs/>
          <w:sz w:val="32"/>
          <w:szCs w:val="32"/>
          <w:shd w:val="clear" w:color="auto" w:fill="FFFFFF"/>
        </w:rPr>
        <w:t>（二）机关运行经费情况说明</w:t>
      </w:r>
    </w:p>
    <w:p w:rsidR="001E028F" w:rsidRDefault="003059E7">
      <w:pPr>
        <w:pStyle w:val="1"/>
        <w:autoSpaceDE w:val="0"/>
        <w:ind w:firstLine="640"/>
        <w:rPr>
          <w:rFonts w:asciiTheme="majorEastAsia" w:eastAsiaTheme="majorEastAsia" w:hAnsiTheme="majorEastAsia" w:cstheme="majorEastAsia"/>
          <w:sz w:val="32"/>
          <w:szCs w:val="32"/>
          <w:shd w:val="clear" w:color="auto" w:fill="FFFFFF"/>
        </w:rPr>
      </w:pPr>
      <w:r>
        <w:rPr>
          <w:rFonts w:asciiTheme="majorEastAsia" w:eastAsiaTheme="majorEastAsia" w:hAnsiTheme="majorEastAsia" w:cstheme="majorEastAsia" w:hint="eastAsia"/>
          <w:sz w:val="32"/>
          <w:szCs w:val="32"/>
          <w:shd w:val="clear" w:color="auto" w:fill="FFFFFF"/>
        </w:rPr>
        <w:t>按照部门决算列报口径,我单位不在机关运行经费统计范围之内。</w:t>
      </w:r>
    </w:p>
    <w:p w:rsidR="001E028F" w:rsidRDefault="003059E7">
      <w:pPr>
        <w:pStyle w:val="1"/>
        <w:autoSpaceDE w:val="0"/>
        <w:ind w:firstLine="643"/>
        <w:rPr>
          <w:rFonts w:asciiTheme="majorEastAsia" w:eastAsiaTheme="majorEastAsia" w:hAnsiTheme="majorEastAsia" w:cstheme="majorEastAsia"/>
          <w:b/>
          <w:bCs/>
          <w:sz w:val="32"/>
          <w:szCs w:val="32"/>
          <w:shd w:val="clear" w:color="auto" w:fill="FFFFFF"/>
        </w:rPr>
      </w:pPr>
      <w:r>
        <w:rPr>
          <w:rFonts w:asciiTheme="majorEastAsia" w:eastAsiaTheme="majorEastAsia" w:hAnsiTheme="majorEastAsia" w:cstheme="majorEastAsia" w:hint="eastAsia"/>
          <w:b/>
          <w:bCs/>
          <w:sz w:val="32"/>
          <w:szCs w:val="32"/>
          <w:shd w:val="clear" w:color="auto" w:fill="FFFFFF"/>
        </w:rPr>
        <w:t>（三）国有资产占用情况说明</w:t>
      </w:r>
    </w:p>
    <w:p w:rsidR="001E028F" w:rsidRDefault="003059E7">
      <w:pPr>
        <w:pStyle w:val="a6"/>
        <w:snapToGrid w:val="0"/>
        <w:spacing w:before="0" w:beforeAutospacing="0" w:after="0" w:afterAutospacing="0" w:line="600" w:lineRule="exact"/>
        <w:ind w:firstLineChars="200" w:firstLine="640"/>
        <w:jc w:val="both"/>
        <w:rPr>
          <w:rFonts w:asciiTheme="majorEastAsia" w:eastAsiaTheme="majorEastAsia" w:hAnsiTheme="majorEastAsia" w:cstheme="majorEastAsia" w:hint="default"/>
          <w:sz w:val="32"/>
          <w:szCs w:val="32"/>
        </w:rPr>
      </w:pPr>
      <w:r>
        <w:rPr>
          <w:rFonts w:asciiTheme="majorEastAsia" w:eastAsiaTheme="majorEastAsia" w:hAnsiTheme="majorEastAsia" w:cstheme="majorEastAsia"/>
          <w:sz w:val="32"/>
          <w:szCs w:val="32"/>
          <w:shd w:val="clear" w:color="auto" w:fill="FFFFFF"/>
        </w:rPr>
        <w:t>截至2023年12月31日，本单位共有车辆</w:t>
      </w:r>
      <w:r>
        <w:rPr>
          <w:rFonts w:asciiTheme="majorEastAsia" w:eastAsiaTheme="majorEastAsia" w:hAnsiTheme="majorEastAsia" w:cstheme="majorEastAsia"/>
          <w:sz w:val="32"/>
          <w:szCs w:val="32"/>
        </w:rPr>
        <w:t>0</w:t>
      </w:r>
      <w:r>
        <w:rPr>
          <w:rFonts w:asciiTheme="majorEastAsia" w:eastAsiaTheme="majorEastAsia" w:hAnsiTheme="majorEastAsia" w:cstheme="majorEastAsia"/>
          <w:sz w:val="32"/>
          <w:szCs w:val="32"/>
          <w:shd w:val="clear" w:color="auto" w:fill="FFFFFF"/>
        </w:rPr>
        <w:t>辆，其中，副部（省）级及以上领导用车</w:t>
      </w:r>
      <w:r>
        <w:rPr>
          <w:rFonts w:asciiTheme="majorEastAsia" w:eastAsiaTheme="majorEastAsia" w:hAnsiTheme="majorEastAsia" w:cstheme="majorEastAsia"/>
          <w:sz w:val="32"/>
          <w:szCs w:val="32"/>
        </w:rPr>
        <w:t>0</w:t>
      </w:r>
      <w:r>
        <w:rPr>
          <w:rFonts w:asciiTheme="majorEastAsia" w:eastAsiaTheme="majorEastAsia" w:hAnsiTheme="majorEastAsia" w:cstheme="majorEastAsia"/>
          <w:sz w:val="32"/>
          <w:szCs w:val="32"/>
          <w:shd w:val="clear" w:color="auto" w:fill="FFFFFF"/>
        </w:rPr>
        <w:t>辆、主要负责人用车</w:t>
      </w:r>
      <w:r>
        <w:rPr>
          <w:rFonts w:asciiTheme="majorEastAsia" w:eastAsiaTheme="majorEastAsia" w:hAnsiTheme="majorEastAsia" w:cstheme="majorEastAsia"/>
          <w:sz w:val="32"/>
          <w:szCs w:val="32"/>
        </w:rPr>
        <w:t>0</w:t>
      </w:r>
      <w:r>
        <w:rPr>
          <w:rFonts w:asciiTheme="majorEastAsia" w:eastAsiaTheme="majorEastAsia" w:hAnsiTheme="majorEastAsia" w:cstheme="majorEastAsia"/>
          <w:sz w:val="32"/>
          <w:szCs w:val="32"/>
          <w:shd w:val="clear" w:color="auto" w:fill="FFFFFF"/>
        </w:rPr>
        <w:t>辆、机要通信用车</w:t>
      </w:r>
      <w:r>
        <w:rPr>
          <w:rFonts w:asciiTheme="majorEastAsia" w:eastAsiaTheme="majorEastAsia" w:hAnsiTheme="majorEastAsia" w:cstheme="majorEastAsia"/>
          <w:sz w:val="32"/>
          <w:szCs w:val="32"/>
        </w:rPr>
        <w:t>0</w:t>
      </w:r>
      <w:r>
        <w:rPr>
          <w:rFonts w:asciiTheme="majorEastAsia" w:eastAsiaTheme="majorEastAsia" w:hAnsiTheme="majorEastAsia" w:cstheme="majorEastAsia"/>
          <w:sz w:val="32"/>
          <w:szCs w:val="32"/>
          <w:shd w:val="clear" w:color="auto" w:fill="FFFFFF"/>
        </w:rPr>
        <w:t>辆、应急保障用车</w:t>
      </w:r>
      <w:r>
        <w:rPr>
          <w:rFonts w:asciiTheme="majorEastAsia" w:eastAsiaTheme="majorEastAsia" w:hAnsiTheme="majorEastAsia" w:cstheme="majorEastAsia"/>
          <w:sz w:val="32"/>
          <w:szCs w:val="32"/>
        </w:rPr>
        <w:t>0</w:t>
      </w:r>
      <w:r>
        <w:rPr>
          <w:rFonts w:asciiTheme="majorEastAsia" w:eastAsiaTheme="majorEastAsia" w:hAnsiTheme="majorEastAsia" w:cstheme="majorEastAsia"/>
          <w:sz w:val="32"/>
          <w:szCs w:val="32"/>
          <w:shd w:val="clear" w:color="auto" w:fill="FFFFFF"/>
        </w:rPr>
        <w:t>辆、执法执勤用车</w:t>
      </w:r>
      <w:r>
        <w:rPr>
          <w:rFonts w:asciiTheme="majorEastAsia" w:eastAsiaTheme="majorEastAsia" w:hAnsiTheme="majorEastAsia" w:cstheme="majorEastAsia"/>
          <w:sz w:val="32"/>
          <w:szCs w:val="32"/>
        </w:rPr>
        <w:t>0</w:t>
      </w:r>
      <w:r>
        <w:rPr>
          <w:rFonts w:asciiTheme="majorEastAsia" w:eastAsiaTheme="majorEastAsia" w:hAnsiTheme="majorEastAsia" w:cstheme="majorEastAsia"/>
          <w:sz w:val="32"/>
          <w:szCs w:val="32"/>
          <w:shd w:val="clear" w:color="auto" w:fill="FFFFFF"/>
        </w:rPr>
        <w:t>辆，特种专业技术用车</w:t>
      </w:r>
      <w:r>
        <w:rPr>
          <w:rFonts w:asciiTheme="majorEastAsia" w:eastAsiaTheme="majorEastAsia" w:hAnsiTheme="majorEastAsia" w:cstheme="majorEastAsia"/>
          <w:sz w:val="32"/>
          <w:szCs w:val="32"/>
        </w:rPr>
        <w:t>0</w:t>
      </w:r>
      <w:r>
        <w:rPr>
          <w:rFonts w:asciiTheme="majorEastAsia" w:eastAsiaTheme="majorEastAsia" w:hAnsiTheme="majorEastAsia" w:cstheme="majorEastAsia"/>
          <w:sz w:val="32"/>
          <w:szCs w:val="32"/>
          <w:shd w:val="clear" w:color="auto" w:fill="FFFFFF"/>
        </w:rPr>
        <w:t>辆，离退休干部用车</w:t>
      </w:r>
      <w:r>
        <w:rPr>
          <w:rFonts w:asciiTheme="majorEastAsia" w:eastAsiaTheme="majorEastAsia" w:hAnsiTheme="majorEastAsia" w:cstheme="majorEastAsia"/>
          <w:sz w:val="32"/>
          <w:szCs w:val="32"/>
        </w:rPr>
        <w:t>0</w:t>
      </w:r>
      <w:r>
        <w:rPr>
          <w:rFonts w:asciiTheme="majorEastAsia" w:eastAsiaTheme="majorEastAsia" w:hAnsiTheme="majorEastAsia" w:cstheme="majorEastAsia"/>
          <w:sz w:val="32"/>
          <w:szCs w:val="32"/>
          <w:shd w:val="clear" w:color="auto" w:fill="FFFFFF"/>
        </w:rPr>
        <w:t>辆。单价100万元（含）以上专用设备</w:t>
      </w:r>
      <w:r>
        <w:rPr>
          <w:rFonts w:asciiTheme="majorEastAsia" w:eastAsiaTheme="majorEastAsia" w:hAnsiTheme="majorEastAsia" w:cstheme="majorEastAsia"/>
          <w:sz w:val="32"/>
          <w:szCs w:val="32"/>
        </w:rPr>
        <w:t>0</w:t>
      </w:r>
      <w:r>
        <w:rPr>
          <w:rFonts w:asciiTheme="majorEastAsia" w:eastAsiaTheme="majorEastAsia" w:hAnsiTheme="majorEastAsia" w:cstheme="majorEastAsia"/>
          <w:sz w:val="32"/>
          <w:szCs w:val="32"/>
          <w:shd w:val="clear" w:color="auto" w:fill="FFFFFF"/>
        </w:rPr>
        <w:t>台（套）。</w:t>
      </w:r>
    </w:p>
    <w:p w:rsidR="001E028F" w:rsidRDefault="003059E7">
      <w:pPr>
        <w:pStyle w:val="1"/>
        <w:autoSpaceDE w:val="0"/>
        <w:ind w:firstLine="643"/>
        <w:rPr>
          <w:rFonts w:asciiTheme="majorEastAsia" w:eastAsiaTheme="majorEastAsia" w:hAnsiTheme="majorEastAsia" w:cstheme="majorEastAsia"/>
          <w:b/>
          <w:bCs/>
          <w:sz w:val="32"/>
          <w:szCs w:val="32"/>
          <w:shd w:val="clear" w:color="auto" w:fill="FFFFFF"/>
        </w:rPr>
      </w:pPr>
      <w:r>
        <w:rPr>
          <w:rFonts w:asciiTheme="majorEastAsia" w:eastAsiaTheme="majorEastAsia" w:hAnsiTheme="majorEastAsia" w:cstheme="majorEastAsia" w:hint="eastAsia"/>
          <w:b/>
          <w:bCs/>
          <w:sz w:val="32"/>
          <w:szCs w:val="32"/>
          <w:shd w:val="clear" w:color="auto" w:fill="FFFFFF"/>
        </w:rPr>
        <w:t>（四）政府采购支出情况说明</w:t>
      </w:r>
    </w:p>
    <w:p w:rsidR="001E028F" w:rsidRDefault="003059E7">
      <w:pPr>
        <w:pStyle w:val="a6"/>
        <w:snapToGrid w:val="0"/>
        <w:spacing w:before="0" w:beforeAutospacing="0" w:after="0" w:afterAutospacing="0" w:line="600" w:lineRule="exact"/>
        <w:ind w:firstLineChars="200" w:firstLine="640"/>
        <w:jc w:val="both"/>
        <w:rPr>
          <w:rFonts w:asciiTheme="majorEastAsia" w:eastAsiaTheme="majorEastAsia" w:hAnsiTheme="majorEastAsia" w:cstheme="majorEastAsia" w:hint="default"/>
          <w:sz w:val="32"/>
          <w:szCs w:val="32"/>
          <w:shd w:val="clear" w:color="auto" w:fill="FFFFFF"/>
        </w:rPr>
      </w:pPr>
      <w:r>
        <w:rPr>
          <w:rFonts w:asciiTheme="majorEastAsia" w:eastAsiaTheme="majorEastAsia" w:hAnsiTheme="majorEastAsia" w:cstheme="majorEastAsia"/>
          <w:sz w:val="32"/>
          <w:szCs w:val="32"/>
          <w:shd w:val="clear" w:color="auto" w:fill="FFFFFF"/>
        </w:rPr>
        <w:t>2023年度我单位未发生政府采购事项，无相关经费支出。</w:t>
      </w:r>
    </w:p>
    <w:p w:rsidR="001E028F" w:rsidRDefault="003059E7">
      <w:pPr>
        <w:pStyle w:val="a6"/>
        <w:numPr>
          <w:ilvl w:val="0"/>
          <w:numId w:val="1"/>
        </w:numPr>
        <w:shd w:val="clear" w:color="auto" w:fill="FFFFFF"/>
        <w:rPr>
          <w:rStyle w:val="a8"/>
          <w:rFonts w:asciiTheme="majorEastAsia" w:eastAsiaTheme="majorEastAsia" w:hAnsiTheme="majorEastAsia" w:cstheme="majorEastAsia" w:hint="default"/>
          <w:sz w:val="32"/>
          <w:szCs w:val="32"/>
          <w:shd w:val="clear" w:color="auto" w:fill="FFFFFF"/>
        </w:rPr>
      </w:pPr>
      <w:r>
        <w:rPr>
          <w:rStyle w:val="a8"/>
          <w:rFonts w:asciiTheme="majorEastAsia" w:eastAsiaTheme="majorEastAsia" w:hAnsiTheme="majorEastAsia" w:cstheme="majorEastAsia"/>
          <w:sz w:val="32"/>
          <w:szCs w:val="32"/>
          <w:shd w:val="clear" w:color="auto" w:fill="FFFFFF"/>
        </w:rPr>
        <w:t>预算绩效管理情况说明</w:t>
      </w:r>
    </w:p>
    <w:p w:rsidR="001E028F" w:rsidRDefault="003059E7">
      <w:pPr>
        <w:pStyle w:val="1"/>
        <w:autoSpaceDE w:val="0"/>
        <w:ind w:firstLine="643"/>
        <w:rPr>
          <w:rFonts w:asciiTheme="majorEastAsia" w:eastAsiaTheme="majorEastAsia" w:hAnsiTheme="majorEastAsia" w:cstheme="majorEastAsia"/>
          <w:b/>
          <w:bCs/>
          <w:sz w:val="32"/>
          <w:szCs w:val="32"/>
          <w:shd w:val="clear" w:color="auto" w:fill="FFFFFF"/>
        </w:rPr>
      </w:pPr>
      <w:r>
        <w:rPr>
          <w:rFonts w:asciiTheme="majorEastAsia" w:eastAsiaTheme="majorEastAsia" w:hAnsiTheme="majorEastAsia" w:cstheme="majorEastAsia" w:hint="eastAsia"/>
          <w:b/>
          <w:bCs/>
          <w:sz w:val="32"/>
          <w:szCs w:val="32"/>
          <w:shd w:val="clear" w:color="auto" w:fill="FFFFFF"/>
        </w:rPr>
        <w:t>（一）单位自评情况</w:t>
      </w:r>
    </w:p>
    <w:p w:rsidR="001E028F" w:rsidRDefault="003059E7">
      <w:pPr>
        <w:pStyle w:val="Char0"/>
        <w:autoSpaceDE w:val="0"/>
        <w:spacing w:before="0" w:beforeAutospacing="0" w:line="600" w:lineRule="exact"/>
        <w:ind w:firstLineChars="200" w:firstLine="640"/>
        <w:rPr>
          <w:rFonts w:asciiTheme="majorEastAsia" w:eastAsiaTheme="majorEastAsia" w:hAnsiTheme="majorEastAsia" w:cstheme="majorEastAsia"/>
          <w:sz w:val="32"/>
          <w:szCs w:val="32"/>
          <w:highlight w:val="yellow"/>
          <w:shd w:val="clear" w:color="auto" w:fill="FFFFFF"/>
        </w:rPr>
      </w:pPr>
      <w:r>
        <w:rPr>
          <w:rFonts w:asciiTheme="majorEastAsia" w:eastAsiaTheme="majorEastAsia" w:hAnsiTheme="majorEastAsia" w:cstheme="majorEastAsia" w:hint="eastAsia"/>
          <w:sz w:val="32"/>
          <w:szCs w:val="32"/>
          <w:shd w:val="clear" w:color="auto" w:fill="FFFFFF"/>
        </w:rPr>
        <w:t>根据预算绩效管理要求，我单位对部门整体和0个一级项目、15个二级项目开展了绩效自评，涉及财政拨款项目支出资金239.03万元。</w:t>
      </w:r>
    </w:p>
    <w:p w:rsidR="001E028F" w:rsidRDefault="003059E7">
      <w:pPr>
        <w:pStyle w:val="1"/>
        <w:autoSpaceDE w:val="0"/>
        <w:ind w:firstLine="643"/>
        <w:rPr>
          <w:rFonts w:asciiTheme="majorEastAsia" w:eastAsiaTheme="majorEastAsia" w:hAnsiTheme="majorEastAsia" w:cstheme="majorEastAsia"/>
          <w:b/>
          <w:bCs/>
          <w:sz w:val="32"/>
          <w:szCs w:val="32"/>
          <w:shd w:val="clear" w:color="auto" w:fill="FFFFFF"/>
        </w:rPr>
      </w:pPr>
      <w:r>
        <w:rPr>
          <w:rFonts w:asciiTheme="majorEastAsia" w:eastAsiaTheme="majorEastAsia" w:hAnsiTheme="majorEastAsia" w:cstheme="majorEastAsia" w:hint="eastAsia"/>
          <w:b/>
          <w:bCs/>
          <w:sz w:val="32"/>
          <w:szCs w:val="32"/>
          <w:shd w:val="clear" w:color="auto" w:fill="FFFFFF"/>
        </w:rPr>
        <w:t>（二）单位绩效评价情况</w:t>
      </w:r>
    </w:p>
    <w:p w:rsidR="001E028F" w:rsidRDefault="003059E7">
      <w:pPr>
        <w:pStyle w:val="1"/>
        <w:autoSpaceDE w:val="0"/>
        <w:ind w:firstLine="640"/>
        <w:rPr>
          <w:rFonts w:asciiTheme="majorEastAsia" w:eastAsiaTheme="majorEastAsia" w:hAnsiTheme="majorEastAsia" w:cstheme="majorEastAsia"/>
          <w:sz w:val="32"/>
          <w:szCs w:val="32"/>
          <w:shd w:val="clear" w:color="auto" w:fill="FFFFFF"/>
        </w:rPr>
      </w:pPr>
      <w:r>
        <w:rPr>
          <w:rFonts w:asciiTheme="majorEastAsia" w:eastAsiaTheme="majorEastAsia" w:hAnsiTheme="majorEastAsia" w:cstheme="majorEastAsia" w:hint="eastAsia"/>
          <w:sz w:val="32"/>
          <w:szCs w:val="32"/>
          <w:shd w:val="clear" w:color="auto" w:fill="FFFFFF"/>
        </w:rPr>
        <w:t>我单位未组织开展绩效评价。</w:t>
      </w:r>
    </w:p>
    <w:p w:rsidR="001E028F" w:rsidRDefault="003059E7">
      <w:pPr>
        <w:pStyle w:val="1"/>
        <w:autoSpaceDE w:val="0"/>
        <w:ind w:firstLine="643"/>
        <w:rPr>
          <w:rFonts w:asciiTheme="majorEastAsia" w:eastAsiaTheme="majorEastAsia" w:hAnsiTheme="majorEastAsia" w:cstheme="majorEastAsia"/>
          <w:b/>
          <w:bCs/>
          <w:sz w:val="32"/>
          <w:szCs w:val="32"/>
          <w:shd w:val="clear" w:color="auto" w:fill="FFFFFF"/>
        </w:rPr>
      </w:pPr>
      <w:r>
        <w:rPr>
          <w:rFonts w:asciiTheme="majorEastAsia" w:eastAsiaTheme="majorEastAsia" w:hAnsiTheme="majorEastAsia" w:cstheme="majorEastAsia" w:hint="eastAsia"/>
          <w:b/>
          <w:bCs/>
          <w:sz w:val="32"/>
          <w:szCs w:val="32"/>
          <w:shd w:val="clear" w:color="auto" w:fill="FFFFFF"/>
        </w:rPr>
        <w:lastRenderedPageBreak/>
        <w:t>（三）财政绩效评价情况</w:t>
      </w:r>
    </w:p>
    <w:p w:rsidR="001E028F" w:rsidRDefault="003059E7">
      <w:pPr>
        <w:pStyle w:val="1"/>
        <w:autoSpaceDE w:val="0"/>
        <w:ind w:firstLine="640"/>
        <w:rPr>
          <w:rFonts w:asciiTheme="majorEastAsia" w:eastAsiaTheme="majorEastAsia" w:hAnsiTheme="majorEastAsia" w:cstheme="majorEastAsia"/>
          <w:sz w:val="32"/>
          <w:szCs w:val="32"/>
          <w:shd w:val="clear" w:color="auto" w:fill="FFFFFF"/>
        </w:rPr>
      </w:pPr>
      <w:r>
        <w:rPr>
          <w:rFonts w:asciiTheme="majorEastAsia" w:eastAsiaTheme="majorEastAsia" w:hAnsiTheme="majorEastAsia" w:cstheme="majorEastAsia" w:hint="eastAsia"/>
          <w:sz w:val="32"/>
          <w:szCs w:val="32"/>
          <w:shd w:val="clear" w:color="auto" w:fill="FFFFFF"/>
        </w:rPr>
        <w:t>县财政局未委托第三方对我单位开展绩效评价。</w:t>
      </w:r>
    </w:p>
    <w:p w:rsidR="001E028F" w:rsidRDefault="003059E7">
      <w:pPr>
        <w:pStyle w:val="a6"/>
        <w:shd w:val="clear" w:color="auto" w:fill="FFFFFF"/>
        <w:rPr>
          <w:rStyle w:val="a8"/>
          <w:rFonts w:asciiTheme="majorEastAsia" w:eastAsiaTheme="majorEastAsia" w:hAnsiTheme="majorEastAsia" w:cstheme="majorEastAsia" w:hint="default"/>
          <w:sz w:val="32"/>
          <w:szCs w:val="32"/>
          <w:shd w:val="clear" w:color="auto" w:fill="FFFFFF"/>
        </w:rPr>
      </w:pPr>
      <w:r>
        <w:rPr>
          <w:rStyle w:val="a8"/>
          <w:rFonts w:asciiTheme="majorEastAsia" w:eastAsiaTheme="majorEastAsia" w:hAnsiTheme="majorEastAsia" w:cstheme="majorEastAsia"/>
          <w:sz w:val="32"/>
          <w:szCs w:val="32"/>
          <w:shd w:val="clear" w:color="auto" w:fill="FFFFFF"/>
        </w:rPr>
        <w:t>六、专业名词解释</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rPr>
      </w:pPr>
      <w:r>
        <w:rPr>
          <w:rFonts w:asciiTheme="majorEastAsia" w:eastAsiaTheme="majorEastAsia" w:hAnsiTheme="majorEastAsia" w:cstheme="majorEastAsia"/>
          <w:b/>
          <w:bCs/>
          <w:sz w:val="32"/>
          <w:szCs w:val="32"/>
          <w:shd w:val="clear" w:color="auto" w:fill="FFFFFF"/>
        </w:rPr>
        <w:t>（一）财政拨款收入：</w:t>
      </w:r>
      <w:r>
        <w:rPr>
          <w:rFonts w:asciiTheme="majorEastAsia" w:eastAsiaTheme="majorEastAsia" w:hAnsiTheme="majorEastAsia" w:cstheme="majorEastAsia"/>
          <w:sz w:val="32"/>
          <w:szCs w:val="32"/>
          <w:shd w:val="clear" w:color="auto" w:fill="FFFFFF"/>
        </w:rPr>
        <w:t>指本年度从本级财政部门取得的财政拨款，包括一般公共预算财政拨款和政府性基金预算财政拨款。</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（二）事业收入</w:t>
      </w:r>
      <w:r>
        <w:rPr>
          <w:rFonts w:asciiTheme="majorEastAsia" w:eastAsiaTheme="majorEastAsia" w:hAnsiTheme="majorEastAsia" w:cstheme="majorEastAsia"/>
          <w:sz w:val="32"/>
          <w:szCs w:val="32"/>
          <w:shd w:val="clear" w:color="auto" w:fill="FFFFFF"/>
        </w:rPr>
        <w:t>：指事业单位开展专业业务活动及其辅助活动取得的现金流入；事业单位收到的财政专户实际核拨的教育收费等资金在此反映。</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（三）经营收入</w:t>
      </w:r>
      <w:r>
        <w:rPr>
          <w:rFonts w:asciiTheme="majorEastAsia" w:eastAsiaTheme="majorEastAsia" w:hAnsiTheme="majorEastAsia" w:cstheme="majorEastAsia"/>
          <w:sz w:val="32"/>
          <w:szCs w:val="32"/>
          <w:shd w:val="clear" w:color="auto" w:fill="FFFFFF"/>
        </w:rPr>
        <w:t>：指事业单位在专业业务活动及其辅助活动之外开展非独立核算经营活动取得的现金流入。</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（四）其他收入</w:t>
      </w:r>
      <w:r>
        <w:rPr>
          <w:rFonts w:asciiTheme="majorEastAsia" w:eastAsiaTheme="majorEastAsia" w:hAnsiTheme="majorEastAsia" w:cstheme="major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（五）使用非财政拨款结余</w:t>
      </w:r>
      <w:r>
        <w:rPr>
          <w:rFonts w:asciiTheme="majorEastAsia" w:eastAsiaTheme="majorEastAsia" w:hAnsiTheme="majorEastAsia" w:cstheme="majorEastAsia"/>
          <w:sz w:val="32"/>
          <w:szCs w:val="32"/>
          <w:shd w:val="clear" w:color="auto" w:fill="FFFFFF"/>
        </w:rPr>
        <w:t>：指单位在当年的“财政拨款收入”、“事业收入”、“经营收入”、“其他收入”等</w:t>
      </w:r>
      <w:r>
        <w:rPr>
          <w:rFonts w:asciiTheme="majorEastAsia" w:eastAsiaTheme="majorEastAsia" w:hAnsiTheme="majorEastAsia" w:cstheme="majorEastAsia"/>
          <w:sz w:val="32"/>
          <w:szCs w:val="32"/>
          <w:shd w:val="clear" w:color="auto" w:fill="FFFFFF"/>
        </w:rPr>
        <w:lastRenderedPageBreak/>
        <w:t>不足以安排当年支出的情况下，使用以前年度积累的非财政拨款结余弥补本年度收支缺口的资金。</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（六）年初结转和结余</w:t>
      </w:r>
      <w:r>
        <w:rPr>
          <w:rFonts w:asciiTheme="majorEastAsia" w:eastAsiaTheme="majorEastAsia" w:hAnsiTheme="majorEastAsia" w:cstheme="majorEastAsia"/>
          <w:sz w:val="32"/>
          <w:szCs w:val="32"/>
          <w:shd w:val="clear" w:color="auto" w:fill="FFFFFF"/>
        </w:rPr>
        <w:t>：指单位上年结转本年使用的基本支出结转、项目支出结转和结余、经营结余。</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（七）结余分配</w:t>
      </w:r>
      <w:r>
        <w:rPr>
          <w:rFonts w:asciiTheme="majorEastAsia" w:eastAsiaTheme="majorEastAsia" w:hAnsiTheme="majorEastAsia" w:cstheme="majorEastAsia"/>
          <w:sz w:val="32"/>
          <w:szCs w:val="32"/>
          <w:shd w:val="clear" w:color="auto" w:fill="FFFFFF"/>
        </w:rPr>
        <w:t>：指单位按照国家有关规定，缴纳所得税、提取专用基金、转入非财政拨款结余等当年结余的分配情况。</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（八）年末结转和结余</w:t>
      </w:r>
      <w:r>
        <w:rPr>
          <w:rFonts w:asciiTheme="majorEastAsia" w:eastAsiaTheme="majorEastAsia" w:hAnsiTheme="majorEastAsia" w:cstheme="majorEastAsia"/>
          <w:sz w:val="32"/>
          <w:szCs w:val="32"/>
          <w:shd w:val="clear" w:color="auto" w:fill="FFFFFF"/>
        </w:rPr>
        <w:t>：指单位结转下年的基本支出结转、项目支出结转和结余、经营结余。</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（九）基本支出</w:t>
      </w:r>
      <w:r>
        <w:rPr>
          <w:rFonts w:asciiTheme="majorEastAsia" w:eastAsiaTheme="majorEastAsia" w:hAnsiTheme="majorEastAsia" w:cstheme="major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（十）项目支出</w:t>
      </w:r>
      <w:r>
        <w:rPr>
          <w:rFonts w:asciiTheme="majorEastAsia" w:eastAsiaTheme="majorEastAsia" w:hAnsiTheme="majorEastAsia" w:cstheme="majorEastAsia"/>
          <w:sz w:val="32"/>
          <w:szCs w:val="32"/>
          <w:shd w:val="clear" w:color="auto" w:fill="FFFFFF"/>
        </w:rPr>
        <w:t>：指在基本支出之外为完成特定行政任务和事业发展目标所发生的支出。</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（十一）经营支出</w:t>
      </w:r>
      <w:r>
        <w:rPr>
          <w:rFonts w:asciiTheme="majorEastAsia" w:eastAsiaTheme="majorEastAsia" w:hAnsiTheme="majorEastAsia" w:cstheme="majorEastAsia"/>
          <w:sz w:val="32"/>
          <w:szCs w:val="32"/>
          <w:shd w:val="clear" w:color="auto" w:fill="FFFFFF"/>
        </w:rPr>
        <w:t>：指事业单位在专业业务活动及其辅助活动之外开展非独立核算经营活动发生的支出。</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（十二）“三公”经费</w:t>
      </w:r>
      <w:r>
        <w:rPr>
          <w:rFonts w:asciiTheme="majorEastAsia" w:eastAsiaTheme="majorEastAsia" w:hAnsiTheme="majorEastAsia" w:cstheme="majorEastAsia"/>
          <w:sz w:val="32"/>
          <w:szCs w:val="32"/>
          <w:shd w:val="clear" w:color="auto" w:fill="FFFFFF"/>
        </w:rPr>
        <w:t>：指用一般公共预算财政拨款安排的因公出国（境）费、公务用车购置及运行维护费、公务接待费。其中，因公出国（境）</w:t>
      </w:r>
      <w:proofErr w:type="gramStart"/>
      <w:r>
        <w:rPr>
          <w:rFonts w:asciiTheme="majorEastAsia" w:eastAsiaTheme="majorEastAsia" w:hAnsiTheme="majorEastAsia" w:cstheme="majorEastAsia"/>
          <w:sz w:val="32"/>
          <w:szCs w:val="32"/>
          <w:shd w:val="clear" w:color="auto" w:fill="FFFFFF"/>
        </w:rPr>
        <w:t>费反映</w:t>
      </w:r>
      <w:proofErr w:type="gramEnd"/>
      <w:r>
        <w:rPr>
          <w:rFonts w:asciiTheme="majorEastAsia" w:eastAsiaTheme="majorEastAsia" w:hAnsiTheme="majorEastAsia" w:cstheme="majorEastAsia"/>
          <w:sz w:val="32"/>
          <w:szCs w:val="32"/>
          <w:shd w:val="clear" w:color="auto" w:fill="FFFFFF"/>
        </w:rPr>
        <w:t>单位公务出国（境）的国际旅费、国外城市间交通费、住宿费、伙食费、培训费、公杂费等支出；公务用车购置</w:t>
      </w:r>
      <w:proofErr w:type="gramStart"/>
      <w:r>
        <w:rPr>
          <w:rFonts w:asciiTheme="majorEastAsia" w:eastAsiaTheme="majorEastAsia" w:hAnsiTheme="majorEastAsia" w:cstheme="majorEastAsia"/>
          <w:sz w:val="32"/>
          <w:szCs w:val="32"/>
          <w:shd w:val="clear" w:color="auto" w:fill="FFFFFF"/>
        </w:rPr>
        <w:t>费反映</w:t>
      </w:r>
      <w:proofErr w:type="gramEnd"/>
      <w:r>
        <w:rPr>
          <w:rFonts w:asciiTheme="majorEastAsia" w:eastAsiaTheme="majorEastAsia" w:hAnsiTheme="majorEastAsia" w:cstheme="majorEastAsia"/>
          <w:sz w:val="32"/>
          <w:szCs w:val="32"/>
          <w:shd w:val="clear" w:color="auto" w:fill="FFFFFF"/>
        </w:rPr>
        <w:t>单位公务用车购置支出</w:t>
      </w:r>
      <w:r>
        <w:rPr>
          <w:rFonts w:asciiTheme="majorEastAsia" w:eastAsiaTheme="majorEastAsia" w:hAnsiTheme="majorEastAsia" w:cstheme="majorEastAsia"/>
          <w:sz w:val="32"/>
          <w:szCs w:val="32"/>
          <w:shd w:val="clear" w:color="auto" w:fill="FFFFFF"/>
        </w:rPr>
        <w:lastRenderedPageBreak/>
        <w:t>（</w:t>
      </w:r>
      <w:proofErr w:type="gramStart"/>
      <w:r>
        <w:rPr>
          <w:rFonts w:asciiTheme="majorEastAsia" w:eastAsiaTheme="majorEastAsia" w:hAnsiTheme="majorEastAsia" w:cstheme="majorEastAsia"/>
          <w:sz w:val="32"/>
          <w:szCs w:val="32"/>
          <w:shd w:val="clear" w:color="auto" w:fill="FFFFFF"/>
        </w:rPr>
        <w:t>含车辆</w:t>
      </w:r>
      <w:proofErr w:type="gramEnd"/>
      <w:r>
        <w:rPr>
          <w:rFonts w:asciiTheme="majorEastAsia" w:eastAsiaTheme="majorEastAsia" w:hAnsiTheme="majorEastAsia" w:cstheme="major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heme="majorEastAsia" w:eastAsiaTheme="majorEastAsia" w:hAnsiTheme="majorEastAsia" w:cstheme="majorEastAsia"/>
          <w:sz w:val="32"/>
          <w:szCs w:val="32"/>
          <w:shd w:val="clear" w:color="auto" w:fill="FFFFFF"/>
        </w:rPr>
        <w:t>费反映</w:t>
      </w:r>
      <w:proofErr w:type="gramEnd"/>
      <w:r>
        <w:rPr>
          <w:rFonts w:asciiTheme="majorEastAsia" w:eastAsiaTheme="majorEastAsia" w:hAnsiTheme="majorEastAsia" w:cstheme="majorEastAsia"/>
          <w:sz w:val="32"/>
          <w:szCs w:val="32"/>
          <w:shd w:val="clear" w:color="auto" w:fill="FFFFFF"/>
        </w:rPr>
        <w:t>单位按规定开支的各类公务接待（含外宾接待）支出。</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（十三）机关运行经费</w:t>
      </w:r>
      <w:r>
        <w:rPr>
          <w:rFonts w:asciiTheme="majorEastAsia" w:eastAsiaTheme="majorEastAsia" w:hAnsiTheme="majorEastAsia" w:cstheme="major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（十四）工资福利支出（支出经济分类科目类级）</w:t>
      </w:r>
      <w:r>
        <w:rPr>
          <w:rFonts w:asciiTheme="majorEastAsia" w:eastAsiaTheme="majorEastAsia" w:hAnsiTheme="majorEastAsia" w:cstheme="majorEastAsia"/>
          <w:sz w:val="32"/>
          <w:szCs w:val="32"/>
          <w:shd w:val="clear" w:color="auto" w:fill="FFFFFF"/>
        </w:rPr>
        <w:t>：反映单位开支的在职职工和编制</w:t>
      </w:r>
      <w:proofErr w:type="gramStart"/>
      <w:r>
        <w:rPr>
          <w:rFonts w:asciiTheme="majorEastAsia" w:eastAsiaTheme="majorEastAsia" w:hAnsiTheme="majorEastAsia" w:cstheme="majorEastAsia"/>
          <w:sz w:val="32"/>
          <w:szCs w:val="32"/>
          <w:shd w:val="clear" w:color="auto" w:fill="FFFFFF"/>
        </w:rPr>
        <w:t>外长期</w:t>
      </w:r>
      <w:proofErr w:type="gramEnd"/>
      <w:r>
        <w:rPr>
          <w:rFonts w:asciiTheme="majorEastAsia" w:eastAsiaTheme="majorEastAsia" w:hAnsiTheme="majorEastAsia" w:cstheme="majorEastAsia"/>
          <w:sz w:val="32"/>
          <w:szCs w:val="32"/>
          <w:shd w:val="clear" w:color="auto" w:fill="FFFFFF"/>
        </w:rPr>
        <w:t>聘用人员的各类劳动报酬，以及为上述人员缴纳的各项社会保险费等。</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（十五）商品和服务支出（支出经济分类科目类级）</w:t>
      </w:r>
      <w:r>
        <w:rPr>
          <w:rFonts w:asciiTheme="majorEastAsia" w:eastAsiaTheme="majorEastAsia" w:hAnsiTheme="majorEastAsia" w:cstheme="majorEastAsia"/>
          <w:sz w:val="32"/>
          <w:szCs w:val="32"/>
          <w:shd w:val="clear" w:color="auto" w:fill="FFFFFF"/>
        </w:rPr>
        <w:t>：反映单位购买商品和服务的支出（不包括用于购置固定资产的支出、战略性和应急储备支出）。</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（十六）对个人和家庭的补助（支出经济分类科目类级）</w:t>
      </w:r>
      <w:r>
        <w:rPr>
          <w:rFonts w:asciiTheme="majorEastAsia" w:eastAsiaTheme="majorEastAsia" w:hAnsiTheme="majorEastAsia" w:cstheme="majorEastAsia"/>
          <w:sz w:val="32"/>
          <w:szCs w:val="32"/>
          <w:shd w:val="clear" w:color="auto" w:fill="FFFFFF"/>
        </w:rPr>
        <w:t>：反映用于对个人和家庭的补助支出。</w:t>
      </w:r>
    </w:p>
    <w:p w:rsidR="001E028F" w:rsidRDefault="003059E7">
      <w:pPr>
        <w:pStyle w:val="a6"/>
        <w:snapToGrid w:val="0"/>
        <w:spacing w:before="0" w:beforeAutospacing="0" w:after="0" w:afterAutospacing="0" w:line="600" w:lineRule="exact"/>
        <w:ind w:firstLineChars="200" w:firstLine="643"/>
        <w:jc w:val="both"/>
        <w:rPr>
          <w:rFonts w:asciiTheme="majorEastAsia" w:eastAsiaTheme="majorEastAsia" w:hAnsiTheme="majorEastAsia" w:cstheme="majorEastAsia" w:hint="default"/>
          <w:sz w:val="32"/>
          <w:szCs w:val="32"/>
        </w:rPr>
      </w:pPr>
      <w:r>
        <w:rPr>
          <w:rStyle w:val="a8"/>
          <w:rFonts w:asciiTheme="majorEastAsia" w:eastAsiaTheme="majorEastAsia" w:hAnsiTheme="majorEastAsia" w:cstheme="majorEastAsia"/>
          <w:sz w:val="32"/>
          <w:szCs w:val="32"/>
          <w:shd w:val="clear" w:color="auto" w:fill="FFFFFF"/>
        </w:rPr>
        <w:t>（十七）其他资本性支出（支出经济分类科目类级）</w:t>
      </w:r>
      <w:r>
        <w:rPr>
          <w:rFonts w:asciiTheme="majorEastAsia" w:eastAsiaTheme="majorEastAsia" w:hAnsiTheme="majorEastAsia" w:cstheme="majorEastAsia"/>
          <w:sz w:val="32"/>
          <w:szCs w:val="32"/>
          <w:shd w:val="clear" w:color="auto" w:fill="FFFFFF"/>
        </w:rPr>
        <w:t>：反映</w:t>
      </w:r>
      <w:proofErr w:type="gramStart"/>
      <w:r>
        <w:rPr>
          <w:rFonts w:asciiTheme="majorEastAsia" w:eastAsiaTheme="majorEastAsia" w:hAnsiTheme="majorEastAsia" w:cstheme="majorEastAsia"/>
          <w:sz w:val="32"/>
          <w:szCs w:val="32"/>
          <w:shd w:val="clear" w:color="auto" w:fill="FFFFFF"/>
        </w:rPr>
        <w:t>非各级</w:t>
      </w:r>
      <w:proofErr w:type="gramEnd"/>
      <w:r>
        <w:rPr>
          <w:rFonts w:asciiTheme="majorEastAsia" w:eastAsiaTheme="majorEastAsia" w:hAnsiTheme="majorEastAsia" w:cstheme="major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1E028F" w:rsidRDefault="003059E7">
      <w:pPr>
        <w:pStyle w:val="a6"/>
        <w:shd w:val="clear" w:color="auto" w:fill="FFFFFF"/>
        <w:rPr>
          <w:rStyle w:val="a8"/>
          <w:rFonts w:asciiTheme="majorEastAsia" w:eastAsiaTheme="majorEastAsia" w:hAnsiTheme="majorEastAsia" w:cstheme="majorEastAsia" w:hint="default"/>
          <w:sz w:val="32"/>
          <w:szCs w:val="32"/>
          <w:shd w:val="clear" w:color="auto" w:fill="FFFFFF"/>
        </w:rPr>
      </w:pPr>
      <w:r>
        <w:rPr>
          <w:rStyle w:val="a8"/>
          <w:rFonts w:asciiTheme="majorEastAsia" w:eastAsiaTheme="majorEastAsia" w:hAnsiTheme="majorEastAsia" w:cstheme="majorEastAsia"/>
          <w:sz w:val="32"/>
          <w:szCs w:val="32"/>
          <w:shd w:val="clear" w:color="auto" w:fill="FFFFFF"/>
        </w:rPr>
        <w:lastRenderedPageBreak/>
        <w:t>七、决算公开联系方式及信息反馈渠道</w:t>
      </w:r>
    </w:p>
    <w:p w:rsidR="001E028F" w:rsidRPr="00335241" w:rsidRDefault="003059E7" w:rsidP="00335241">
      <w:pPr>
        <w:pStyle w:val="1"/>
        <w:autoSpaceDE w:val="0"/>
        <w:ind w:firstLineChars="0" w:firstLine="0"/>
        <w:rPr>
          <w:rFonts w:asciiTheme="majorEastAsia" w:eastAsiaTheme="majorEastAsia" w:hAnsiTheme="majorEastAsia" w:cstheme="majorEastAsia"/>
          <w:sz w:val="32"/>
          <w:szCs w:val="32"/>
          <w:shd w:val="clear" w:color="auto" w:fill="FFFFFF"/>
        </w:rPr>
        <w:sectPr w:rsidR="001E028F" w:rsidRPr="00335241">
          <w:footerReference w:type="default" r:id="rId9"/>
          <w:pgSz w:w="11915" w:h="16840"/>
          <w:pgMar w:top="1440" w:right="1800" w:bottom="1440" w:left="1800" w:header="851" w:footer="992" w:gutter="0"/>
          <w:pgNumType w:fmt="numberInDash"/>
          <w:cols w:space="720"/>
          <w:docGrid w:type="lines" w:linePitch="312"/>
        </w:sectPr>
      </w:pPr>
      <w:r>
        <w:rPr>
          <w:rFonts w:asciiTheme="majorEastAsia" w:eastAsiaTheme="majorEastAsia" w:hAnsiTheme="majorEastAsia" w:cstheme="majorEastAsia" w:hint="eastAsia"/>
          <w:sz w:val="32"/>
          <w:szCs w:val="32"/>
          <w:shd w:val="clear" w:color="auto" w:fill="FFFFFF"/>
        </w:rPr>
        <w:t>本单位决算公开信息反馈和联系方式</w:t>
      </w:r>
      <w:r w:rsidR="00335241">
        <w:rPr>
          <w:rFonts w:asciiTheme="majorEastAsia" w:eastAsiaTheme="majorEastAsia" w:hAnsiTheme="majorEastAsia" w:cstheme="majorEastAsia" w:hint="eastAsia"/>
          <w:sz w:val="32"/>
          <w:szCs w:val="32"/>
          <w:shd w:val="clear" w:color="auto" w:fill="FFFFFF"/>
        </w:rPr>
        <w:t>:</w:t>
      </w:r>
      <w:r>
        <w:rPr>
          <w:rFonts w:ascii="仿宋" w:eastAsia="仿宋" w:hAnsi="仿宋" w:cs="仿宋"/>
          <w:sz w:val="32"/>
          <w:szCs w:val="32"/>
          <w:shd w:val="clear" w:color="auto" w:fill="FFFFFF"/>
        </w:rPr>
        <w:t>王丹</w:t>
      </w:r>
      <w:r w:rsidR="00335241">
        <w:rPr>
          <w:rFonts w:ascii="仿宋" w:eastAsia="仿宋" w:hAnsi="仿宋" w:cs="仿宋" w:hint="eastAsia"/>
          <w:sz w:val="32"/>
          <w:szCs w:val="32"/>
          <w:shd w:val="clear" w:color="auto" w:fill="FFFFFF"/>
        </w:rPr>
        <w:t xml:space="preserve"> </w:t>
      </w:r>
      <w:r>
        <w:rPr>
          <w:rFonts w:ascii="仿宋" w:eastAsia="仿宋" w:hAnsi="仿宋" w:cs="仿宋"/>
          <w:sz w:val="32"/>
          <w:szCs w:val="32"/>
          <w:shd w:val="clear" w:color="auto" w:fill="FFFFFF"/>
        </w:rPr>
        <w:t>1502353594</w:t>
      </w:r>
    </w:p>
    <w:p w:rsidR="001E028F" w:rsidRDefault="001E028F">
      <w:pPr>
        <w:rPr>
          <w:rFonts w:asciiTheme="majorEastAsia" w:eastAsiaTheme="majorEastAsia" w:hAnsiTheme="majorEastAsia" w:cstheme="majorEastAsia" w:hint="default"/>
          <w:sz w:val="21"/>
          <w:szCs w:val="21"/>
        </w:rPr>
      </w:pP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1E028F">
        <w:trPr>
          <w:trHeight w:val="232"/>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rsidR="001E028F" w:rsidRDefault="003059E7">
            <w:pPr>
              <w:spacing w:line="400" w:lineRule="exact"/>
              <w:jc w:val="center"/>
              <w:textAlignment w:val="bottom"/>
              <w:rPr>
                <w:rFonts w:asciiTheme="majorEastAsia" w:eastAsiaTheme="majorEastAsia" w:hAnsiTheme="majorEastAsia" w:cstheme="majorEastAsia" w:hint="default"/>
                <w:b/>
                <w:color w:val="000000"/>
                <w:sz w:val="32"/>
                <w:szCs w:val="32"/>
              </w:rPr>
            </w:pPr>
            <w:r>
              <w:rPr>
                <w:rFonts w:asciiTheme="majorEastAsia" w:eastAsiaTheme="majorEastAsia" w:hAnsiTheme="majorEastAsia" w:cstheme="majorEastAsia"/>
                <w:b/>
                <w:color w:val="000000"/>
                <w:sz w:val="32"/>
                <w:szCs w:val="32"/>
              </w:rPr>
              <w:t>收入支出决算总表</w:t>
            </w:r>
          </w:p>
        </w:tc>
      </w:tr>
      <w:tr w:rsidR="001E028F">
        <w:trPr>
          <w:trHeight w:val="232"/>
        </w:trPr>
        <w:tc>
          <w:tcPr>
            <w:tcW w:w="5122"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0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1E028F" w:rsidRDefault="003059E7">
            <w:pPr>
              <w:spacing w:line="280" w:lineRule="exact"/>
              <w:jc w:val="right"/>
              <w:textAlignment w:val="bottom"/>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公开01表</w:t>
            </w:r>
          </w:p>
        </w:tc>
      </w:tr>
      <w:tr w:rsidR="001E028F">
        <w:trPr>
          <w:trHeight w:val="232"/>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rsidR="001E028F" w:rsidRDefault="003059E7">
            <w:pPr>
              <w:spacing w:line="200" w:lineRule="exact"/>
              <w:rPr>
                <w:rFonts w:asciiTheme="majorEastAsia" w:eastAsiaTheme="majorEastAsia" w:hAnsiTheme="majorEastAsia" w:cstheme="majorEastAsia" w:hint="default"/>
                <w:color w:val="000000"/>
                <w:sz w:val="22"/>
                <w:szCs w:val="22"/>
              </w:rPr>
            </w:pPr>
            <w:r>
              <w:rPr>
                <w:rFonts w:asciiTheme="majorEastAsia" w:eastAsiaTheme="majorEastAsia" w:hAnsiTheme="majorEastAsia" w:cstheme="majorEastAsia"/>
                <w:sz w:val="20"/>
                <w:szCs w:val="20"/>
              </w:rPr>
              <w:t>公开单位：</w:t>
            </w:r>
            <w:r>
              <w:rPr>
                <w:rFonts w:asciiTheme="majorEastAsia" w:eastAsiaTheme="majorEastAsia" w:hAnsiTheme="majorEastAsia" w:cstheme="majorEastAsia"/>
                <w:sz w:val="20"/>
              </w:rPr>
              <w:t>重庆市丰都县南天湖镇三抚完全小学校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1E028F" w:rsidRDefault="003059E7">
            <w:pPr>
              <w:spacing w:line="280" w:lineRule="exact"/>
              <w:jc w:val="right"/>
              <w:textAlignment w:val="bottom"/>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单位：</w:t>
            </w:r>
            <w:r>
              <w:rPr>
                <w:rFonts w:asciiTheme="majorEastAsia" w:eastAsiaTheme="majorEastAsia" w:hAnsiTheme="majorEastAsia" w:cstheme="majorEastAsia"/>
                <w:sz w:val="20"/>
                <w:szCs w:val="20"/>
              </w:rPr>
              <w:t>万元</w:t>
            </w:r>
          </w:p>
        </w:tc>
      </w:tr>
      <w:tr w:rsidR="001E028F">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支出</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项目</w:t>
            </w:r>
          </w:p>
        </w:tc>
        <w:tc>
          <w:tcPr>
            <w:tcW w:w="20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决算数</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功能分类科目</w:t>
            </w:r>
          </w:p>
        </w:tc>
        <w:tc>
          <w:tcPr>
            <w:tcW w:w="34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决算数</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1,073.63</w:t>
            </w:r>
            <w:r>
              <w:rPr>
                <w:rFonts w:asciiTheme="majorEastAsia" w:eastAsiaTheme="majorEastAsia" w:hAnsiTheme="majorEastAsia" w:cstheme="maj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一、一般公共服务支出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二、外交支出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三、国防支出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四、上级补助收入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四、公共安全支出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五、事业收入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19.62</w:t>
            </w:r>
            <w:r>
              <w:rPr>
                <w:rFonts w:asciiTheme="majorEastAsia" w:eastAsiaTheme="majorEastAsia" w:hAnsiTheme="majorEastAsia" w:cstheme="maj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五、教育支出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998.55</w:t>
            </w: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六、经营收入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六、科学技术支出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七、附属单位上缴收入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八、其他收入</w:t>
            </w:r>
          </w:p>
        </w:tc>
        <w:tc>
          <w:tcPr>
            <w:tcW w:w="2020" w:type="dxa"/>
            <w:tcBorders>
              <w:top w:val="nil"/>
              <w:left w:val="nil"/>
              <w:bottom w:val="nil"/>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22.95</w:t>
            </w:r>
            <w:r>
              <w:rPr>
                <w:rFonts w:asciiTheme="majorEastAsia" w:eastAsiaTheme="majorEastAsia" w:hAnsiTheme="majorEastAsia" w:cstheme="maj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119.64</w:t>
            </w: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40" w:lineRule="exact"/>
              <w:rPr>
                <w:rFonts w:asciiTheme="majorEastAsia" w:eastAsiaTheme="majorEastAsia" w:hAnsiTheme="majorEastAsia" w:cstheme="majorEastAsia"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4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九、卫生健康支出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43.22</w:t>
            </w: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40" w:lineRule="exact"/>
              <w:rPr>
                <w:rFonts w:asciiTheme="majorEastAsia" w:eastAsiaTheme="majorEastAsia" w:hAnsiTheme="majorEastAsia" w:cstheme="majorEastAsia"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4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十、节能环保支出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40" w:lineRule="exact"/>
              <w:rPr>
                <w:rFonts w:asciiTheme="majorEastAsia" w:eastAsiaTheme="majorEastAsia" w:hAnsiTheme="majorEastAsia" w:cstheme="majorEastAsia"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4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十一、城乡社区支出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40" w:lineRule="exact"/>
              <w:rPr>
                <w:rFonts w:asciiTheme="majorEastAsia" w:eastAsiaTheme="majorEastAsia" w:hAnsiTheme="majorEastAsia" w:cstheme="majorEastAsia"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4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十二、农林水支出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40" w:lineRule="exact"/>
              <w:rPr>
                <w:rFonts w:asciiTheme="majorEastAsia" w:eastAsiaTheme="majorEastAsia" w:hAnsiTheme="majorEastAsia" w:cstheme="majorEastAsia"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4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十三、交通运输支出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40" w:lineRule="exact"/>
              <w:rPr>
                <w:rFonts w:asciiTheme="majorEastAsia" w:eastAsiaTheme="majorEastAsia" w:hAnsiTheme="majorEastAsia" w:cstheme="maj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4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40" w:lineRule="exact"/>
              <w:rPr>
                <w:rFonts w:asciiTheme="majorEastAsia" w:eastAsiaTheme="majorEastAsia" w:hAnsiTheme="majorEastAsia" w:cstheme="maj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4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40" w:lineRule="exact"/>
              <w:rPr>
                <w:rFonts w:asciiTheme="majorEastAsia" w:eastAsiaTheme="majorEastAsia" w:hAnsiTheme="majorEastAsia" w:cstheme="maj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4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十六、金融支出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40" w:lineRule="exact"/>
              <w:rPr>
                <w:rFonts w:asciiTheme="majorEastAsia" w:eastAsiaTheme="majorEastAsia" w:hAnsiTheme="majorEastAsia" w:cstheme="maj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4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40" w:lineRule="exact"/>
              <w:rPr>
                <w:rFonts w:asciiTheme="majorEastAsia" w:eastAsiaTheme="majorEastAsia" w:hAnsiTheme="majorEastAsia" w:cstheme="maj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4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40" w:lineRule="exact"/>
              <w:rPr>
                <w:rFonts w:asciiTheme="majorEastAsia" w:eastAsiaTheme="majorEastAsia" w:hAnsiTheme="majorEastAsia" w:cstheme="maj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4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十九、住房保障支出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40.84</w:t>
            </w: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40" w:lineRule="exact"/>
              <w:rPr>
                <w:rFonts w:asciiTheme="majorEastAsia" w:eastAsiaTheme="majorEastAsia" w:hAnsiTheme="majorEastAsia" w:cstheme="maj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4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40" w:lineRule="exact"/>
              <w:rPr>
                <w:rFonts w:asciiTheme="majorEastAsia" w:eastAsiaTheme="majorEastAsia" w:hAnsiTheme="majorEastAsia" w:cstheme="maj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4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40" w:lineRule="exact"/>
              <w:rPr>
                <w:rFonts w:asciiTheme="majorEastAsia" w:eastAsiaTheme="majorEastAsia" w:hAnsiTheme="majorEastAsia" w:cstheme="maj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4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40" w:lineRule="exact"/>
              <w:rPr>
                <w:rFonts w:asciiTheme="majorEastAsia" w:eastAsiaTheme="majorEastAsia" w:hAnsiTheme="majorEastAsia" w:cstheme="maj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4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二十三、其他支出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40" w:lineRule="exact"/>
              <w:jc w:val="center"/>
              <w:rPr>
                <w:rFonts w:asciiTheme="majorEastAsia" w:eastAsiaTheme="majorEastAsia" w:hAnsiTheme="majorEastAsia" w:cstheme="majorEastAsia" w:hint="default"/>
                <w:b/>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4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二十四、债务还本支出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40" w:lineRule="exact"/>
              <w:rPr>
                <w:rFonts w:asciiTheme="majorEastAsia" w:eastAsiaTheme="majorEastAsia" w:hAnsiTheme="majorEastAsia" w:cstheme="maj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4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二十五、债务付息支出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40" w:lineRule="exact"/>
              <w:rPr>
                <w:rFonts w:asciiTheme="majorEastAsia" w:eastAsiaTheme="majorEastAsia" w:hAnsiTheme="majorEastAsia" w:cstheme="maj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40" w:lineRule="exact"/>
              <w:jc w:val="right"/>
              <w:rPr>
                <w:rFonts w:asciiTheme="majorEastAsia" w:eastAsiaTheme="majorEastAsia" w:hAnsiTheme="majorEastAsia" w:cstheme="maj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二十六、抗</w:t>
            </w:r>
            <w:proofErr w:type="gramStart"/>
            <w:r>
              <w:rPr>
                <w:rFonts w:asciiTheme="majorEastAsia" w:eastAsiaTheme="majorEastAsia" w:hAnsiTheme="majorEastAsia" w:cstheme="majorEastAsia"/>
                <w:color w:val="000000"/>
                <w:sz w:val="20"/>
                <w:szCs w:val="20"/>
              </w:rPr>
              <w:t>疫</w:t>
            </w:r>
            <w:proofErr w:type="gramEnd"/>
            <w:r>
              <w:rPr>
                <w:rFonts w:asciiTheme="majorEastAsia" w:eastAsiaTheme="majorEastAsia" w:hAnsiTheme="majorEastAsia" w:cstheme="majorEastAsia"/>
                <w:color w:val="000000"/>
                <w:sz w:val="20"/>
                <w:szCs w:val="20"/>
              </w:rPr>
              <w:t>特别国债安排的支出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本年收入合计</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1,116.20</w:t>
            </w:r>
            <w:r>
              <w:rPr>
                <w:rFonts w:asciiTheme="majorEastAsia" w:eastAsiaTheme="majorEastAsia" w:hAnsiTheme="majorEastAsia" w:cstheme="maj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本年支出合计</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1,202.25</w:t>
            </w: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结余分配</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年初结转和结余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98.60</w:t>
            </w:r>
            <w:r>
              <w:rPr>
                <w:rFonts w:asciiTheme="majorEastAsia" w:eastAsiaTheme="majorEastAsia" w:hAnsiTheme="majorEastAsia" w:cstheme="maj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年末结转和结余</w:t>
            </w:r>
          </w:p>
        </w:tc>
        <w:tc>
          <w:tcPr>
            <w:tcW w:w="344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12.55</w:t>
            </w:r>
            <w:r>
              <w:rPr>
                <w:rFonts w:asciiTheme="majorEastAsia" w:eastAsiaTheme="majorEastAsia" w:hAnsiTheme="majorEastAsia" w:cstheme="majorEastAsia"/>
                <w:color w:val="000000"/>
                <w:sz w:val="20"/>
              </w:rPr>
              <w:t xml:space="preserve"> </w:t>
            </w:r>
          </w:p>
        </w:tc>
      </w:tr>
      <w:tr w:rsidR="001E028F">
        <w:trPr>
          <w:trHeight w:val="25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40" w:lineRule="exact"/>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1,214.80</w:t>
            </w:r>
            <w:r>
              <w:rPr>
                <w:rFonts w:asciiTheme="majorEastAsia" w:eastAsiaTheme="majorEastAsia" w:hAnsiTheme="majorEastAsia" w:cstheme="majorEastAsia"/>
                <w:color w:val="000000"/>
                <w:sz w:val="20"/>
              </w:rPr>
              <w:t xml:space="preserve"> </w:t>
            </w:r>
          </w:p>
        </w:tc>
        <w:tc>
          <w:tcPr>
            <w:tcW w:w="4809"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1E028F" w:rsidRDefault="003059E7">
            <w:pPr>
              <w:spacing w:line="240" w:lineRule="exact"/>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40" w:lineRule="exact"/>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1,214.80</w:t>
            </w:r>
            <w:r>
              <w:rPr>
                <w:rFonts w:asciiTheme="majorEastAsia" w:eastAsiaTheme="majorEastAsia" w:hAnsiTheme="majorEastAsia" w:cstheme="majorEastAsia"/>
                <w:color w:val="000000"/>
                <w:sz w:val="20"/>
              </w:rPr>
              <w:t xml:space="preserve"> </w:t>
            </w:r>
          </w:p>
        </w:tc>
      </w:tr>
    </w:tbl>
    <w:p w:rsidR="001E028F" w:rsidRDefault="003059E7">
      <w:pPr>
        <w:spacing w:line="240" w:lineRule="exact"/>
        <w:rPr>
          <w:rFonts w:asciiTheme="majorEastAsia" w:eastAsiaTheme="majorEastAsia" w:hAnsiTheme="majorEastAsia" w:cstheme="majorEastAsia" w:hint="default"/>
          <w:sz w:val="20"/>
          <w:szCs w:val="20"/>
        </w:rPr>
      </w:pPr>
      <w:r>
        <w:rPr>
          <w:rFonts w:asciiTheme="majorEastAsia" w:eastAsiaTheme="majorEastAsia" w:hAnsiTheme="majorEastAsia" w:cstheme="majorEastAsia"/>
          <w:sz w:val="20"/>
          <w:szCs w:val="20"/>
        </w:rPr>
        <w:t>备注：1.本表反映单位本年度的总收支和年末结转结余情况。</w:t>
      </w:r>
      <w:r>
        <w:rPr>
          <w:rFonts w:asciiTheme="majorEastAsia" w:eastAsiaTheme="majorEastAsia" w:hAnsiTheme="majorEastAsia" w:cstheme="majorEastAsia"/>
          <w:sz w:val="20"/>
          <w:szCs w:val="20"/>
        </w:rPr>
        <w:br/>
        <w:t xml:space="preserve">      2.本套报表金额单位转换时可能存在尾数误差。</w:t>
      </w:r>
      <w:r>
        <w:rPr>
          <w:rFonts w:asciiTheme="majorEastAsia" w:eastAsiaTheme="majorEastAsia" w:hAnsiTheme="majorEastAsia" w:cstheme="majorEastAsia"/>
          <w:sz w:val="20"/>
          <w:szCs w:val="20"/>
        </w:rPr>
        <w:br/>
      </w:r>
      <w:r>
        <w:rPr>
          <w:rFonts w:asciiTheme="majorEastAsia" w:eastAsiaTheme="majorEastAsia" w:hAnsiTheme="majorEastAsia" w:cstheme="majorEastAsia"/>
          <w:sz w:val="20"/>
          <w:szCs w:val="20"/>
        </w:rPr>
        <w:br/>
      </w:r>
    </w:p>
    <w:tbl>
      <w:tblPr>
        <w:tblW w:w="14837" w:type="dxa"/>
        <w:tblLayout w:type="fixed"/>
        <w:tblCellMar>
          <w:left w:w="0" w:type="dxa"/>
          <w:right w:w="0" w:type="dxa"/>
        </w:tblCellMar>
        <w:tblLook w:val="04A0" w:firstRow="1" w:lastRow="0" w:firstColumn="1" w:lastColumn="0" w:noHBand="0" w:noVBand="1"/>
      </w:tblPr>
      <w:tblGrid>
        <w:gridCol w:w="1642"/>
        <w:gridCol w:w="3059"/>
        <w:gridCol w:w="1190"/>
        <w:gridCol w:w="1189"/>
        <w:gridCol w:w="1189"/>
        <w:gridCol w:w="1189"/>
        <w:gridCol w:w="1318"/>
        <w:gridCol w:w="1261"/>
        <w:gridCol w:w="1388"/>
        <w:gridCol w:w="1412"/>
      </w:tblGrid>
      <w:tr w:rsidR="001E028F" w:rsidTr="00061B46">
        <w:trPr>
          <w:trHeight w:val="632"/>
        </w:trPr>
        <w:tc>
          <w:tcPr>
            <w:tcW w:w="14837" w:type="dxa"/>
            <w:gridSpan w:val="10"/>
            <w:tcBorders>
              <w:top w:val="nil"/>
              <w:left w:val="nil"/>
              <w:bottom w:val="nil"/>
              <w:right w:val="nil"/>
            </w:tcBorders>
            <w:shd w:val="clear" w:color="auto" w:fill="auto"/>
            <w:noWrap/>
            <w:tcMar>
              <w:top w:w="15" w:type="dxa"/>
              <w:left w:w="15" w:type="dxa"/>
              <w:right w:w="15" w:type="dxa"/>
            </w:tcMar>
            <w:vAlign w:val="bottom"/>
          </w:tcPr>
          <w:p w:rsidR="001E028F" w:rsidRDefault="003059E7">
            <w:pPr>
              <w:jc w:val="center"/>
              <w:textAlignment w:val="bottom"/>
              <w:rPr>
                <w:rFonts w:asciiTheme="majorEastAsia" w:eastAsiaTheme="majorEastAsia" w:hAnsiTheme="majorEastAsia" w:cstheme="majorEastAsia" w:hint="default"/>
                <w:b/>
                <w:color w:val="000000"/>
                <w:sz w:val="32"/>
                <w:szCs w:val="32"/>
              </w:rPr>
            </w:pPr>
            <w:r>
              <w:rPr>
                <w:rFonts w:asciiTheme="majorEastAsia" w:eastAsiaTheme="majorEastAsia" w:hAnsiTheme="majorEastAsia" w:cstheme="majorEastAsia"/>
                <w:b/>
                <w:color w:val="000000"/>
                <w:sz w:val="32"/>
                <w:szCs w:val="32"/>
              </w:rPr>
              <w:lastRenderedPageBreak/>
              <w:t>收入决算表</w:t>
            </w:r>
          </w:p>
        </w:tc>
      </w:tr>
      <w:tr w:rsidR="001E028F" w:rsidTr="00061B46">
        <w:trPr>
          <w:trHeight w:val="323"/>
        </w:trPr>
        <w:tc>
          <w:tcPr>
            <w:tcW w:w="5891" w:type="dxa"/>
            <w:gridSpan w:val="3"/>
            <w:vMerge w:val="restart"/>
            <w:tcBorders>
              <w:top w:val="nil"/>
              <w:left w:val="nil"/>
              <w:right w:val="nil"/>
            </w:tcBorders>
            <w:shd w:val="clear" w:color="auto" w:fill="auto"/>
            <w:noWrap/>
            <w:tcMar>
              <w:top w:w="15" w:type="dxa"/>
              <w:left w:w="15" w:type="dxa"/>
              <w:right w:w="15" w:type="dxa"/>
            </w:tcMar>
            <w:vAlign w:val="bottom"/>
          </w:tcPr>
          <w:p w:rsidR="001E028F" w:rsidRDefault="003059E7">
            <w:pP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sz w:val="20"/>
                <w:szCs w:val="20"/>
              </w:rPr>
              <w:t>公开单位：</w:t>
            </w:r>
            <w:r>
              <w:rPr>
                <w:rFonts w:asciiTheme="majorEastAsia" w:eastAsiaTheme="majorEastAsia" w:hAnsiTheme="majorEastAsia" w:cstheme="majorEastAsia"/>
                <w:sz w:val="20"/>
              </w:rPr>
              <w:t>重庆市丰都县南天湖镇三抚完全小学校</w:t>
            </w:r>
          </w:p>
        </w:tc>
        <w:tc>
          <w:tcPr>
            <w:tcW w:w="1189"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189"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189"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318"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261"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388"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409" w:type="dxa"/>
            <w:tcBorders>
              <w:top w:val="nil"/>
              <w:left w:val="nil"/>
              <w:bottom w:val="nil"/>
              <w:right w:val="nil"/>
            </w:tcBorders>
            <w:shd w:val="clear" w:color="auto" w:fill="auto"/>
            <w:noWrap/>
            <w:tcMar>
              <w:top w:w="15" w:type="dxa"/>
              <w:left w:w="15" w:type="dxa"/>
              <w:right w:w="15" w:type="dxa"/>
            </w:tcMar>
            <w:vAlign w:val="bottom"/>
          </w:tcPr>
          <w:p w:rsidR="001E028F" w:rsidRDefault="003059E7">
            <w:pPr>
              <w:jc w:val="right"/>
              <w:textAlignment w:val="bottom"/>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公开02表</w:t>
            </w:r>
          </w:p>
        </w:tc>
      </w:tr>
      <w:tr w:rsidR="001E028F" w:rsidTr="00061B46">
        <w:trPr>
          <w:trHeight w:val="323"/>
        </w:trPr>
        <w:tc>
          <w:tcPr>
            <w:tcW w:w="5891" w:type="dxa"/>
            <w:gridSpan w:val="3"/>
            <w:vMerge/>
            <w:tcBorders>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189"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189"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189"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318"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261"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388"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409" w:type="dxa"/>
            <w:tcBorders>
              <w:top w:val="nil"/>
              <w:left w:val="nil"/>
              <w:bottom w:val="nil"/>
              <w:right w:val="nil"/>
            </w:tcBorders>
            <w:shd w:val="clear" w:color="auto" w:fill="auto"/>
            <w:noWrap/>
            <w:tcMar>
              <w:top w:w="15" w:type="dxa"/>
              <w:left w:w="15" w:type="dxa"/>
              <w:right w:w="15" w:type="dxa"/>
            </w:tcMar>
            <w:vAlign w:val="bottom"/>
          </w:tcPr>
          <w:p w:rsidR="001E028F" w:rsidRDefault="003059E7">
            <w:pPr>
              <w:jc w:val="right"/>
              <w:textAlignment w:val="bottom"/>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单位：</w:t>
            </w:r>
            <w:r>
              <w:rPr>
                <w:rFonts w:asciiTheme="majorEastAsia" w:eastAsiaTheme="majorEastAsia" w:hAnsiTheme="majorEastAsia" w:cstheme="majorEastAsia"/>
                <w:sz w:val="20"/>
                <w:szCs w:val="20"/>
              </w:rPr>
              <w:t>万元</w:t>
            </w:r>
          </w:p>
        </w:tc>
      </w:tr>
      <w:tr w:rsidR="001E028F" w:rsidTr="00061B46">
        <w:trPr>
          <w:trHeight w:val="425"/>
        </w:trPr>
        <w:tc>
          <w:tcPr>
            <w:tcW w:w="4701"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1E028F" w:rsidRDefault="003059E7">
            <w:pPr>
              <w:jc w:val="center"/>
              <w:textAlignment w:val="bottom"/>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项目</w:t>
            </w:r>
          </w:p>
        </w:tc>
        <w:tc>
          <w:tcPr>
            <w:tcW w:w="118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本年收入合计</w:t>
            </w:r>
          </w:p>
        </w:tc>
        <w:tc>
          <w:tcPr>
            <w:tcW w:w="118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财政拨款收入</w:t>
            </w:r>
          </w:p>
        </w:tc>
        <w:tc>
          <w:tcPr>
            <w:tcW w:w="118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上级补助收入</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E028F" w:rsidRDefault="003059E7">
            <w:pPr>
              <w:jc w:val="center"/>
              <w:textAlignment w:val="bottom"/>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事业收入</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经营收入</w:t>
            </w:r>
          </w:p>
        </w:tc>
        <w:tc>
          <w:tcPr>
            <w:tcW w:w="13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附属单位上缴收入</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其他收入</w:t>
            </w:r>
          </w:p>
        </w:tc>
      </w:tr>
      <w:tr w:rsidR="001E028F" w:rsidTr="00061B46">
        <w:trPr>
          <w:trHeight w:val="329"/>
        </w:trPr>
        <w:tc>
          <w:tcPr>
            <w:tcW w:w="164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功能分类科目编码</w:t>
            </w:r>
          </w:p>
        </w:tc>
        <w:tc>
          <w:tcPr>
            <w:tcW w:w="3059"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项目（按“项”</w:t>
            </w:r>
            <w:proofErr w:type="gramStart"/>
            <w:r>
              <w:rPr>
                <w:rFonts w:asciiTheme="majorEastAsia" w:eastAsiaTheme="majorEastAsia" w:hAnsiTheme="majorEastAsia" w:cstheme="majorEastAsia"/>
                <w:b/>
                <w:color w:val="000000"/>
                <w:sz w:val="20"/>
                <w:szCs w:val="20"/>
              </w:rPr>
              <w:t>级功能</w:t>
            </w:r>
            <w:proofErr w:type="gramEnd"/>
            <w:r>
              <w:rPr>
                <w:rFonts w:asciiTheme="majorEastAsia" w:eastAsiaTheme="majorEastAsia" w:hAnsiTheme="majorEastAsia" w:cstheme="majorEastAsia"/>
                <w:b/>
                <w:color w:val="000000"/>
                <w:sz w:val="20"/>
                <w:szCs w:val="20"/>
              </w:rPr>
              <w:t>分类科目）</w:t>
            </w:r>
          </w:p>
        </w:tc>
        <w:tc>
          <w:tcPr>
            <w:tcW w:w="118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18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18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18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小计</w:t>
            </w:r>
          </w:p>
        </w:tc>
        <w:tc>
          <w:tcPr>
            <w:tcW w:w="131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其中：教育收费</w:t>
            </w:r>
          </w:p>
        </w:tc>
        <w:tc>
          <w:tcPr>
            <w:tcW w:w="12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3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40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r>
      <w:tr w:rsidR="001E028F" w:rsidTr="00061B46">
        <w:trPr>
          <w:trHeight w:val="329"/>
        </w:trPr>
        <w:tc>
          <w:tcPr>
            <w:tcW w:w="164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059"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18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18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18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18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3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2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3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40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r>
      <w:tr w:rsidR="001E028F" w:rsidTr="00061B46">
        <w:trPr>
          <w:trHeight w:val="329"/>
        </w:trPr>
        <w:tc>
          <w:tcPr>
            <w:tcW w:w="164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059"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18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18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18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18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3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2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3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40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r>
      <w:tr w:rsidR="001E028F" w:rsidTr="00061B46">
        <w:trPr>
          <w:trHeight w:val="329"/>
        </w:trPr>
        <w:tc>
          <w:tcPr>
            <w:tcW w:w="164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059"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18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18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18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18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3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2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3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40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r>
      <w:tr w:rsidR="001E028F" w:rsidTr="00061B46">
        <w:trPr>
          <w:trHeight w:val="333"/>
        </w:trPr>
        <w:tc>
          <w:tcPr>
            <w:tcW w:w="4701"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合计</w:t>
            </w:r>
          </w:p>
        </w:tc>
        <w:tc>
          <w:tcPr>
            <w:tcW w:w="1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bCs/>
                <w:color w:val="000000"/>
                <w:sz w:val="20"/>
                <w:szCs w:val="20"/>
              </w:rPr>
              <w:t>1,116.20</w:t>
            </w:r>
            <w:r>
              <w:rPr>
                <w:rFonts w:asciiTheme="majorEastAsia" w:eastAsiaTheme="majorEastAsia" w:hAnsiTheme="majorEastAsia" w:cstheme="majorEastAsia"/>
                <w:b/>
                <w:color w:val="000000"/>
                <w:sz w:val="20"/>
              </w:rPr>
              <w:t xml:space="preserve"> </w:t>
            </w:r>
          </w:p>
        </w:tc>
        <w:tc>
          <w:tcPr>
            <w:tcW w:w="1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bCs/>
                <w:color w:val="000000"/>
                <w:sz w:val="20"/>
                <w:szCs w:val="20"/>
              </w:rPr>
              <w:t>1,073.63</w:t>
            </w:r>
            <w:r>
              <w:rPr>
                <w:rFonts w:asciiTheme="majorEastAsia" w:eastAsiaTheme="majorEastAsia" w:hAnsiTheme="majorEastAsia" w:cstheme="majorEastAsia"/>
                <w:b/>
                <w:color w:val="000000"/>
                <w:sz w:val="20"/>
              </w:rPr>
              <w:t xml:space="preserve"> </w:t>
            </w:r>
          </w:p>
        </w:tc>
        <w:tc>
          <w:tcPr>
            <w:tcW w:w="1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rPr>
              <w:t xml:space="preserve"> </w:t>
            </w:r>
          </w:p>
        </w:tc>
        <w:tc>
          <w:tcPr>
            <w:tcW w:w="11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bCs/>
                <w:color w:val="000000"/>
                <w:sz w:val="20"/>
                <w:szCs w:val="20"/>
              </w:rPr>
              <w:t>19.62</w:t>
            </w:r>
            <w:r>
              <w:rPr>
                <w:rFonts w:asciiTheme="majorEastAsia" w:eastAsiaTheme="majorEastAsia" w:hAnsiTheme="majorEastAsia" w:cstheme="majorEastAsia"/>
                <w:b/>
                <w:color w:val="000000"/>
                <w:sz w:val="20"/>
              </w:rPr>
              <w:t xml:space="preserve"> </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rPr>
              <w:t xml:space="preserve"> </w:t>
            </w:r>
          </w:p>
        </w:tc>
        <w:tc>
          <w:tcPr>
            <w:tcW w:w="12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rPr>
              <w:t xml:space="preserve"> </w:t>
            </w:r>
          </w:p>
        </w:tc>
        <w:tc>
          <w:tcPr>
            <w:tcW w:w="13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rPr>
              <w:t xml:space="preserve"> </w:t>
            </w:r>
          </w:p>
        </w:tc>
        <w:tc>
          <w:tcPr>
            <w:tcW w:w="14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bCs/>
                <w:color w:val="000000"/>
                <w:sz w:val="20"/>
                <w:szCs w:val="20"/>
              </w:rPr>
              <w:t>22.95</w:t>
            </w:r>
            <w:r>
              <w:rPr>
                <w:rFonts w:asciiTheme="majorEastAsia" w:eastAsiaTheme="majorEastAsia" w:hAnsiTheme="majorEastAsia" w:cstheme="majorEastAsia"/>
                <w:b/>
                <w:color w:val="000000"/>
                <w:sz w:val="20"/>
              </w:rPr>
              <w:t xml:space="preserve"> </w:t>
            </w:r>
          </w:p>
        </w:tc>
      </w:tr>
      <w:tr w:rsidR="001E028F" w:rsidTr="00061B46">
        <w:trPr>
          <w:trHeight w:val="343"/>
        </w:trPr>
        <w:tc>
          <w:tcPr>
            <w:tcW w:w="16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205</w:t>
            </w:r>
          </w:p>
        </w:tc>
        <w:tc>
          <w:tcPr>
            <w:tcW w:w="3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教育支出</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912.50</w:t>
            </w:r>
            <w:r>
              <w:rPr>
                <w:rFonts w:asciiTheme="majorEastAsia" w:eastAsiaTheme="majorEastAsia" w:hAnsiTheme="majorEastAsia" w:cstheme="majorEastAsia"/>
                <w:b/>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869.93</w:t>
            </w:r>
            <w:r>
              <w:rPr>
                <w:rFonts w:asciiTheme="majorEastAsia" w:eastAsiaTheme="majorEastAsia" w:hAnsiTheme="majorEastAsia" w:cstheme="majorEastAsia"/>
                <w:b/>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19.62</w:t>
            </w:r>
            <w:r>
              <w:rPr>
                <w:rFonts w:asciiTheme="majorEastAsia" w:eastAsiaTheme="majorEastAsia" w:hAnsiTheme="majorEastAsia" w:cstheme="majorEastAsia"/>
                <w:b/>
                <w:color w:val="000000"/>
                <w:sz w:val="20"/>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22.95</w:t>
            </w:r>
            <w:r>
              <w:rPr>
                <w:rFonts w:asciiTheme="majorEastAsia" w:eastAsiaTheme="majorEastAsia" w:hAnsiTheme="majorEastAsia" w:cstheme="majorEastAsia"/>
                <w:b/>
                <w:color w:val="000000"/>
                <w:sz w:val="20"/>
              </w:rPr>
              <w:t xml:space="preserve"> </w:t>
            </w:r>
          </w:p>
        </w:tc>
      </w:tr>
      <w:tr w:rsidR="001E028F" w:rsidTr="00061B46">
        <w:trPr>
          <w:trHeight w:val="343"/>
        </w:trPr>
        <w:tc>
          <w:tcPr>
            <w:tcW w:w="16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20502</w:t>
            </w:r>
          </w:p>
        </w:tc>
        <w:tc>
          <w:tcPr>
            <w:tcW w:w="3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普通教育</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912.50</w:t>
            </w:r>
            <w:r>
              <w:rPr>
                <w:rFonts w:asciiTheme="majorEastAsia" w:eastAsiaTheme="majorEastAsia" w:hAnsiTheme="majorEastAsia" w:cstheme="majorEastAsia"/>
                <w:b/>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869.93</w:t>
            </w:r>
            <w:r>
              <w:rPr>
                <w:rFonts w:asciiTheme="majorEastAsia" w:eastAsiaTheme="majorEastAsia" w:hAnsiTheme="majorEastAsia" w:cstheme="majorEastAsia"/>
                <w:b/>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19.62</w:t>
            </w:r>
            <w:r>
              <w:rPr>
                <w:rFonts w:asciiTheme="majorEastAsia" w:eastAsiaTheme="majorEastAsia" w:hAnsiTheme="majorEastAsia" w:cstheme="majorEastAsia"/>
                <w:b/>
                <w:color w:val="000000"/>
                <w:sz w:val="20"/>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22.95</w:t>
            </w:r>
            <w:r>
              <w:rPr>
                <w:rFonts w:asciiTheme="majorEastAsia" w:eastAsiaTheme="majorEastAsia" w:hAnsiTheme="majorEastAsia" w:cstheme="majorEastAsia"/>
                <w:b/>
                <w:color w:val="000000"/>
                <w:sz w:val="20"/>
              </w:rPr>
              <w:t xml:space="preserve"> </w:t>
            </w:r>
          </w:p>
        </w:tc>
      </w:tr>
      <w:tr w:rsidR="001E028F" w:rsidTr="00061B46">
        <w:trPr>
          <w:trHeight w:val="343"/>
        </w:trPr>
        <w:tc>
          <w:tcPr>
            <w:tcW w:w="16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2050201</w:t>
            </w:r>
          </w:p>
        </w:tc>
        <w:tc>
          <w:tcPr>
            <w:tcW w:w="3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学前教育</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78.50</w:t>
            </w: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58.88</w:t>
            </w: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19.62</w:t>
            </w:r>
            <w:r>
              <w:rPr>
                <w:rFonts w:asciiTheme="majorEastAsia" w:eastAsiaTheme="majorEastAsia" w:hAnsiTheme="majorEastAsia" w:cstheme="majorEastAsia"/>
                <w:color w:val="000000"/>
                <w:sz w:val="20"/>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43"/>
        </w:trPr>
        <w:tc>
          <w:tcPr>
            <w:tcW w:w="16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2050202</w:t>
            </w:r>
          </w:p>
        </w:tc>
        <w:tc>
          <w:tcPr>
            <w:tcW w:w="3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小学教育</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834.00</w:t>
            </w: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811.05</w:t>
            </w: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22.95</w:t>
            </w:r>
            <w:r>
              <w:rPr>
                <w:rFonts w:asciiTheme="majorEastAsia" w:eastAsiaTheme="majorEastAsia" w:hAnsiTheme="majorEastAsia" w:cstheme="majorEastAsia"/>
                <w:color w:val="000000"/>
                <w:sz w:val="20"/>
              </w:rPr>
              <w:t xml:space="preserve"> </w:t>
            </w:r>
          </w:p>
        </w:tc>
      </w:tr>
      <w:tr w:rsidR="001E028F" w:rsidTr="00061B46">
        <w:trPr>
          <w:trHeight w:val="343"/>
        </w:trPr>
        <w:tc>
          <w:tcPr>
            <w:tcW w:w="16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208</w:t>
            </w:r>
          </w:p>
        </w:tc>
        <w:tc>
          <w:tcPr>
            <w:tcW w:w="3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社会保障和就业支出</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119.64</w:t>
            </w:r>
            <w:r>
              <w:rPr>
                <w:rFonts w:asciiTheme="majorEastAsia" w:eastAsiaTheme="majorEastAsia" w:hAnsiTheme="majorEastAsia" w:cstheme="majorEastAsia"/>
                <w:b/>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119.64</w:t>
            </w:r>
            <w:r>
              <w:rPr>
                <w:rFonts w:asciiTheme="majorEastAsia" w:eastAsiaTheme="majorEastAsia" w:hAnsiTheme="majorEastAsia" w:cstheme="majorEastAsia"/>
                <w:b/>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43"/>
        </w:trPr>
        <w:tc>
          <w:tcPr>
            <w:tcW w:w="16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20805</w:t>
            </w:r>
          </w:p>
        </w:tc>
        <w:tc>
          <w:tcPr>
            <w:tcW w:w="3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行政事业单位养老支出</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119.64</w:t>
            </w:r>
            <w:r>
              <w:rPr>
                <w:rFonts w:asciiTheme="majorEastAsia" w:eastAsiaTheme="majorEastAsia" w:hAnsiTheme="majorEastAsia" w:cstheme="majorEastAsia"/>
                <w:b/>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119.64</w:t>
            </w:r>
            <w:r>
              <w:rPr>
                <w:rFonts w:asciiTheme="majorEastAsia" w:eastAsiaTheme="majorEastAsia" w:hAnsiTheme="majorEastAsia" w:cstheme="majorEastAsia"/>
                <w:b/>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43"/>
        </w:trPr>
        <w:tc>
          <w:tcPr>
            <w:tcW w:w="16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2080505</w:t>
            </w:r>
          </w:p>
        </w:tc>
        <w:tc>
          <w:tcPr>
            <w:tcW w:w="3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机关事业单位基本养老保险缴费支出</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54.46</w:t>
            </w: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54.46</w:t>
            </w: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43"/>
        </w:trPr>
        <w:tc>
          <w:tcPr>
            <w:tcW w:w="16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2080506</w:t>
            </w:r>
          </w:p>
        </w:tc>
        <w:tc>
          <w:tcPr>
            <w:tcW w:w="3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机关事业单位职业年金缴费支出</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48.43</w:t>
            </w: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48.43</w:t>
            </w: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43"/>
        </w:trPr>
        <w:tc>
          <w:tcPr>
            <w:tcW w:w="16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2080599</w:t>
            </w:r>
          </w:p>
        </w:tc>
        <w:tc>
          <w:tcPr>
            <w:tcW w:w="3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其他行政事业单位养老支出</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16.76</w:t>
            </w: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16.76</w:t>
            </w: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43"/>
        </w:trPr>
        <w:tc>
          <w:tcPr>
            <w:tcW w:w="16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210</w:t>
            </w:r>
          </w:p>
        </w:tc>
        <w:tc>
          <w:tcPr>
            <w:tcW w:w="3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卫生健康支出</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43.22</w:t>
            </w:r>
            <w:r>
              <w:rPr>
                <w:rFonts w:asciiTheme="majorEastAsia" w:eastAsiaTheme="majorEastAsia" w:hAnsiTheme="majorEastAsia" w:cstheme="majorEastAsia"/>
                <w:b/>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43.22</w:t>
            </w:r>
            <w:r>
              <w:rPr>
                <w:rFonts w:asciiTheme="majorEastAsia" w:eastAsiaTheme="majorEastAsia" w:hAnsiTheme="majorEastAsia" w:cstheme="majorEastAsia"/>
                <w:b/>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43"/>
        </w:trPr>
        <w:tc>
          <w:tcPr>
            <w:tcW w:w="16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21011</w:t>
            </w:r>
          </w:p>
        </w:tc>
        <w:tc>
          <w:tcPr>
            <w:tcW w:w="3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行政事业单位医疗</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43.22</w:t>
            </w:r>
            <w:r>
              <w:rPr>
                <w:rFonts w:asciiTheme="majorEastAsia" w:eastAsiaTheme="majorEastAsia" w:hAnsiTheme="majorEastAsia" w:cstheme="majorEastAsia"/>
                <w:b/>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43.22</w:t>
            </w:r>
            <w:r>
              <w:rPr>
                <w:rFonts w:asciiTheme="majorEastAsia" w:eastAsiaTheme="majorEastAsia" w:hAnsiTheme="majorEastAsia" w:cstheme="majorEastAsia"/>
                <w:b/>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43"/>
        </w:trPr>
        <w:tc>
          <w:tcPr>
            <w:tcW w:w="16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2101102</w:t>
            </w:r>
          </w:p>
        </w:tc>
        <w:tc>
          <w:tcPr>
            <w:tcW w:w="3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事业单位医疗</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27.23</w:t>
            </w: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27.23</w:t>
            </w: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43"/>
        </w:trPr>
        <w:tc>
          <w:tcPr>
            <w:tcW w:w="16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2101199</w:t>
            </w:r>
          </w:p>
        </w:tc>
        <w:tc>
          <w:tcPr>
            <w:tcW w:w="3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其他行政事业单位医疗支出</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15.99</w:t>
            </w: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15.99</w:t>
            </w: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43"/>
        </w:trPr>
        <w:tc>
          <w:tcPr>
            <w:tcW w:w="16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221</w:t>
            </w:r>
          </w:p>
        </w:tc>
        <w:tc>
          <w:tcPr>
            <w:tcW w:w="3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住房保障支出</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40.84</w:t>
            </w:r>
            <w:r>
              <w:rPr>
                <w:rFonts w:asciiTheme="majorEastAsia" w:eastAsiaTheme="majorEastAsia" w:hAnsiTheme="majorEastAsia" w:cstheme="majorEastAsia"/>
                <w:b/>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40.84</w:t>
            </w:r>
            <w:r>
              <w:rPr>
                <w:rFonts w:asciiTheme="majorEastAsia" w:eastAsiaTheme="majorEastAsia" w:hAnsiTheme="majorEastAsia" w:cstheme="majorEastAsia"/>
                <w:b/>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43"/>
        </w:trPr>
        <w:tc>
          <w:tcPr>
            <w:tcW w:w="16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22102</w:t>
            </w:r>
          </w:p>
        </w:tc>
        <w:tc>
          <w:tcPr>
            <w:tcW w:w="3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住房改革支出</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40.84</w:t>
            </w:r>
            <w:r>
              <w:rPr>
                <w:rFonts w:asciiTheme="majorEastAsia" w:eastAsiaTheme="majorEastAsia" w:hAnsiTheme="majorEastAsia" w:cstheme="majorEastAsia"/>
                <w:b/>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40.84</w:t>
            </w:r>
            <w:r>
              <w:rPr>
                <w:rFonts w:asciiTheme="majorEastAsia" w:eastAsiaTheme="majorEastAsia" w:hAnsiTheme="majorEastAsia" w:cstheme="majorEastAsia"/>
                <w:b/>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43"/>
        </w:trPr>
        <w:tc>
          <w:tcPr>
            <w:tcW w:w="16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2210201</w:t>
            </w:r>
          </w:p>
        </w:tc>
        <w:tc>
          <w:tcPr>
            <w:tcW w:w="3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住房公积金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40.84</w:t>
            </w: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40.84</w:t>
            </w: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bl>
    <w:p w:rsidR="001E028F" w:rsidRDefault="003059E7">
      <w:pPr>
        <w:ind w:left="600" w:hangingChars="300" w:hanging="600"/>
        <w:rPr>
          <w:rFonts w:asciiTheme="majorEastAsia" w:eastAsiaTheme="majorEastAsia" w:hAnsiTheme="majorEastAsia" w:cstheme="majorEastAsia" w:hint="default"/>
          <w:sz w:val="20"/>
          <w:szCs w:val="20"/>
        </w:rPr>
      </w:pPr>
      <w:r>
        <w:rPr>
          <w:rFonts w:asciiTheme="majorEastAsia" w:eastAsiaTheme="majorEastAsia" w:hAnsiTheme="majorEastAsia" w:cstheme="majorEastAsia"/>
          <w:sz w:val="20"/>
          <w:szCs w:val="20"/>
        </w:rPr>
        <w:t>备注：1.本表反映单位本年度取得的各项收入情况。</w:t>
      </w:r>
      <w:r>
        <w:rPr>
          <w:rFonts w:asciiTheme="majorEastAsia" w:eastAsiaTheme="majorEastAsia" w:hAnsiTheme="majorEastAsia" w:cstheme="majorEastAsia"/>
          <w:sz w:val="20"/>
          <w:szCs w:val="20"/>
        </w:rPr>
        <w:br/>
        <w:t>2.本套报表金额单位转换时可能存在尾数误差。</w:t>
      </w:r>
    </w:p>
    <w:p w:rsidR="001E028F" w:rsidRDefault="003059E7">
      <w:pPr>
        <w:rPr>
          <w:rFonts w:asciiTheme="majorEastAsia" w:eastAsiaTheme="majorEastAsia" w:hAnsiTheme="majorEastAsia" w:cstheme="majorEastAsia" w:hint="default"/>
          <w:sz w:val="20"/>
          <w:szCs w:val="20"/>
        </w:rPr>
      </w:pPr>
      <w:r>
        <w:rPr>
          <w:rFonts w:asciiTheme="majorEastAsia" w:eastAsiaTheme="majorEastAsia" w:hAnsiTheme="majorEastAsia" w:cstheme="majorEastAsia"/>
          <w:sz w:val="20"/>
          <w:szCs w:val="20"/>
        </w:rPr>
        <w:br w:type="page"/>
      </w:r>
    </w:p>
    <w:tbl>
      <w:tblPr>
        <w:tblW w:w="15122" w:type="dxa"/>
        <w:tblLayout w:type="fixed"/>
        <w:tblCellMar>
          <w:left w:w="0" w:type="dxa"/>
          <w:right w:w="0" w:type="dxa"/>
        </w:tblCellMar>
        <w:tblLook w:val="04A0" w:firstRow="1" w:lastRow="0" w:firstColumn="1" w:lastColumn="0" w:noHBand="0" w:noVBand="1"/>
      </w:tblPr>
      <w:tblGrid>
        <w:gridCol w:w="1773"/>
        <w:gridCol w:w="3299"/>
        <w:gridCol w:w="1673"/>
        <w:gridCol w:w="1672"/>
        <w:gridCol w:w="1672"/>
        <w:gridCol w:w="1657"/>
        <w:gridCol w:w="1657"/>
        <w:gridCol w:w="1719"/>
      </w:tblGrid>
      <w:tr w:rsidR="001E028F" w:rsidTr="00061B46">
        <w:trPr>
          <w:trHeight w:val="627"/>
        </w:trPr>
        <w:tc>
          <w:tcPr>
            <w:tcW w:w="15122" w:type="dxa"/>
            <w:gridSpan w:val="8"/>
            <w:tcBorders>
              <w:top w:val="nil"/>
              <w:left w:val="nil"/>
              <w:bottom w:val="nil"/>
              <w:right w:val="nil"/>
            </w:tcBorders>
            <w:shd w:val="clear" w:color="auto" w:fill="auto"/>
            <w:noWrap/>
            <w:tcMar>
              <w:top w:w="15" w:type="dxa"/>
              <w:left w:w="15" w:type="dxa"/>
              <w:right w:w="15" w:type="dxa"/>
            </w:tcMar>
            <w:vAlign w:val="bottom"/>
          </w:tcPr>
          <w:p w:rsidR="001E028F" w:rsidRDefault="003059E7">
            <w:pPr>
              <w:jc w:val="center"/>
              <w:textAlignment w:val="bottom"/>
              <w:rPr>
                <w:rFonts w:asciiTheme="majorEastAsia" w:eastAsiaTheme="majorEastAsia" w:hAnsiTheme="majorEastAsia" w:cstheme="majorEastAsia" w:hint="default"/>
                <w:b/>
                <w:color w:val="000000"/>
                <w:sz w:val="32"/>
                <w:szCs w:val="32"/>
              </w:rPr>
            </w:pPr>
            <w:r>
              <w:rPr>
                <w:rFonts w:asciiTheme="majorEastAsia" w:eastAsiaTheme="majorEastAsia" w:hAnsiTheme="majorEastAsia" w:cstheme="majorEastAsia"/>
                <w:b/>
                <w:color w:val="000000"/>
                <w:sz w:val="32"/>
                <w:szCs w:val="32"/>
              </w:rPr>
              <w:lastRenderedPageBreak/>
              <w:t>支出决算表</w:t>
            </w:r>
          </w:p>
        </w:tc>
      </w:tr>
      <w:tr w:rsidR="001E028F" w:rsidTr="00061B46">
        <w:trPr>
          <w:trHeight w:val="328"/>
        </w:trPr>
        <w:tc>
          <w:tcPr>
            <w:tcW w:w="6745" w:type="dxa"/>
            <w:gridSpan w:val="3"/>
            <w:vMerge w:val="restart"/>
            <w:tcBorders>
              <w:top w:val="nil"/>
              <w:left w:val="nil"/>
              <w:right w:val="nil"/>
            </w:tcBorders>
            <w:shd w:val="clear" w:color="auto" w:fill="auto"/>
            <w:noWrap/>
            <w:tcMar>
              <w:top w:w="15" w:type="dxa"/>
              <w:left w:w="15" w:type="dxa"/>
              <w:right w:w="15" w:type="dxa"/>
            </w:tcMar>
            <w:vAlign w:val="bottom"/>
          </w:tcPr>
          <w:p w:rsidR="001E028F" w:rsidRDefault="003059E7">
            <w:pP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sz w:val="20"/>
                <w:szCs w:val="20"/>
              </w:rPr>
              <w:t>公开单位</w:t>
            </w:r>
            <w:r>
              <w:rPr>
                <w:rFonts w:asciiTheme="majorEastAsia" w:eastAsiaTheme="majorEastAsia" w:hAnsiTheme="majorEastAsia" w:cstheme="majorEastAsia"/>
                <w:color w:val="000000"/>
                <w:sz w:val="20"/>
                <w:szCs w:val="20"/>
              </w:rPr>
              <w:t xml:space="preserve">： </w:t>
            </w:r>
            <w:r>
              <w:rPr>
                <w:rFonts w:asciiTheme="majorEastAsia" w:eastAsiaTheme="majorEastAsia" w:hAnsiTheme="majorEastAsia" w:cstheme="majorEastAsia"/>
                <w:color w:val="000000"/>
                <w:sz w:val="20"/>
              </w:rPr>
              <w:t xml:space="preserve">重庆市丰都县南天湖镇三抚完全小学校 </w:t>
            </w:r>
          </w:p>
        </w:tc>
        <w:tc>
          <w:tcPr>
            <w:tcW w:w="1672"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672"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657"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657"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718" w:type="dxa"/>
            <w:tcBorders>
              <w:top w:val="nil"/>
              <w:left w:val="nil"/>
              <w:bottom w:val="nil"/>
              <w:right w:val="nil"/>
            </w:tcBorders>
            <w:shd w:val="clear" w:color="auto" w:fill="auto"/>
            <w:noWrap/>
            <w:tcMar>
              <w:top w:w="15" w:type="dxa"/>
              <w:left w:w="15" w:type="dxa"/>
              <w:right w:w="15" w:type="dxa"/>
            </w:tcMar>
            <w:vAlign w:val="bottom"/>
          </w:tcPr>
          <w:p w:rsidR="001E028F" w:rsidRDefault="003059E7">
            <w:pPr>
              <w:jc w:val="right"/>
              <w:textAlignment w:val="bottom"/>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公开03表</w:t>
            </w:r>
          </w:p>
        </w:tc>
      </w:tr>
      <w:tr w:rsidR="001E028F" w:rsidTr="00061B46">
        <w:trPr>
          <w:trHeight w:val="328"/>
        </w:trPr>
        <w:tc>
          <w:tcPr>
            <w:tcW w:w="6745" w:type="dxa"/>
            <w:gridSpan w:val="3"/>
            <w:vMerge/>
            <w:tcBorders>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672"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672"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657"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657"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718" w:type="dxa"/>
            <w:tcBorders>
              <w:top w:val="nil"/>
              <w:left w:val="nil"/>
              <w:bottom w:val="nil"/>
              <w:right w:val="nil"/>
            </w:tcBorders>
            <w:shd w:val="clear" w:color="auto" w:fill="auto"/>
            <w:noWrap/>
            <w:tcMar>
              <w:top w:w="15" w:type="dxa"/>
              <w:left w:w="15" w:type="dxa"/>
              <w:right w:w="15" w:type="dxa"/>
            </w:tcMar>
            <w:vAlign w:val="bottom"/>
          </w:tcPr>
          <w:p w:rsidR="001E028F" w:rsidRDefault="003059E7">
            <w:pPr>
              <w:jc w:val="right"/>
              <w:textAlignment w:val="bottom"/>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单位：</w:t>
            </w:r>
            <w:r>
              <w:rPr>
                <w:rFonts w:asciiTheme="majorEastAsia" w:eastAsiaTheme="majorEastAsia" w:hAnsiTheme="majorEastAsia" w:cstheme="majorEastAsia"/>
                <w:sz w:val="20"/>
                <w:szCs w:val="20"/>
              </w:rPr>
              <w:t>万元</w:t>
            </w:r>
          </w:p>
        </w:tc>
      </w:tr>
      <w:tr w:rsidR="001E028F" w:rsidTr="00061B46">
        <w:trPr>
          <w:trHeight w:val="347"/>
        </w:trPr>
        <w:tc>
          <w:tcPr>
            <w:tcW w:w="507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E028F" w:rsidRDefault="003059E7">
            <w:pPr>
              <w:jc w:val="center"/>
              <w:textAlignment w:val="bottom"/>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项目</w:t>
            </w:r>
          </w:p>
        </w:tc>
        <w:tc>
          <w:tcPr>
            <w:tcW w:w="167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本年支出合计</w:t>
            </w:r>
          </w:p>
        </w:tc>
        <w:tc>
          <w:tcPr>
            <w:tcW w:w="167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基本支出</w:t>
            </w:r>
          </w:p>
        </w:tc>
        <w:tc>
          <w:tcPr>
            <w:tcW w:w="167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项目支出</w:t>
            </w:r>
          </w:p>
        </w:tc>
        <w:tc>
          <w:tcPr>
            <w:tcW w:w="165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上缴上级支出</w:t>
            </w:r>
          </w:p>
        </w:tc>
        <w:tc>
          <w:tcPr>
            <w:tcW w:w="165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经营支出</w:t>
            </w:r>
          </w:p>
        </w:tc>
        <w:tc>
          <w:tcPr>
            <w:tcW w:w="171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对附属单位补助支出</w:t>
            </w:r>
          </w:p>
        </w:tc>
      </w:tr>
      <w:tr w:rsidR="001E028F" w:rsidTr="00061B46">
        <w:trPr>
          <w:trHeight w:val="326"/>
        </w:trPr>
        <w:tc>
          <w:tcPr>
            <w:tcW w:w="1773"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功能分类科目编码</w:t>
            </w:r>
          </w:p>
        </w:tc>
        <w:tc>
          <w:tcPr>
            <w:tcW w:w="3299"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项目（按“项”</w:t>
            </w:r>
            <w:proofErr w:type="gramStart"/>
            <w:r>
              <w:rPr>
                <w:rFonts w:asciiTheme="majorEastAsia" w:eastAsiaTheme="majorEastAsia" w:hAnsiTheme="majorEastAsia" w:cstheme="majorEastAsia"/>
                <w:b/>
                <w:color w:val="000000"/>
                <w:sz w:val="20"/>
                <w:szCs w:val="20"/>
              </w:rPr>
              <w:t>级功能</w:t>
            </w:r>
            <w:proofErr w:type="gramEnd"/>
            <w:r>
              <w:rPr>
                <w:rFonts w:asciiTheme="majorEastAsia" w:eastAsiaTheme="majorEastAsia" w:hAnsiTheme="majorEastAsia" w:cstheme="majorEastAsia"/>
                <w:b/>
                <w:color w:val="000000"/>
                <w:sz w:val="20"/>
                <w:szCs w:val="20"/>
              </w:rPr>
              <w:t>分类科目）</w:t>
            </w:r>
          </w:p>
        </w:tc>
        <w:tc>
          <w:tcPr>
            <w:tcW w:w="167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7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7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5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5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7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r>
      <w:tr w:rsidR="001E028F" w:rsidTr="00061B46">
        <w:trPr>
          <w:trHeight w:val="326"/>
        </w:trPr>
        <w:tc>
          <w:tcPr>
            <w:tcW w:w="1773"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299"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7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7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7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5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5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7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r>
      <w:tr w:rsidR="001E028F" w:rsidTr="00061B46">
        <w:trPr>
          <w:trHeight w:val="326"/>
        </w:trPr>
        <w:tc>
          <w:tcPr>
            <w:tcW w:w="1773"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299"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7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7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7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5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5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7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r>
      <w:tr w:rsidR="001E028F" w:rsidTr="00061B46">
        <w:trPr>
          <w:trHeight w:val="326"/>
        </w:trPr>
        <w:tc>
          <w:tcPr>
            <w:tcW w:w="1773"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299"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7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7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7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5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65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7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r>
      <w:tr w:rsidR="001E028F" w:rsidTr="00061B46">
        <w:trPr>
          <w:trHeight w:val="347"/>
        </w:trPr>
        <w:tc>
          <w:tcPr>
            <w:tcW w:w="507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合计</w:t>
            </w:r>
          </w:p>
        </w:tc>
        <w:tc>
          <w:tcPr>
            <w:tcW w:w="16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bCs/>
                <w:color w:val="000000"/>
                <w:sz w:val="20"/>
                <w:szCs w:val="20"/>
              </w:rPr>
              <w:t>1,202.25</w:t>
            </w:r>
            <w:r>
              <w:rPr>
                <w:rFonts w:asciiTheme="majorEastAsia" w:eastAsiaTheme="majorEastAsia" w:hAnsiTheme="majorEastAsia" w:cstheme="majorEastAsia"/>
                <w:b/>
                <w:color w:val="000000"/>
                <w:sz w:val="20"/>
              </w:rPr>
              <w:t xml:space="preserve"> </w:t>
            </w:r>
          </w:p>
        </w:tc>
        <w:tc>
          <w:tcPr>
            <w:tcW w:w="16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bCs/>
                <w:color w:val="000000"/>
                <w:sz w:val="20"/>
                <w:szCs w:val="20"/>
              </w:rPr>
              <w:t>1,014.47</w:t>
            </w:r>
            <w:r>
              <w:rPr>
                <w:rFonts w:asciiTheme="majorEastAsia" w:eastAsiaTheme="majorEastAsia" w:hAnsiTheme="majorEastAsia" w:cstheme="majorEastAsia"/>
                <w:b/>
                <w:color w:val="000000"/>
                <w:sz w:val="20"/>
              </w:rPr>
              <w:t xml:space="preserve"> </w:t>
            </w:r>
          </w:p>
        </w:tc>
        <w:tc>
          <w:tcPr>
            <w:tcW w:w="16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bCs/>
                <w:color w:val="000000"/>
                <w:sz w:val="20"/>
                <w:szCs w:val="20"/>
              </w:rPr>
              <w:t>187.79</w:t>
            </w:r>
            <w:r>
              <w:rPr>
                <w:rFonts w:asciiTheme="majorEastAsia" w:eastAsiaTheme="majorEastAsia" w:hAnsiTheme="majorEastAsia" w:cstheme="majorEastAsia"/>
                <w:b/>
                <w:color w:val="000000"/>
                <w:sz w:val="20"/>
              </w:rPr>
              <w:t xml:space="preserve"> </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rPr>
              <w:t xml:space="preserve"> </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rPr>
              <w:t xml:space="preserve"> </w:t>
            </w:r>
          </w:p>
        </w:tc>
        <w:tc>
          <w:tcPr>
            <w:tcW w:w="17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rPr>
              <w:t xml:space="preserve"> </w:t>
            </w:r>
          </w:p>
        </w:tc>
      </w:tr>
      <w:tr w:rsidR="001E028F" w:rsidTr="00061B46">
        <w:trPr>
          <w:trHeight w:val="366"/>
        </w:trPr>
        <w:tc>
          <w:tcPr>
            <w:tcW w:w="17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205</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教育支出</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998.55</w:t>
            </w:r>
            <w:r>
              <w:rPr>
                <w:rFonts w:asciiTheme="majorEastAsia" w:eastAsiaTheme="majorEastAsia" w:hAnsiTheme="majorEastAsia" w:cstheme="majorEastAsia"/>
                <w:b/>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810.76</w:t>
            </w:r>
            <w:r>
              <w:rPr>
                <w:rFonts w:asciiTheme="majorEastAsia" w:eastAsiaTheme="majorEastAsia" w:hAnsiTheme="majorEastAsia" w:cstheme="majorEastAsia"/>
                <w:b/>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187.79</w:t>
            </w:r>
            <w:r>
              <w:rPr>
                <w:rFonts w:asciiTheme="majorEastAsia" w:eastAsiaTheme="majorEastAsia" w:hAnsiTheme="majorEastAsia" w:cstheme="majorEastAsia"/>
                <w:b/>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66"/>
        </w:trPr>
        <w:tc>
          <w:tcPr>
            <w:tcW w:w="17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20502</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普通教育</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998.55</w:t>
            </w:r>
            <w:r>
              <w:rPr>
                <w:rFonts w:asciiTheme="majorEastAsia" w:eastAsiaTheme="majorEastAsia" w:hAnsiTheme="majorEastAsia" w:cstheme="majorEastAsia"/>
                <w:b/>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810.76</w:t>
            </w:r>
            <w:r>
              <w:rPr>
                <w:rFonts w:asciiTheme="majorEastAsia" w:eastAsiaTheme="majorEastAsia" w:hAnsiTheme="majorEastAsia" w:cstheme="majorEastAsia"/>
                <w:b/>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187.79</w:t>
            </w:r>
            <w:r>
              <w:rPr>
                <w:rFonts w:asciiTheme="majorEastAsia" w:eastAsiaTheme="majorEastAsia" w:hAnsiTheme="majorEastAsia" w:cstheme="majorEastAsia"/>
                <w:b/>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66"/>
        </w:trPr>
        <w:tc>
          <w:tcPr>
            <w:tcW w:w="17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2050201</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学前教育</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84.31</w:t>
            </w:r>
            <w:r>
              <w:rPr>
                <w:rFonts w:asciiTheme="majorEastAsia" w:eastAsiaTheme="majorEastAsia" w:hAnsiTheme="majorEastAsia" w:cstheme="majorEastAsia"/>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20.30</w:t>
            </w:r>
            <w:r>
              <w:rPr>
                <w:rFonts w:asciiTheme="majorEastAsia" w:eastAsiaTheme="majorEastAsia" w:hAnsiTheme="majorEastAsia" w:cstheme="majorEastAsia"/>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64.01</w:t>
            </w: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66"/>
        </w:trPr>
        <w:tc>
          <w:tcPr>
            <w:tcW w:w="17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2050202</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小学教育</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914.25</w:t>
            </w:r>
            <w:r>
              <w:rPr>
                <w:rFonts w:asciiTheme="majorEastAsia" w:eastAsiaTheme="majorEastAsia" w:hAnsiTheme="majorEastAsia" w:cstheme="majorEastAsia"/>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790.47</w:t>
            </w:r>
            <w:r>
              <w:rPr>
                <w:rFonts w:asciiTheme="majorEastAsia" w:eastAsiaTheme="majorEastAsia" w:hAnsiTheme="majorEastAsia" w:cstheme="majorEastAsia"/>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123.78</w:t>
            </w: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66"/>
        </w:trPr>
        <w:tc>
          <w:tcPr>
            <w:tcW w:w="17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208</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社会保障和就业支出</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119.64</w:t>
            </w:r>
            <w:r>
              <w:rPr>
                <w:rFonts w:asciiTheme="majorEastAsia" w:eastAsiaTheme="majorEastAsia" w:hAnsiTheme="majorEastAsia" w:cstheme="majorEastAsia"/>
                <w:b/>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119.64</w:t>
            </w:r>
            <w:r>
              <w:rPr>
                <w:rFonts w:asciiTheme="majorEastAsia" w:eastAsiaTheme="majorEastAsia" w:hAnsiTheme="majorEastAsia" w:cstheme="majorEastAsia"/>
                <w:b/>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66"/>
        </w:trPr>
        <w:tc>
          <w:tcPr>
            <w:tcW w:w="17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20805</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行政事业单位养老支出</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119.64</w:t>
            </w:r>
            <w:r>
              <w:rPr>
                <w:rFonts w:asciiTheme="majorEastAsia" w:eastAsiaTheme="majorEastAsia" w:hAnsiTheme="majorEastAsia" w:cstheme="majorEastAsia"/>
                <w:b/>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119.64</w:t>
            </w:r>
            <w:r>
              <w:rPr>
                <w:rFonts w:asciiTheme="majorEastAsia" w:eastAsiaTheme="majorEastAsia" w:hAnsiTheme="majorEastAsia" w:cstheme="majorEastAsia"/>
                <w:b/>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66"/>
        </w:trPr>
        <w:tc>
          <w:tcPr>
            <w:tcW w:w="17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2080505</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机关事业单位基本养老保险缴费支出</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54.46</w:t>
            </w:r>
            <w:r>
              <w:rPr>
                <w:rFonts w:asciiTheme="majorEastAsia" w:eastAsiaTheme="majorEastAsia" w:hAnsiTheme="majorEastAsia" w:cstheme="majorEastAsia"/>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54.46</w:t>
            </w:r>
            <w:r>
              <w:rPr>
                <w:rFonts w:asciiTheme="majorEastAsia" w:eastAsiaTheme="majorEastAsia" w:hAnsiTheme="majorEastAsia" w:cstheme="majorEastAsia"/>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66"/>
        </w:trPr>
        <w:tc>
          <w:tcPr>
            <w:tcW w:w="17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2080506</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机关事业单位职业年金缴费支出</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48.43</w:t>
            </w:r>
            <w:r>
              <w:rPr>
                <w:rFonts w:asciiTheme="majorEastAsia" w:eastAsiaTheme="majorEastAsia" w:hAnsiTheme="majorEastAsia" w:cstheme="majorEastAsia"/>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48.43</w:t>
            </w:r>
            <w:r>
              <w:rPr>
                <w:rFonts w:asciiTheme="majorEastAsia" w:eastAsiaTheme="majorEastAsia" w:hAnsiTheme="majorEastAsia" w:cstheme="majorEastAsia"/>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66"/>
        </w:trPr>
        <w:tc>
          <w:tcPr>
            <w:tcW w:w="17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2080599</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其他行政事业单位养老支出</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16.76</w:t>
            </w:r>
            <w:r>
              <w:rPr>
                <w:rFonts w:asciiTheme="majorEastAsia" w:eastAsiaTheme="majorEastAsia" w:hAnsiTheme="majorEastAsia" w:cstheme="majorEastAsia"/>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16.76</w:t>
            </w:r>
            <w:r>
              <w:rPr>
                <w:rFonts w:asciiTheme="majorEastAsia" w:eastAsiaTheme="majorEastAsia" w:hAnsiTheme="majorEastAsia" w:cstheme="majorEastAsia"/>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66"/>
        </w:trPr>
        <w:tc>
          <w:tcPr>
            <w:tcW w:w="17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210</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卫生健康支出</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43.22</w:t>
            </w:r>
            <w:r>
              <w:rPr>
                <w:rFonts w:asciiTheme="majorEastAsia" w:eastAsiaTheme="majorEastAsia" w:hAnsiTheme="majorEastAsia" w:cstheme="majorEastAsia"/>
                <w:b/>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43.22</w:t>
            </w:r>
            <w:r>
              <w:rPr>
                <w:rFonts w:asciiTheme="majorEastAsia" w:eastAsiaTheme="majorEastAsia" w:hAnsiTheme="majorEastAsia" w:cstheme="majorEastAsia"/>
                <w:b/>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66"/>
        </w:trPr>
        <w:tc>
          <w:tcPr>
            <w:tcW w:w="17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21011</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行政事业单位医疗</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43.22</w:t>
            </w:r>
            <w:r>
              <w:rPr>
                <w:rFonts w:asciiTheme="majorEastAsia" w:eastAsiaTheme="majorEastAsia" w:hAnsiTheme="majorEastAsia" w:cstheme="majorEastAsia"/>
                <w:b/>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43.22</w:t>
            </w:r>
            <w:r>
              <w:rPr>
                <w:rFonts w:asciiTheme="majorEastAsia" w:eastAsiaTheme="majorEastAsia" w:hAnsiTheme="majorEastAsia" w:cstheme="majorEastAsia"/>
                <w:b/>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66"/>
        </w:trPr>
        <w:tc>
          <w:tcPr>
            <w:tcW w:w="17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2101102</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事业单位医疗</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27.23</w:t>
            </w:r>
            <w:r>
              <w:rPr>
                <w:rFonts w:asciiTheme="majorEastAsia" w:eastAsiaTheme="majorEastAsia" w:hAnsiTheme="majorEastAsia" w:cstheme="majorEastAsia"/>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27.23</w:t>
            </w:r>
            <w:r>
              <w:rPr>
                <w:rFonts w:asciiTheme="majorEastAsia" w:eastAsiaTheme="majorEastAsia" w:hAnsiTheme="majorEastAsia" w:cstheme="majorEastAsia"/>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66"/>
        </w:trPr>
        <w:tc>
          <w:tcPr>
            <w:tcW w:w="17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2101199</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其他行政事业单位医疗支出</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15.99</w:t>
            </w:r>
            <w:r>
              <w:rPr>
                <w:rFonts w:asciiTheme="majorEastAsia" w:eastAsiaTheme="majorEastAsia" w:hAnsiTheme="majorEastAsia" w:cstheme="majorEastAsia"/>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15.99</w:t>
            </w:r>
            <w:r>
              <w:rPr>
                <w:rFonts w:asciiTheme="majorEastAsia" w:eastAsiaTheme="majorEastAsia" w:hAnsiTheme="majorEastAsia" w:cstheme="majorEastAsia"/>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66"/>
        </w:trPr>
        <w:tc>
          <w:tcPr>
            <w:tcW w:w="17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221</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住房保障支出</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40.84</w:t>
            </w:r>
            <w:r>
              <w:rPr>
                <w:rFonts w:asciiTheme="majorEastAsia" w:eastAsiaTheme="majorEastAsia" w:hAnsiTheme="majorEastAsia" w:cstheme="majorEastAsia"/>
                <w:b/>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40.84</w:t>
            </w:r>
            <w:r>
              <w:rPr>
                <w:rFonts w:asciiTheme="majorEastAsia" w:eastAsiaTheme="majorEastAsia" w:hAnsiTheme="majorEastAsia" w:cstheme="majorEastAsia"/>
                <w:b/>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66"/>
        </w:trPr>
        <w:tc>
          <w:tcPr>
            <w:tcW w:w="17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22102</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住房改革支出</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40.84</w:t>
            </w:r>
            <w:r>
              <w:rPr>
                <w:rFonts w:asciiTheme="majorEastAsia" w:eastAsiaTheme="majorEastAsia" w:hAnsiTheme="majorEastAsia" w:cstheme="majorEastAsia"/>
                <w:b/>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40.84</w:t>
            </w:r>
            <w:r>
              <w:rPr>
                <w:rFonts w:asciiTheme="majorEastAsia" w:eastAsiaTheme="majorEastAsia" w:hAnsiTheme="majorEastAsia" w:cstheme="majorEastAsia"/>
                <w:b/>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r w:rsidR="001E028F" w:rsidTr="00061B46">
        <w:trPr>
          <w:trHeight w:val="366"/>
        </w:trPr>
        <w:tc>
          <w:tcPr>
            <w:tcW w:w="177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2210201</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住房公积金</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40.84</w:t>
            </w:r>
            <w:r>
              <w:rPr>
                <w:rFonts w:asciiTheme="majorEastAsia" w:eastAsiaTheme="majorEastAsia" w:hAnsiTheme="majorEastAsia" w:cstheme="majorEastAsia"/>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40.84</w:t>
            </w:r>
            <w:r>
              <w:rPr>
                <w:rFonts w:asciiTheme="majorEastAsia" w:eastAsiaTheme="majorEastAsia" w:hAnsiTheme="majorEastAsia" w:cstheme="majorEastAsia"/>
                <w:color w:val="000000"/>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rPr>
              <w:t xml:space="preserve"> </w:t>
            </w:r>
          </w:p>
        </w:tc>
      </w:tr>
    </w:tbl>
    <w:p w:rsidR="001E028F" w:rsidRDefault="003059E7">
      <w:pPr>
        <w:rPr>
          <w:rFonts w:asciiTheme="majorEastAsia" w:eastAsiaTheme="majorEastAsia" w:hAnsiTheme="majorEastAsia" w:cstheme="majorEastAsia" w:hint="default"/>
          <w:sz w:val="20"/>
          <w:szCs w:val="20"/>
        </w:rPr>
      </w:pPr>
      <w:r>
        <w:rPr>
          <w:rFonts w:asciiTheme="majorEastAsia" w:eastAsiaTheme="majorEastAsia" w:hAnsiTheme="majorEastAsia" w:cstheme="majorEastAsia"/>
          <w:sz w:val="20"/>
          <w:szCs w:val="20"/>
        </w:rPr>
        <w:t>备注：1.本表反映单位本年度各项支出情况。</w:t>
      </w:r>
      <w:r>
        <w:rPr>
          <w:rFonts w:asciiTheme="majorEastAsia" w:eastAsiaTheme="majorEastAsia" w:hAnsiTheme="majorEastAsia" w:cstheme="majorEastAsia"/>
          <w:sz w:val="20"/>
          <w:szCs w:val="20"/>
        </w:rPr>
        <w:br/>
        <w:t xml:space="preserve">      2.本套报表金额单位转换时可能存在尾数误差。</w:t>
      </w:r>
    </w:p>
    <w:p w:rsidR="001E028F" w:rsidRDefault="003059E7">
      <w:pPr>
        <w:rPr>
          <w:rFonts w:asciiTheme="majorEastAsia" w:eastAsiaTheme="majorEastAsia" w:hAnsiTheme="majorEastAsia" w:cstheme="majorEastAsia" w:hint="default"/>
          <w:sz w:val="21"/>
          <w:szCs w:val="21"/>
        </w:rPr>
      </w:pPr>
      <w:r>
        <w:rPr>
          <w:rFonts w:asciiTheme="majorEastAsia" w:eastAsiaTheme="majorEastAsia" w:hAnsiTheme="majorEastAsia" w:cstheme="majorEastAsia"/>
          <w:sz w:val="21"/>
          <w:szCs w:val="21"/>
        </w:rPr>
        <w:br w:type="page"/>
      </w:r>
    </w:p>
    <w:p w:rsidR="001E028F" w:rsidRDefault="001E028F">
      <w:pPr>
        <w:rPr>
          <w:rFonts w:asciiTheme="majorEastAsia" w:eastAsiaTheme="majorEastAsia" w:hAnsiTheme="majorEastAsia" w:cstheme="majorEastAsia" w:hint="default"/>
          <w:sz w:val="21"/>
          <w:szCs w:val="21"/>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1E028F">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rsidR="001E028F" w:rsidRDefault="003059E7">
            <w:pPr>
              <w:spacing w:line="400" w:lineRule="exact"/>
              <w:jc w:val="center"/>
              <w:textAlignment w:val="bottom"/>
              <w:rPr>
                <w:rFonts w:asciiTheme="majorEastAsia" w:eastAsiaTheme="majorEastAsia" w:hAnsiTheme="majorEastAsia" w:cstheme="majorEastAsia" w:hint="default"/>
                <w:b/>
                <w:color w:val="000000"/>
                <w:sz w:val="32"/>
                <w:szCs w:val="32"/>
              </w:rPr>
            </w:pPr>
            <w:r>
              <w:rPr>
                <w:rFonts w:asciiTheme="majorEastAsia" w:eastAsiaTheme="majorEastAsia" w:hAnsiTheme="majorEastAsia" w:cstheme="majorEastAsia"/>
                <w:b/>
                <w:color w:val="000000"/>
                <w:sz w:val="32"/>
                <w:szCs w:val="32"/>
              </w:rPr>
              <w:t>财政拨款收入支出决算总表</w:t>
            </w:r>
          </w:p>
        </w:tc>
      </w:tr>
      <w:tr w:rsidR="001E028F">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rsidR="001E028F" w:rsidRDefault="003059E7">
            <w:pPr>
              <w:spacing w:line="200" w:lineRule="exact"/>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sz w:val="20"/>
                <w:szCs w:val="20"/>
              </w:rPr>
              <w:t>公开单位</w:t>
            </w:r>
            <w:r>
              <w:rPr>
                <w:rFonts w:asciiTheme="majorEastAsia" w:eastAsiaTheme="majorEastAsia" w:hAnsiTheme="majorEastAsia" w:cstheme="majorEastAsia"/>
                <w:color w:val="000000"/>
                <w:sz w:val="20"/>
                <w:szCs w:val="20"/>
              </w:rPr>
              <w:t xml:space="preserve">： </w:t>
            </w:r>
            <w:r>
              <w:rPr>
                <w:rFonts w:asciiTheme="majorEastAsia" w:eastAsiaTheme="majorEastAsia" w:hAnsiTheme="majorEastAsia" w:cstheme="majorEastAsia"/>
                <w:color w:val="000000"/>
                <w:sz w:val="20"/>
              </w:rPr>
              <w:t>重庆市丰都县南天湖镇三抚完全小学校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1E028F" w:rsidRDefault="003059E7">
            <w:pPr>
              <w:spacing w:line="240" w:lineRule="exact"/>
              <w:jc w:val="right"/>
              <w:textAlignment w:val="bottom"/>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公开04表</w:t>
            </w:r>
          </w:p>
        </w:tc>
      </w:tr>
      <w:tr w:rsidR="001E028F">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1E028F" w:rsidRDefault="003059E7">
            <w:pPr>
              <w:spacing w:line="280" w:lineRule="exact"/>
              <w:jc w:val="right"/>
              <w:textAlignment w:val="bottom"/>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单位：</w:t>
            </w:r>
            <w:r>
              <w:rPr>
                <w:rFonts w:asciiTheme="majorEastAsia" w:eastAsiaTheme="majorEastAsia" w:hAnsiTheme="majorEastAsia" w:cstheme="majorEastAsia"/>
                <w:sz w:val="20"/>
                <w:szCs w:val="20"/>
              </w:rPr>
              <w:t>万元</w:t>
            </w:r>
          </w:p>
        </w:tc>
      </w:tr>
      <w:tr w:rsidR="001E028F">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收     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支     出</w:t>
            </w:r>
          </w:p>
        </w:tc>
      </w:tr>
      <w:tr w:rsidR="001E028F">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决算数</w:t>
            </w:r>
          </w:p>
        </w:tc>
      </w:tr>
      <w:tr w:rsidR="001E028F">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spacing w:line="200" w:lineRule="exact"/>
              <w:jc w:val="center"/>
              <w:rPr>
                <w:rFonts w:asciiTheme="majorEastAsia" w:eastAsiaTheme="majorEastAsia" w:hAnsiTheme="majorEastAsia" w:cstheme="majorEastAsia"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spacing w:line="200" w:lineRule="exact"/>
              <w:jc w:val="center"/>
              <w:rPr>
                <w:rFonts w:asciiTheme="majorEastAsia" w:eastAsiaTheme="majorEastAsia" w:hAnsiTheme="majorEastAsia" w:cstheme="majorEastAsia" w:hint="default"/>
                <w:b/>
                <w:color w:val="000000"/>
                <w:sz w:val="18"/>
                <w:szCs w:val="18"/>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spacing w:line="200" w:lineRule="exact"/>
              <w:jc w:val="center"/>
              <w:rPr>
                <w:rFonts w:asciiTheme="majorEastAsia" w:eastAsiaTheme="majorEastAsia" w:hAnsiTheme="majorEastAsia" w:cstheme="majorEastAsia"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国有资本经营预算财政拨款</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1,073.63</w:t>
            </w:r>
            <w:r>
              <w:rPr>
                <w:rFonts w:asciiTheme="majorEastAsia" w:eastAsiaTheme="majorEastAsia" w:hAnsiTheme="majorEastAsia" w:cstheme="majorEastAsia"/>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955.19</w:t>
            </w: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955.19</w:t>
            </w: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119.64</w:t>
            </w: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119.64</w:t>
            </w: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43.22</w:t>
            </w: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43.22</w:t>
            </w: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40.84</w:t>
            </w: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40.84</w:t>
            </w: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二十六、抗</w:t>
            </w:r>
            <w:proofErr w:type="gramStart"/>
            <w:r>
              <w:rPr>
                <w:rFonts w:asciiTheme="majorEastAsia" w:eastAsiaTheme="majorEastAsia" w:hAnsiTheme="majorEastAsia" w:cstheme="majorEastAsia"/>
                <w:color w:val="000000"/>
                <w:sz w:val="18"/>
                <w:szCs w:val="18"/>
              </w:rPr>
              <w:t>疫</w:t>
            </w:r>
            <w:proofErr w:type="gramEnd"/>
            <w:r>
              <w:rPr>
                <w:rFonts w:asciiTheme="majorEastAsia" w:eastAsiaTheme="majorEastAsia" w:hAnsiTheme="majorEastAsia" w:cstheme="majorEastAsia"/>
                <w:color w:val="000000"/>
                <w:sz w:val="18"/>
                <w:szCs w:val="18"/>
              </w:rPr>
              <w:t>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1,073.63</w:t>
            </w:r>
            <w:r>
              <w:rPr>
                <w:rFonts w:asciiTheme="majorEastAsia" w:eastAsiaTheme="majorEastAsia" w:hAnsiTheme="majorEastAsia" w:cstheme="majorEastAsia"/>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1,158.89</w:t>
            </w: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1,158.89</w:t>
            </w: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85.26</w:t>
            </w:r>
            <w:r>
              <w:rPr>
                <w:rFonts w:asciiTheme="majorEastAsia" w:eastAsiaTheme="majorEastAsia" w:hAnsiTheme="majorEastAsia" w:cstheme="majorEastAsia"/>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85.26</w:t>
            </w:r>
            <w:r>
              <w:rPr>
                <w:rFonts w:asciiTheme="majorEastAsia" w:eastAsiaTheme="majorEastAsia" w:hAnsiTheme="majorEastAsia" w:cstheme="majorEastAsia"/>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jc w:val="center"/>
              <w:rPr>
                <w:rFonts w:asciiTheme="majorEastAsia" w:eastAsiaTheme="majorEastAsia" w:hAnsiTheme="majorEastAsia" w:cstheme="majorEastAsia"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jc w:val="center"/>
              <w:rPr>
                <w:rFonts w:asciiTheme="majorEastAsia" w:eastAsiaTheme="majorEastAsia" w:hAnsiTheme="majorEastAsia" w:cstheme="majorEastAsia"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r>
      <w:tr w:rsidR="001E028F">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1,158.89</w:t>
            </w:r>
            <w:r>
              <w:rPr>
                <w:rFonts w:asciiTheme="majorEastAsia" w:eastAsiaTheme="majorEastAsia" w:hAnsiTheme="majorEastAsia" w:cstheme="majorEastAsia"/>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1,158.89</w:t>
            </w: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1,158.89</w:t>
            </w:r>
            <w:r>
              <w:rPr>
                <w:rFonts w:asciiTheme="majorEastAsia" w:eastAsiaTheme="majorEastAsia" w:hAnsiTheme="majorEastAsia" w:cstheme="maj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bl>
    <w:p w:rsidR="001E028F" w:rsidRDefault="003059E7">
      <w:pPr>
        <w:spacing w:line="240" w:lineRule="exact"/>
        <w:rPr>
          <w:rFonts w:asciiTheme="majorEastAsia" w:eastAsiaTheme="majorEastAsia" w:hAnsiTheme="majorEastAsia" w:cstheme="majorEastAsia" w:hint="default"/>
          <w:sz w:val="20"/>
          <w:szCs w:val="20"/>
        </w:rPr>
      </w:pPr>
      <w:r>
        <w:rPr>
          <w:rFonts w:asciiTheme="majorEastAsia" w:eastAsiaTheme="majorEastAsia" w:hAnsiTheme="majorEastAsia" w:cstheme="majorEastAsia"/>
          <w:sz w:val="20"/>
          <w:szCs w:val="20"/>
        </w:rPr>
        <w:t>备注：1.本表反映单位本年度一般公共预算财政拨款、政府性基金预算财政拨款及国有资本经营预算财政拨款的总收支和年末结转结余情况。</w:t>
      </w:r>
      <w:r>
        <w:rPr>
          <w:rFonts w:asciiTheme="majorEastAsia" w:eastAsiaTheme="majorEastAsia" w:hAnsiTheme="majorEastAsia" w:cstheme="majorEastAsia"/>
          <w:sz w:val="20"/>
          <w:szCs w:val="20"/>
        </w:rPr>
        <w:br/>
        <w:t xml:space="preserve">      2.本套报表金额单位转换时可能存在尾数误差。</w:t>
      </w:r>
      <w:r>
        <w:rPr>
          <w:rFonts w:asciiTheme="majorEastAsia" w:eastAsiaTheme="majorEastAsia" w:hAnsiTheme="majorEastAsia" w:cstheme="majorEastAsia"/>
          <w:sz w:val="20"/>
          <w:szCs w:val="20"/>
        </w:rPr>
        <w:br/>
      </w:r>
      <w:r>
        <w:rPr>
          <w:rFonts w:asciiTheme="majorEastAsia" w:eastAsiaTheme="majorEastAsia" w:hAnsiTheme="majorEastAsia" w:cstheme="majorEastAsia"/>
          <w:sz w:val="20"/>
          <w:szCs w:val="20"/>
        </w:rPr>
        <w:br/>
      </w:r>
      <w:r>
        <w:rPr>
          <w:rFonts w:asciiTheme="majorEastAsia" w:eastAsiaTheme="majorEastAsia" w:hAnsiTheme="majorEastAsia" w:cstheme="majorEastAsia"/>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7"/>
        <w:gridCol w:w="3549"/>
        <w:gridCol w:w="3319"/>
        <w:gridCol w:w="3319"/>
        <w:gridCol w:w="3334"/>
      </w:tblGrid>
      <w:tr w:rsidR="001E028F">
        <w:trPr>
          <w:trHeight w:val="510"/>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rsidR="001E028F" w:rsidRDefault="003059E7">
            <w:pPr>
              <w:jc w:val="center"/>
              <w:textAlignment w:val="bottom"/>
              <w:rPr>
                <w:rFonts w:asciiTheme="majorEastAsia" w:eastAsiaTheme="majorEastAsia" w:hAnsiTheme="majorEastAsia" w:cstheme="majorEastAsia" w:hint="default"/>
                <w:b/>
                <w:color w:val="000000"/>
                <w:sz w:val="32"/>
                <w:szCs w:val="32"/>
              </w:rPr>
            </w:pPr>
            <w:r>
              <w:rPr>
                <w:rFonts w:asciiTheme="majorEastAsia" w:eastAsiaTheme="majorEastAsia" w:hAnsiTheme="majorEastAsia" w:cstheme="majorEastAsia"/>
                <w:b/>
                <w:color w:val="000000"/>
                <w:sz w:val="32"/>
                <w:szCs w:val="32"/>
              </w:rPr>
              <w:lastRenderedPageBreak/>
              <w:t>一般公共预算财政拨款支出决算表</w:t>
            </w:r>
          </w:p>
        </w:tc>
      </w:tr>
      <w:tr w:rsidR="001E028F">
        <w:trPr>
          <w:trHeight w:val="255"/>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rsidR="001E028F" w:rsidRDefault="003059E7">
            <w:pP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sz w:val="20"/>
                <w:szCs w:val="20"/>
              </w:rPr>
              <w:t>公开单位</w:t>
            </w:r>
            <w:r>
              <w:rPr>
                <w:rFonts w:asciiTheme="majorEastAsia" w:eastAsiaTheme="majorEastAsia" w:hAnsiTheme="majorEastAsia" w:cstheme="majorEastAsia"/>
                <w:color w:val="000000"/>
                <w:sz w:val="20"/>
                <w:szCs w:val="20"/>
              </w:rPr>
              <w:t xml:space="preserve">： </w:t>
            </w:r>
            <w:r>
              <w:rPr>
                <w:rFonts w:asciiTheme="majorEastAsia" w:eastAsiaTheme="majorEastAsia" w:hAnsiTheme="majorEastAsia" w:cstheme="majorEastAsia"/>
                <w:color w:val="000000"/>
                <w:sz w:val="20"/>
              </w:rPr>
              <w:t>重庆市丰都县南天湖镇三抚完全小学校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1E028F" w:rsidRDefault="003059E7">
            <w:pPr>
              <w:jc w:val="right"/>
              <w:textAlignment w:val="bottom"/>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公开05表</w:t>
            </w:r>
          </w:p>
        </w:tc>
      </w:tr>
      <w:tr w:rsidR="001E028F">
        <w:trPr>
          <w:trHeight w:val="285"/>
        </w:trPr>
        <w:tc>
          <w:tcPr>
            <w:tcW w:w="8725" w:type="dxa"/>
            <w:gridSpan w:val="3"/>
            <w:vMerge/>
            <w:tcBorders>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1E028F" w:rsidRDefault="003059E7">
            <w:pPr>
              <w:jc w:val="right"/>
              <w:textAlignment w:val="bottom"/>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单位：</w:t>
            </w:r>
            <w:r>
              <w:rPr>
                <w:rFonts w:asciiTheme="majorEastAsia" w:eastAsiaTheme="majorEastAsia" w:hAnsiTheme="majorEastAsia" w:cstheme="majorEastAsia"/>
                <w:sz w:val="20"/>
                <w:szCs w:val="20"/>
              </w:rPr>
              <w:t>万元</w:t>
            </w:r>
          </w:p>
        </w:tc>
      </w:tr>
      <w:tr w:rsidR="001E028F">
        <w:trPr>
          <w:trHeight w:val="308"/>
        </w:trPr>
        <w:tc>
          <w:tcPr>
            <w:tcW w:w="54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项目</w:t>
            </w:r>
          </w:p>
        </w:tc>
        <w:tc>
          <w:tcPr>
            <w:tcW w:w="9972"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本年支出</w:t>
            </w:r>
          </w:p>
        </w:tc>
      </w:tr>
      <w:tr w:rsidR="001E028F">
        <w:trPr>
          <w:trHeight w:val="326"/>
        </w:trPr>
        <w:tc>
          <w:tcPr>
            <w:tcW w:w="185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功能分类科目编码</w:t>
            </w:r>
          </w:p>
        </w:tc>
        <w:tc>
          <w:tcPr>
            <w:tcW w:w="35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项目（按“项”</w:t>
            </w:r>
            <w:proofErr w:type="gramStart"/>
            <w:r>
              <w:rPr>
                <w:rFonts w:asciiTheme="majorEastAsia" w:eastAsiaTheme="majorEastAsia" w:hAnsiTheme="majorEastAsia" w:cstheme="majorEastAsia"/>
                <w:b/>
                <w:color w:val="000000"/>
                <w:sz w:val="20"/>
                <w:szCs w:val="20"/>
              </w:rPr>
              <w:t>级功能</w:t>
            </w:r>
            <w:proofErr w:type="gramEnd"/>
            <w:r>
              <w:rPr>
                <w:rFonts w:asciiTheme="majorEastAsia" w:eastAsiaTheme="majorEastAsia" w:hAnsiTheme="majorEastAsia" w:cstheme="majorEastAsia"/>
                <w:b/>
                <w:color w:val="000000"/>
                <w:sz w:val="20"/>
                <w:szCs w:val="20"/>
              </w:rPr>
              <w:t>分类科目）</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合计</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基本支出</w:t>
            </w:r>
          </w:p>
        </w:tc>
        <w:tc>
          <w:tcPr>
            <w:tcW w:w="333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项目支出</w:t>
            </w:r>
          </w:p>
        </w:tc>
      </w:tr>
      <w:tr w:rsidR="001E028F">
        <w:trPr>
          <w:trHeight w:val="326"/>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r>
      <w:tr w:rsidR="001E028F">
        <w:trPr>
          <w:trHeight w:val="615"/>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r>
      <w:tr w:rsidR="001E028F">
        <w:trPr>
          <w:trHeight w:val="308"/>
        </w:trPr>
        <w:tc>
          <w:tcPr>
            <w:tcW w:w="540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合计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bCs/>
                <w:color w:val="000000"/>
                <w:sz w:val="20"/>
                <w:szCs w:val="20"/>
              </w:rPr>
              <w:t>1,158.89</w:t>
            </w:r>
            <w:r>
              <w:rPr>
                <w:rFonts w:asciiTheme="majorEastAsia" w:eastAsiaTheme="majorEastAsia" w:hAnsiTheme="majorEastAsia" w:cstheme="majorEastAsia"/>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bCs/>
                <w:color w:val="000000"/>
                <w:sz w:val="20"/>
                <w:szCs w:val="20"/>
              </w:rPr>
              <w:t>971.10</w:t>
            </w:r>
            <w:r>
              <w:rPr>
                <w:rFonts w:asciiTheme="majorEastAsia" w:eastAsiaTheme="majorEastAsia" w:hAnsiTheme="majorEastAsia" w:cstheme="majorEastAsia"/>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bCs/>
                <w:color w:val="000000"/>
                <w:sz w:val="20"/>
                <w:szCs w:val="20"/>
              </w:rPr>
              <w:t>187.79</w:t>
            </w:r>
            <w:r>
              <w:rPr>
                <w:rFonts w:asciiTheme="majorEastAsia" w:eastAsiaTheme="majorEastAsia" w:hAnsiTheme="majorEastAsia" w:cstheme="majorEastAsia"/>
                <w:b/>
                <w:color w:val="000000"/>
                <w:sz w:val="20"/>
              </w:rPr>
              <w:t xml:space="preserve"> </w:t>
            </w:r>
          </w:p>
        </w:tc>
      </w:tr>
      <w:tr w:rsidR="001E028F">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教育支出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955.19</w:t>
            </w:r>
            <w:r>
              <w:rPr>
                <w:rFonts w:asciiTheme="majorEastAsia" w:eastAsiaTheme="majorEastAsia" w:hAnsiTheme="majorEastAsia" w:cstheme="majorEastAsia"/>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767.40</w:t>
            </w:r>
            <w:r>
              <w:rPr>
                <w:rFonts w:asciiTheme="majorEastAsia" w:eastAsiaTheme="majorEastAsia" w:hAnsiTheme="majorEastAsia" w:cstheme="majorEastAsia"/>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187.79</w:t>
            </w:r>
            <w:r>
              <w:rPr>
                <w:rFonts w:asciiTheme="majorEastAsia" w:eastAsiaTheme="majorEastAsia" w:hAnsiTheme="majorEastAsia" w:cstheme="majorEastAsia"/>
                <w:b/>
                <w:color w:val="000000"/>
                <w:sz w:val="20"/>
              </w:rPr>
              <w:t xml:space="preserve"> </w:t>
            </w:r>
          </w:p>
        </w:tc>
      </w:tr>
      <w:tr w:rsidR="001E028F">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20502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普通教育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955.19</w:t>
            </w:r>
            <w:r>
              <w:rPr>
                <w:rFonts w:asciiTheme="majorEastAsia" w:eastAsiaTheme="majorEastAsia" w:hAnsiTheme="majorEastAsia" w:cstheme="majorEastAsia"/>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767.40</w:t>
            </w:r>
            <w:r>
              <w:rPr>
                <w:rFonts w:asciiTheme="majorEastAsia" w:eastAsiaTheme="majorEastAsia" w:hAnsiTheme="majorEastAsia" w:cstheme="majorEastAsia"/>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187.79</w:t>
            </w:r>
            <w:r>
              <w:rPr>
                <w:rFonts w:asciiTheme="majorEastAsia" w:eastAsiaTheme="majorEastAsia" w:hAnsiTheme="majorEastAsia" w:cstheme="majorEastAsia"/>
                <w:b/>
                <w:color w:val="000000"/>
                <w:sz w:val="20"/>
              </w:rPr>
              <w:t xml:space="preserve"> </w:t>
            </w:r>
          </w:p>
        </w:tc>
      </w:tr>
      <w:tr w:rsidR="001E028F">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2050201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学前教育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szCs w:val="20"/>
              </w:rPr>
              <w:t>67.21</w:t>
            </w:r>
            <w:r>
              <w:rPr>
                <w:rFonts w:asciiTheme="majorEastAsia" w:eastAsiaTheme="majorEastAsia" w:hAnsiTheme="majorEastAsia" w:cstheme="majorEastAsia"/>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szCs w:val="20"/>
              </w:rPr>
              <w:t>3.20</w:t>
            </w:r>
            <w:r>
              <w:rPr>
                <w:rFonts w:asciiTheme="majorEastAsia" w:eastAsiaTheme="majorEastAsia" w:hAnsiTheme="majorEastAsia" w:cstheme="majorEastAsia"/>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szCs w:val="20"/>
              </w:rPr>
              <w:t>64.01</w:t>
            </w:r>
            <w:r>
              <w:rPr>
                <w:rFonts w:asciiTheme="majorEastAsia" w:eastAsiaTheme="majorEastAsia" w:hAnsiTheme="majorEastAsia" w:cstheme="majorEastAsia"/>
                <w:color w:val="000000"/>
                <w:sz w:val="20"/>
              </w:rPr>
              <w:t xml:space="preserve"> </w:t>
            </w:r>
          </w:p>
        </w:tc>
      </w:tr>
      <w:tr w:rsidR="001E028F">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2050202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小学教育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szCs w:val="20"/>
              </w:rPr>
              <w:t>887.98</w:t>
            </w:r>
            <w:r>
              <w:rPr>
                <w:rFonts w:asciiTheme="majorEastAsia" w:eastAsiaTheme="majorEastAsia" w:hAnsiTheme="majorEastAsia" w:cstheme="majorEastAsia"/>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szCs w:val="20"/>
              </w:rPr>
              <w:t>764.20</w:t>
            </w:r>
            <w:r>
              <w:rPr>
                <w:rFonts w:asciiTheme="majorEastAsia" w:eastAsiaTheme="majorEastAsia" w:hAnsiTheme="majorEastAsia" w:cstheme="majorEastAsia"/>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szCs w:val="20"/>
              </w:rPr>
              <w:t>123.78</w:t>
            </w:r>
            <w:r>
              <w:rPr>
                <w:rFonts w:asciiTheme="majorEastAsia" w:eastAsiaTheme="majorEastAsia" w:hAnsiTheme="majorEastAsia" w:cstheme="majorEastAsia"/>
                <w:color w:val="000000"/>
                <w:sz w:val="20"/>
              </w:rPr>
              <w:t xml:space="preserve"> </w:t>
            </w:r>
          </w:p>
        </w:tc>
      </w:tr>
      <w:tr w:rsidR="001E028F">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119.64</w:t>
            </w:r>
            <w:r>
              <w:rPr>
                <w:rFonts w:asciiTheme="majorEastAsia" w:eastAsiaTheme="majorEastAsia" w:hAnsiTheme="majorEastAsia" w:cstheme="majorEastAsia"/>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119.64</w:t>
            </w:r>
            <w:r>
              <w:rPr>
                <w:rFonts w:asciiTheme="majorEastAsia" w:eastAsiaTheme="majorEastAsia" w:hAnsiTheme="majorEastAsia" w:cstheme="majorEastAsia"/>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rPr>
              <w:t xml:space="preserve"> </w:t>
            </w:r>
          </w:p>
        </w:tc>
      </w:tr>
      <w:tr w:rsidR="001E028F">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20805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119.64</w:t>
            </w:r>
            <w:r>
              <w:rPr>
                <w:rFonts w:asciiTheme="majorEastAsia" w:eastAsiaTheme="majorEastAsia" w:hAnsiTheme="majorEastAsia" w:cstheme="majorEastAsia"/>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119.64</w:t>
            </w:r>
            <w:r>
              <w:rPr>
                <w:rFonts w:asciiTheme="majorEastAsia" w:eastAsiaTheme="majorEastAsia" w:hAnsiTheme="majorEastAsia" w:cstheme="majorEastAsia"/>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rPr>
              <w:t xml:space="preserve"> </w:t>
            </w:r>
          </w:p>
        </w:tc>
      </w:tr>
      <w:tr w:rsidR="001E028F">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2080505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szCs w:val="20"/>
              </w:rPr>
              <w:t>54.46</w:t>
            </w:r>
            <w:r>
              <w:rPr>
                <w:rFonts w:asciiTheme="majorEastAsia" w:eastAsiaTheme="majorEastAsia" w:hAnsiTheme="majorEastAsia" w:cstheme="majorEastAsia"/>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szCs w:val="20"/>
              </w:rPr>
              <w:t>54.46</w:t>
            </w:r>
            <w:r>
              <w:rPr>
                <w:rFonts w:asciiTheme="majorEastAsia" w:eastAsiaTheme="majorEastAsia" w:hAnsiTheme="majorEastAsia" w:cstheme="majorEastAsia"/>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rPr>
              <w:t xml:space="preserve"> </w:t>
            </w:r>
          </w:p>
        </w:tc>
      </w:tr>
      <w:tr w:rsidR="001E028F">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2080506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szCs w:val="20"/>
              </w:rPr>
              <w:t>48.43</w:t>
            </w:r>
            <w:r>
              <w:rPr>
                <w:rFonts w:asciiTheme="majorEastAsia" w:eastAsiaTheme="majorEastAsia" w:hAnsiTheme="majorEastAsia" w:cstheme="majorEastAsia"/>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szCs w:val="20"/>
              </w:rPr>
              <w:t>48.43</w:t>
            </w:r>
            <w:r>
              <w:rPr>
                <w:rFonts w:asciiTheme="majorEastAsia" w:eastAsiaTheme="majorEastAsia" w:hAnsiTheme="majorEastAsia" w:cstheme="majorEastAsia"/>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rPr>
              <w:t xml:space="preserve"> </w:t>
            </w:r>
          </w:p>
        </w:tc>
      </w:tr>
      <w:tr w:rsidR="001E028F">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2080599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其他行政事业单位养老支出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szCs w:val="20"/>
              </w:rPr>
              <w:t>16.76</w:t>
            </w:r>
            <w:r>
              <w:rPr>
                <w:rFonts w:asciiTheme="majorEastAsia" w:eastAsiaTheme="majorEastAsia" w:hAnsiTheme="majorEastAsia" w:cstheme="majorEastAsia"/>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szCs w:val="20"/>
              </w:rPr>
              <w:t>16.76</w:t>
            </w:r>
            <w:r>
              <w:rPr>
                <w:rFonts w:asciiTheme="majorEastAsia" w:eastAsiaTheme="majorEastAsia" w:hAnsiTheme="majorEastAsia" w:cstheme="majorEastAsia"/>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rPr>
              <w:t xml:space="preserve"> </w:t>
            </w:r>
          </w:p>
        </w:tc>
      </w:tr>
      <w:tr w:rsidR="001E028F">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43.22</w:t>
            </w:r>
            <w:r>
              <w:rPr>
                <w:rFonts w:asciiTheme="majorEastAsia" w:eastAsiaTheme="majorEastAsia" w:hAnsiTheme="majorEastAsia" w:cstheme="majorEastAsia"/>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43.22</w:t>
            </w:r>
            <w:r>
              <w:rPr>
                <w:rFonts w:asciiTheme="majorEastAsia" w:eastAsiaTheme="majorEastAsia" w:hAnsiTheme="majorEastAsia" w:cstheme="majorEastAsia"/>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rPr>
              <w:t xml:space="preserve"> </w:t>
            </w:r>
          </w:p>
        </w:tc>
      </w:tr>
      <w:tr w:rsidR="001E028F">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21011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43.22</w:t>
            </w:r>
            <w:r>
              <w:rPr>
                <w:rFonts w:asciiTheme="majorEastAsia" w:eastAsiaTheme="majorEastAsia" w:hAnsiTheme="majorEastAsia" w:cstheme="majorEastAsia"/>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43.22</w:t>
            </w:r>
            <w:r>
              <w:rPr>
                <w:rFonts w:asciiTheme="majorEastAsia" w:eastAsiaTheme="majorEastAsia" w:hAnsiTheme="majorEastAsia" w:cstheme="majorEastAsia"/>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rPr>
              <w:t xml:space="preserve"> </w:t>
            </w:r>
          </w:p>
        </w:tc>
      </w:tr>
      <w:tr w:rsidR="001E028F">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2101102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szCs w:val="20"/>
              </w:rPr>
              <w:t>27.23</w:t>
            </w:r>
            <w:r>
              <w:rPr>
                <w:rFonts w:asciiTheme="majorEastAsia" w:eastAsiaTheme="majorEastAsia" w:hAnsiTheme="majorEastAsia" w:cstheme="majorEastAsia"/>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szCs w:val="20"/>
              </w:rPr>
              <w:t>27.23</w:t>
            </w:r>
            <w:r>
              <w:rPr>
                <w:rFonts w:asciiTheme="majorEastAsia" w:eastAsiaTheme="majorEastAsia" w:hAnsiTheme="majorEastAsia" w:cstheme="majorEastAsia"/>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rPr>
              <w:t xml:space="preserve"> </w:t>
            </w:r>
          </w:p>
        </w:tc>
      </w:tr>
      <w:tr w:rsidR="001E028F">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2101199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其他行政事业单位医疗支出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szCs w:val="20"/>
              </w:rPr>
              <w:t>15.99</w:t>
            </w:r>
            <w:r>
              <w:rPr>
                <w:rFonts w:asciiTheme="majorEastAsia" w:eastAsiaTheme="majorEastAsia" w:hAnsiTheme="majorEastAsia" w:cstheme="majorEastAsia"/>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szCs w:val="20"/>
              </w:rPr>
              <w:t>15.99</w:t>
            </w:r>
            <w:r>
              <w:rPr>
                <w:rFonts w:asciiTheme="majorEastAsia" w:eastAsiaTheme="majorEastAsia" w:hAnsiTheme="majorEastAsia" w:cstheme="majorEastAsia"/>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rPr>
              <w:t xml:space="preserve"> </w:t>
            </w:r>
          </w:p>
        </w:tc>
      </w:tr>
      <w:tr w:rsidR="001E028F">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221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40.84</w:t>
            </w:r>
            <w:r>
              <w:rPr>
                <w:rFonts w:asciiTheme="majorEastAsia" w:eastAsiaTheme="majorEastAsia" w:hAnsiTheme="majorEastAsia" w:cstheme="majorEastAsia"/>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40.84</w:t>
            </w:r>
            <w:r>
              <w:rPr>
                <w:rFonts w:asciiTheme="majorEastAsia" w:eastAsiaTheme="majorEastAsia" w:hAnsiTheme="majorEastAsia" w:cstheme="majorEastAsia"/>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rPr>
              <w:t xml:space="preserve"> </w:t>
            </w:r>
          </w:p>
        </w:tc>
      </w:tr>
      <w:tr w:rsidR="001E028F">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22102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40.84</w:t>
            </w:r>
            <w:r>
              <w:rPr>
                <w:rFonts w:asciiTheme="majorEastAsia" w:eastAsiaTheme="majorEastAsia" w:hAnsiTheme="majorEastAsia" w:cstheme="majorEastAsia"/>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40.84</w:t>
            </w:r>
            <w:r>
              <w:rPr>
                <w:rFonts w:asciiTheme="majorEastAsia" w:eastAsiaTheme="majorEastAsia" w:hAnsiTheme="majorEastAsia" w:cstheme="majorEastAsia"/>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rPr>
              <w:t xml:space="preserve"> </w:t>
            </w:r>
          </w:p>
        </w:tc>
      </w:tr>
      <w:tr w:rsidR="001E028F">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2210201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textAlignment w:val="cente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szCs w:val="20"/>
              </w:rPr>
              <w:t>40.84</w:t>
            </w:r>
            <w:r>
              <w:rPr>
                <w:rFonts w:asciiTheme="majorEastAsia" w:eastAsiaTheme="majorEastAsia" w:hAnsiTheme="majorEastAsia" w:cstheme="majorEastAsia"/>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szCs w:val="20"/>
              </w:rPr>
              <w:t>40.84</w:t>
            </w:r>
            <w:r>
              <w:rPr>
                <w:rFonts w:asciiTheme="majorEastAsia" w:eastAsiaTheme="majorEastAsia" w:hAnsiTheme="majorEastAsia" w:cstheme="majorEastAsia"/>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color w:val="000000"/>
                <w:sz w:val="20"/>
              </w:rPr>
              <w:t xml:space="preserve"> </w:t>
            </w:r>
          </w:p>
        </w:tc>
      </w:tr>
    </w:tbl>
    <w:p w:rsidR="001E028F" w:rsidRDefault="003059E7">
      <w:pPr>
        <w:rPr>
          <w:rFonts w:asciiTheme="majorEastAsia" w:eastAsiaTheme="majorEastAsia" w:hAnsiTheme="majorEastAsia" w:cstheme="majorEastAsia" w:hint="default"/>
          <w:sz w:val="21"/>
          <w:szCs w:val="21"/>
        </w:rPr>
      </w:pPr>
      <w:r>
        <w:rPr>
          <w:rFonts w:asciiTheme="majorEastAsia" w:eastAsiaTheme="majorEastAsia" w:hAnsiTheme="majorEastAsia" w:cstheme="majorEastAsia"/>
          <w:sz w:val="20"/>
          <w:szCs w:val="20"/>
        </w:rPr>
        <w:t>备注：1.本表反映单位本年度一般公共预算财政拨款支出情况。</w:t>
      </w:r>
      <w:r>
        <w:rPr>
          <w:rFonts w:asciiTheme="majorEastAsia" w:eastAsiaTheme="majorEastAsia" w:hAnsiTheme="majorEastAsia" w:cstheme="majorEastAsia"/>
          <w:sz w:val="20"/>
          <w:szCs w:val="20"/>
        </w:rPr>
        <w:br/>
        <w:t xml:space="preserve">      2.本套报表金额单位转换时可能存在尾数误差。</w:t>
      </w:r>
      <w:r>
        <w:rPr>
          <w:rFonts w:asciiTheme="majorEastAsia" w:eastAsiaTheme="majorEastAsia" w:hAnsiTheme="majorEastAsia" w:cstheme="majorEastAsia"/>
          <w:sz w:val="20"/>
          <w:szCs w:val="20"/>
        </w:rPr>
        <w:br/>
      </w:r>
      <w:r>
        <w:rPr>
          <w:rFonts w:asciiTheme="majorEastAsia" w:eastAsiaTheme="majorEastAsia" w:hAnsiTheme="majorEastAsia" w:cstheme="majorEastAsia"/>
          <w:sz w:val="20"/>
          <w:szCs w:val="20"/>
        </w:rPr>
        <w:br/>
      </w:r>
    </w:p>
    <w:p w:rsidR="001E028F" w:rsidRDefault="003059E7">
      <w:pPr>
        <w:ind w:firstLineChars="300" w:firstLine="630"/>
        <w:rPr>
          <w:rFonts w:asciiTheme="majorEastAsia" w:eastAsiaTheme="majorEastAsia" w:hAnsiTheme="majorEastAsia" w:cstheme="majorEastAsia" w:hint="default"/>
          <w:sz w:val="21"/>
          <w:szCs w:val="21"/>
        </w:rPr>
      </w:pPr>
      <w:r>
        <w:rPr>
          <w:rFonts w:asciiTheme="majorEastAsia" w:eastAsiaTheme="majorEastAsia" w:hAnsiTheme="majorEastAsia" w:cstheme="majorEastAsia"/>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1E028F">
        <w:trPr>
          <w:trHeight w:val="90"/>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rsidR="001E028F" w:rsidRDefault="003059E7">
            <w:pPr>
              <w:spacing w:line="440" w:lineRule="exact"/>
              <w:jc w:val="center"/>
              <w:textAlignment w:val="bottom"/>
              <w:rPr>
                <w:rFonts w:asciiTheme="majorEastAsia" w:eastAsiaTheme="majorEastAsia" w:hAnsiTheme="majorEastAsia" w:cstheme="majorEastAsia" w:hint="default"/>
                <w:b/>
                <w:color w:val="000000"/>
                <w:sz w:val="32"/>
                <w:szCs w:val="32"/>
              </w:rPr>
            </w:pPr>
            <w:r>
              <w:rPr>
                <w:rFonts w:asciiTheme="majorEastAsia" w:eastAsiaTheme="majorEastAsia" w:hAnsiTheme="majorEastAsia" w:cstheme="majorEastAsia"/>
                <w:b/>
                <w:color w:val="000000"/>
                <w:sz w:val="32"/>
                <w:szCs w:val="32"/>
              </w:rPr>
              <w:lastRenderedPageBreak/>
              <w:t>一般公共预算财政拨款基本支出决算表</w:t>
            </w:r>
          </w:p>
        </w:tc>
      </w:tr>
      <w:tr w:rsidR="001E028F">
        <w:trPr>
          <w:trHeight w:val="90"/>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rsidR="001E028F" w:rsidRDefault="003059E7">
            <w:pPr>
              <w:spacing w:line="200" w:lineRule="exact"/>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sz w:val="20"/>
                <w:szCs w:val="20"/>
              </w:rPr>
              <w:t>公开单位</w:t>
            </w:r>
            <w:r>
              <w:rPr>
                <w:rFonts w:asciiTheme="majorEastAsia" w:eastAsiaTheme="majorEastAsia" w:hAnsiTheme="majorEastAsia" w:cstheme="majorEastAsia"/>
                <w:color w:val="000000"/>
                <w:sz w:val="20"/>
                <w:szCs w:val="20"/>
              </w:rPr>
              <w:t xml:space="preserve">： </w:t>
            </w:r>
            <w:r>
              <w:rPr>
                <w:rFonts w:asciiTheme="majorEastAsia" w:eastAsiaTheme="majorEastAsia" w:hAnsiTheme="majorEastAsia" w:cstheme="majorEastAsia"/>
                <w:color w:val="000000"/>
                <w:sz w:val="20"/>
              </w:rPr>
              <w:t>重庆市丰都县南天湖镇三抚完全小学校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1E028F" w:rsidRDefault="003059E7">
            <w:pPr>
              <w:spacing w:line="280" w:lineRule="exact"/>
              <w:jc w:val="right"/>
              <w:textAlignment w:val="bottom"/>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公开06表</w:t>
            </w:r>
          </w:p>
        </w:tc>
      </w:tr>
      <w:tr w:rsidR="001E028F">
        <w:trPr>
          <w:trHeight w:val="90"/>
        </w:trPr>
        <w:tc>
          <w:tcPr>
            <w:tcW w:w="5557" w:type="dxa"/>
            <w:gridSpan w:val="4"/>
            <w:vMerge/>
            <w:tcBorders>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1E028F" w:rsidRDefault="003059E7">
            <w:pPr>
              <w:spacing w:line="280" w:lineRule="exact"/>
              <w:jc w:val="right"/>
              <w:textAlignment w:val="bottom"/>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单位：</w:t>
            </w:r>
            <w:r>
              <w:rPr>
                <w:rFonts w:asciiTheme="majorEastAsia" w:eastAsiaTheme="majorEastAsia" w:hAnsiTheme="majorEastAsia" w:cstheme="majorEastAsia"/>
                <w:sz w:val="20"/>
                <w:szCs w:val="20"/>
              </w:rPr>
              <w:t>万元</w:t>
            </w:r>
          </w:p>
        </w:tc>
      </w:tr>
      <w:tr w:rsidR="001E028F">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公用经费</w:t>
            </w:r>
          </w:p>
        </w:tc>
      </w:tr>
      <w:tr w:rsidR="001E028F">
        <w:trPr>
          <w:trHeight w:val="312"/>
        </w:trPr>
        <w:tc>
          <w:tcPr>
            <w:tcW w:w="6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35241">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经济分类科目（按“款”级经济</w:t>
            </w:r>
            <w:r w:rsidR="003059E7">
              <w:rPr>
                <w:rFonts w:asciiTheme="majorEastAsia" w:eastAsiaTheme="majorEastAsia" w:hAnsiTheme="majorEastAsia" w:cstheme="majorEastAsia"/>
                <w:b/>
                <w:color w:val="000000"/>
                <w:sz w:val="18"/>
                <w:szCs w:val="18"/>
              </w:rPr>
              <w:t>分类科目）</w:t>
            </w:r>
          </w:p>
        </w:tc>
        <w:tc>
          <w:tcPr>
            <w:tcW w:w="13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35241">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经济分类科目（按“款”级经济</w:t>
            </w:r>
            <w:r w:rsidR="003059E7">
              <w:rPr>
                <w:rFonts w:asciiTheme="majorEastAsia" w:eastAsiaTheme="majorEastAsia" w:hAnsiTheme="majorEastAsia" w:cstheme="majorEastAsia"/>
                <w:b/>
                <w:color w:val="000000"/>
                <w:sz w:val="18"/>
                <w:szCs w:val="18"/>
              </w:rPr>
              <w:t>分类科目）</w:t>
            </w:r>
          </w:p>
        </w:tc>
        <w:tc>
          <w:tcPr>
            <w:tcW w:w="165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35241">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经济分类科目（按“款”级经济</w:t>
            </w:r>
            <w:bookmarkStart w:id="0" w:name="_GoBack"/>
            <w:bookmarkEnd w:id="0"/>
            <w:r w:rsidR="003059E7">
              <w:rPr>
                <w:rFonts w:asciiTheme="majorEastAsia" w:eastAsiaTheme="majorEastAsia" w:hAnsiTheme="majorEastAsia" w:cstheme="majorEastAsia"/>
                <w:b/>
                <w:color w:val="000000"/>
                <w:sz w:val="18"/>
                <w:szCs w:val="18"/>
              </w:rPr>
              <w:t>分类科目）</w:t>
            </w:r>
          </w:p>
        </w:tc>
        <w:tc>
          <w:tcPr>
            <w:tcW w:w="18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金额</w:t>
            </w:r>
          </w:p>
        </w:tc>
      </w:tr>
      <w:tr w:rsidR="001E028F">
        <w:trPr>
          <w:trHeight w:val="312"/>
        </w:trPr>
        <w:tc>
          <w:tcPr>
            <w:tcW w:w="6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spacing w:line="200" w:lineRule="exact"/>
              <w:jc w:val="center"/>
              <w:rPr>
                <w:rFonts w:asciiTheme="majorEastAsia" w:eastAsiaTheme="majorEastAsia" w:hAnsiTheme="majorEastAsia" w:cstheme="majorEastAsia" w:hint="default"/>
                <w:b/>
                <w:color w:val="000000"/>
                <w:sz w:val="18"/>
                <w:szCs w:val="18"/>
              </w:rPr>
            </w:pPr>
          </w:p>
        </w:tc>
        <w:tc>
          <w:tcPr>
            <w:tcW w:w="27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spacing w:line="200" w:lineRule="exact"/>
              <w:jc w:val="center"/>
              <w:rPr>
                <w:rFonts w:asciiTheme="majorEastAsia" w:eastAsiaTheme="majorEastAsia" w:hAnsiTheme="majorEastAsia" w:cstheme="majorEastAsia" w:hint="default"/>
                <w:b/>
                <w:color w:val="000000"/>
                <w:sz w:val="18"/>
                <w:szCs w:val="18"/>
              </w:rPr>
            </w:pPr>
          </w:p>
        </w:tc>
        <w:tc>
          <w:tcPr>
            <w:tcW w:w="13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spacing w:line="200" w:lineRule="exact"/>
              <w:jc w:val="center"/>
              <w:rPr>
                <w:rFonts w:asciiTheme="majorEastAsia" w:eastAsiaTheme="majorEastAsia" w:hAnsiTheme="majorEastAsia" w:cstheme="majorEastAsia"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spacing w:line="200" w:lineRule="exact"/>
              <w:jc w:val="center"/>
              <w:rPr>
                <w:rFonts w:asciiTheme="majorEastAsia" w:eastAsiaTheme="majorEastAsia" w:hAnsiTheme="majorEastAsia" w:cstheme="majorEastAsia" w:hint="default"/>
                <w:b/>
                <w:color w:val="000000"/>
                <w:sz w:val="18"/>
                <w:szCs w:val="18"/>
              </w:rPr>
            </w:pPr>
          </w:p>
        </w:tc>
        <w:tc>
          <w:tcPr>
            <w:tcW w:w="19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spacing w:line="200" w:lineRule="exact"/>
              <w:jc w:val="center"/>
              <w:rPr>
                <w:rFonts w:asciiTheme="majorEastAsia" w:eastAsiaTheme="majorEastAsia" w:hAnsiTheme="majorEastAsia" w:cstheme="majorEastAsia" w:hint="default"/>
                <w:b/>
                <w:color w:val="000000"/>
                <w:sz w:val="18"/>
                <w:szCs w:val="18"/>
              </w:rPr>
            </w:pPr>
          </w:p>
        </w:tc>
        <w:tc>
          <w:tcPr>
            <w:tcW w:w="165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spacing w:line="200" w:lineRule="exact"/>
              <w:jc w:val="center"/>
              <w:rPr>
                <w:rFonts w:asciiTheme="majorEastAsia" w:eastAsiaTheme="majorEastAsia" w:hAnsiTheme="majorEastAsia" w:cstheme="majorEastAsia"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spacing w:line="200" w:lineRule="exact"/>
              <w:jc w:val="center"/>
              <w:rPr>
                <w:rFonts w:asciiTheme="majorEastAsia" w:eastAsiaTheme="majorEastAsia" w:hAnsiTheme="majorEastAsia" w:cstheme="majorEastAsia" w:hint="default"/>
                <w:b/>
                <w:color w:val="000000"/>
                <w:sz w:val="18"/>
                <w:szCs w:val="18"/>
              </w:rPr>
            </w:pPr>
          </w:p>
        </w:tc>
        <w:tc>
          <w:tcPr>
            <w:tcW w:w="35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spacing w:line="200" w:lineRule="exact"/>
              <w:jc w:val="center"/>
              <w:rPr>
                <w:rFonts w:asciiTheme="majorEastAsia" w:eastAsiaTheme="majorEastAsia" w:hAnsiTheme="majorEastAsia" w:cstheme="majorEastAsia" w:hint="default"/>
                <w:b/>
                <w:color w:val="000000"/>
                <w:sz w:val="18"/>
                <w:szCs w:val="18"/>
              </w:rPr>
            </w:pPr>
          </w:p>
        </w:tc>
        <w:tc>
          <w:tcPr>
            <w:tcW w:w="18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spacing w:line="200" w:lineRule="exact"/>
              <w:jc w:val="center"/>
              <w:rPr>
                <w:rFonts w:asciiTheme="majorEastAsia" w:eastAsiaTheme="majorEastAsia" w:hAnsiTheme="majorEastAsia" w:cstheme="majorEastAsia" w:hint="default"/>
                <w:b/>
                <w:color w:val="000000"/>
                <w:sz w:val="18"/>
                <w:szCs w:val="18"/>
              </w:rPr>
            </w:pP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901.12</w:t>
            </w: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48.53</w:t>
            </w: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189.24</w:t>
            </w: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12.15</w:t>
            </w: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41.66</w:t>
            </w: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464.95</w:t>
            </w: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2.13</w:t>
            </w: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54.46</w:t>
            </w: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2.24</w:t>
            </w: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48.43</w:t>
            </w: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2.87</w:t>
            </w: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27.23</w:t>
            </w: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8.03</w:t>
            </w: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2.60</w:t>
            </w: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40.84</w:t>
            </w: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6.56</w:t>
            </w: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2.83</w:t>
            </w: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19.72</w:t>
            </w: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21.45</w:t>
            </w: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2.11</w:t>
            </w: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19.85</w:t>
            </w: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5.86</w:t>
            </w: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1.60</w:t>
            </w: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12.78</w:t>
            </w: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2.95</w:t>
            </w: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r>
      <w:tr w:rsidR="001E028F">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 xml:space="preserve">  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spacing w:line="200" w:lineRule="exact"/>
              <w:jc w:val="right"/>
              <w:rPr>
                <w:rFonts w:asciiTheme="majorEastAsia" w:eastAsiaTheme="majorEastAsia" w:hAnsiTheme="majorEastAsia" w:cstheme="majorEastAsia" w:hint="default"/>
                <w:color w:val="000000"/>
                <w:sz w:val="18"/>
                <w:szCs w:val="18"/>
              </w:rPr>
            </w:pPr>
          </w:p>
        </w:tc>
      </w:tr>
      <w:tr w:rsidR="001E028F">
        <w:trPr>
          <w:trHeight w:val="90"/>
        </w:trPr>
        <w:tc>
          <w:tcPr>
            <w:tcW w:w="3345"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028F" w:rsidRDefault="003059E7">
            <w:pPr>
              <w:wordWrap w:val="0"/>
              <w:spacing w:line="200" w:lineRule="exact"/>
              <w:jc w:val="right"/>
              <w:textAlignment w:val="bottom"/>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922.57</w:t>
            </w:r>
            <w:r>
              <w:rPr>
                <w:rFonts w:asciiTheme="majorEastAsia" w:eastAsiaTheme="majorEastAsia" w:hAnsiTheme="majorEastAsia" w:cstheme="majorEastAsia"/>
                <w:color w:val="000000"/>
                <w:sz w:val="18"/>
              </w:rPr>
              <w:t xml:space="preserve"> </w:t>
            </w:r>
          </w:p>
        </w:tc>
        <w:tc>
          <w:tcPr>
            <w:tcW w:w="8750"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8"/>
                <w:szCs w:val="18"/>
              </w:rPr>
            </w:pPr>
            <w:r>
              <w:rPr>
                <w:rFonts w:asciiTheme="majorEastAsia" w:eastAsiaTheme="majorEastAsia" w:hAnsiTheme="majorEastAsia" w:cstheme="majorEastAsia"/>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spacing w:line="200" w:lineRule="exact"/>
              <w:jc w:val="right"/>
              <w:textAlignment w:val="center"/>
              <w:rPr>
                <w:rFonts w:asciiTheme="majorEastAsia" w:eastAsiaTheme="majorEastAsia" w:hAnsiTheme="majorEastAsia" w:cstheme="majorEastAsia" w:hint="default"/>
                <w:color w:val="000000"/>
                <w:sz w:val="18"/>
                <w:szCs w:val="18"/>
              </w:rPr>
            </w:pPr>
            <w:r>
              <w:rPr>
                <w:rFonts w:asciiTheme="majorEastAsia" w:eastAsiaTheme="majorEastAsia" w:hAnsiTheme="majorEastAsia" w:cstheme="majorEastAsia"/>
                <w:color w:val="000000"/>
                <w:sz w:val="18"/>
                <w:szCs w:val="18"/>
              </w:rPr>
              <w:t>48.53</w:t>
            </w:r>
            <w:r>
              <w:rPr>
                <w:rFonts w:asciiTheme="majorEastAsia" w:eastAsiaTheme="majorEastAsia" w:hAnsiTheme="majorEastAsia" w:cstheme="majorEastAsia"/>
                <w:color w:val="000000"/>
                <w:sz w:val="18"/>
              </w:rPr>
              <w:t xml:space="preserve"> </w:t>
            </w:r>
          </w:p>
        </w:tc>
      </w:tr>
    </w:tbl>
    <w:p w:rsidR="001E028F" w:rsidRDefault="003059E7">
      <w:pPr>
        <w:spacing w:line="280" w:lineRule="exact"/>
        <w:rPr>
          <w:rFonts w:asciiTheme="majorEastAsia" w:eastAsiaTheme="majorEastAsia" w:hAnsiTheme="majorEastAsia" w:cstheme="majorEastAsia" w:hint="default"/>
          <w:sz w:val="20"/>
          <w:szCs w:val="20"/>
        </w:rPr>
      </w:pPr>
      <w:r>
        <w:rPr>
          <w:rFonts w:asciiTheme="majorEastAsia" w:eastAsiaTheme="majorEastAsia" w:hAnsiTheme="majorEastAsia" w:cstheme="majorEastAsia"/>
          <w:sz w:val="20"/>
          <w:szCs w:val="20"/>
        </w:rPr>
        <w:t>备注：1.本表反映单位本年度一般公共预算财政拨款基本支出明细情况。</w:t>
      </w:r>
      <w:r>
        <w:rPr>
          <w:rFonts w:asciiTheme="majorEastAsia" w:eastAsiaTheme="majorEastAsia" w:hAnsiTheme="majorEastAsia" w:cstheme="majorEastAsia"/>
          <w:sz w:val="20"/>
          <w:szCs w:val="20"/>
        </w:rPr>
        <w:br/>
        <w:t xml:space="preserve">      2.本套报表金额单位转换时可能存在尾数误差。</w:t>
      </w:r>
      <w:r>
        <w:rPr>
          <w:rFonts w:asciiTheme="majorEastAsia" w:eastAsiaTheme="majorEastAsia" w:hAnsiTheme="majorEastAsia" w:cstheme="majorEastAsia"/>
          <w:sz w:val="20"/>
          <w:szCs w:val="20"/>
        </w:rPr>
        <w:br/>
      </w:r>
      <w:r>
        <w:rPr>
          <w:rFonts w:asciiTheme="majorEastAsia" w:eastAsiaTheme="majorEastAsia" w:hAnsiTheme="majorEastAsia" w:cstheme="majorEastAsia"/>
          <w:sz w:val="20"/>
          <w:szCs w:val="20"/>
        </w:rPr>
        <w:br/>
      </w:r>
      <w:r>
        <w:rPr>
          <w:rFonts w:asciiTheme="majorEastAsia" w:eastAsiaTheme="majorEastAsia" w:hAnsiTheme="majorEastAsia" w:cstheme="majorEastAsia"/>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1E028F">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1E028F" w:rsidRDefault="003059E7">
            <w:pPr>
              <w:jc w:val="center"/>
              <w:textAlignment w:val="bottom"/>
              <w:rPr>
                <w:rFonts w:asciiTheme="majorEastAsia" w:eastAsiaTheme="majorEastAsia" w:hAnsiTheme="majorEastAsia" w:cstheme="majorEastAsia" w:hint="default"/>
                <w:b/>
                <w:color w:val="000000"/>
                <w:sz w:val="32"/>
                <w:szCs w:val="32"/>
              </w:rPr>
            </w:pPr>
            <w:r>
              <w:rPr>
                <w:rFonts w:asciiTheme="majorEastAsia" w:eastAsiaTheme="majorEastAsia" w:hAnsiTheme="majorEastAsia" w:cstheme="majorEastAsia"/>
                <w:b/>
                <w:color w:val="000000"/>
                <w:sz w:val="32"/>
                <w:szCs w:val="32"/>
              </w:rPr>
              <w:lastRenderedPageBreak/>
              <w:t>政府性基金预算财政拨款收入支出决算表</w:t>
            </w:r>
          </w:p>
        </w:tc>
      </w:tr>
      <w:tr w:rsidR="001E028F">
        <w:trPr>
          <w:trHeight w:val="329"/>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rsidR="001E028F" w:rsidRDefault="003059E7">
            <w:pP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sz w:val="20"/>
                <w:szCs w:val="20"/>
              </w:rPr>
              <w:t>公开单位</w:t>
            </w:r>
            <w:r>
              <w:rPr>
                <w:rFonts w:asciiTheme="majorEastAsia" w:eastAsiaTheme="majorEastAsia" w:hAnsiTheme="majorEastAsia" w:cstheme="majorEastAsia"/>
                <w:color w:val="000000"/>
                <w:sz w:val="20"/>
                <w:szCs w:val="20"/>
              </w:rPr>
              <w:t xml:space="preserve">： </w:t>
            </w:r>
            <w:r>
              <w:rPr>
                <w:rFonts w:asciiTheme="majorEastAsia" w:eastAsiaTheme="majorEastAsia" w:hAnsiTheme="majorEastAsia" w:cstheme="majorEastAsia"/>
                <w:color w:val="000000"/>
                <w:sz w:val="20"/>
              </w:rPr>
              <w:t>重庆市丰都县南天湖镇三抚完全小学校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1E028F" w:rsidRDefault="003059E7">
            <w:pPr>
              <w:jc w:val="right"/>
              <w:textAlignment w:val="bottom"/>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公开07表</w:t>
            </w:r>
          </w:p>
        </w:tc>
      </w:tr>
      <w:tr w:rsidR="001E028F">
        <w:trPr>
          <w:trHeight w:val="329"/>
        </w:trPr>
        <w:tc>
          <w:tcPr>
            <w:tcW w:w="6649" w:type="dxa"/>
            <w:gridSpan w:val="3"/>
            <w:vMerge/>
            <w:tcBorders>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1E028F" w:rsidRDefault="003059E7">
            <w:pPr>
              <w:jc w:val="right"/>
              <w:textAlignment w:val="bottom"/>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单位：</w:t>
            </w:r>
            <w:r>
              <w:rPr>
                <w:rFonts w:asciiTheme="majorEastAsia" w:eastAsiaTheme="majorEastAsia" w:hAnsiTheme="majorEastAsia" w:cstheme="majorEastAsia"/>
                <w:sz w:val="20"/>
                <w:szCs w:val="20"/>
              </w:rPr>
              <w:t>万元</w:t>
            </w:r>
          </w:p>
        </w:tc>
      </w:tr>
      <w:tr w:rsidR="001E028F">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年末结转和结余</w:t>
            </w:r>
          </w:p>
        </w:tc>
      </w:tr>
      <w:tr w:rsidR="001E028F">
        <w:trPr>
          <w:trHeight w:val="335"/>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项目（按“项”</w:t>
            </w:r>
            <w:proofErr w:type="gramStart"/>
            <w:r>
              <w:rPr>
                <w:rFonts w:asciiTheme="majorEastAsia" w:eastAsiaTheme="majorEastAsia" w:hAnsiTheme="majorEastAsia" w:cstheme="majorEastAsia"/>
                <w:b/>
                <w:color w:val="000000"/>
                <w:sz w:val="20"/>
                <w:szCs w:val="20"/>
              </w:rPr>
              <w:t>级功能</w:t>
            </w:r>
            <w:proofErr w:type="gramEnd"/>
            <w:r>
              <w:rPr>
                <w:rFonts w:asciiTheme="majorEastAsia" w:eastAsiaTheme="majorEastAsia" w:hAnsiTheme="majorEastAsia" w:cstheme="majorEastAsia"/>
                <w:b/>
                <w:color w:val="000000"/>
                <w:sz w:val="20"/>
                <w:szCs w:val="20"/>
              </w:rPr>
              <w:t>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r>
      <w:tr w:rsidR="001E028F">
        <w:trPr>
          <w:trHeight w:val="33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r>
      <w:tr w:rsidR="001E028F">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r>
      <w:tr w:rsidR="001E028F">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合计</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rPr>
              <w:t xml:space="preserve"> </w:t>
            </w:r>
          </w:p>
        </w:tc>
      </w:tr>
    </w:tbl>
    <w:p w:rsidR="001E028F" w:rsidRDefault="003059E7">
      <w:pPr>
        <w:rPr>
          <w:rFonts w:asciiTheme="majorEastAsia" w:eastAsiaTheme="majorEastAsia" w:hAnsiTheme="majorEastAsia" w:cstheme="majorEastAsia" w:hint="default"/>
          <w:sz w:val="21"/>
          <w:szCs w:val="21"/>
        </w:rPr>
      </w:pPr>
      <w:r>
        <w:rPr>
          <w:rFonts w:asciiTheme="majorEastAsia" w:eastAsiaTheme="majorEastAsia" w:hAnsiTheme="majorEastAsia" w:cstheme="majorEastAsia"/>
          <w:sz w:val="20"/>
          <w:szCs w:val="20"/>
        </w:rPr>
        <w:t>备注：本单位无政府性基金收支，故本表无数据。</w:t>
      </w:r>
      <w:r>
        <w:rPr>
          <w:rFonts w:asciiTheme="majorEastAsia" w:eastAsiaTheme="majorEastAsia" w:hAnsiTheme="majorEastAsia" w:cstheme="majorEastAsia"/>
          <w:sz w:val="20"/>
          <w:szCs w:val="20"/>
        </w:rPr>
        <w:br/>
      </w:r>
      <w:r>
        <w:rPr>
          <w:rFonts w:asciiTheme="majorEastAsia" w:eastAsiaTheme="majorEastAsia" w:hAnsiTheme="majorEastAsia" w:cstheme="majorEastAsia"/>
          <w:sz w:val="20"/>
          <w:szCs w:val="20"/>
        </w:rPr>
        <w:br/>
      </w:r>
    </w:p>
    <w:p w:rsidR="001E028F" w:rsidRDefault="003059E7">
      <w:pPr>
        <w:rPr>
          <w:rFonts w:asciiTheme="majorEastAsia" w:eastAsiaTheme="majorEastAsia" w:hAnsiTheme="majorEastAsia" w:cstheme="majorEastAsia" w:hint="default"/>
          <w:sz w:val="21"/>
          <w:szCs w:val="21"/>
        </w:rPr>
      </w:pPr>
      <w:r>
        <w:rPr>
          <w:rFonts w:asciiTheme="majorEastAsia" w:eastAsiaTheme="majorEastAsia" w:hAnsiTheme="majorEastAsia" w:cstheme="majorEastAsia"/>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1E028F">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rsidR="001E028F" w:rsidRDefault="003059E7">
            <w:pPr>
              <w:jc w:val="center"/>
              <w:textAlignment w:val="bottom"/>
              <w:rPr>
                <w:rFonts w:asciiTheme="majorEastAsia" w:eastAsiaTheme="majorEastAsia" w:hAnsiTheme="majorEastAsia" w:cstheme="majorEastAsia" w:hint="default"/>
                <w:b/>
                <w:color w:val="000000"/>
                <w:sz w:val="32"/>
                <w:szCs w:val="32"/>
              </w:rPr>
            </w:pPr>
            <w:r>
              <w:rPr>
                <w:rFonts w:asciiTheme="majorEastAsia" w:eastAsiaTheme="majorEastAsia" w:hAnsiTheme="majorEastAsia" w:cstheme="majorEastAsia"/>
                <w:b/>
                <w:color w:val="000000"/>
                <w:sz w:val="32"/>
                <w:szCs w:val="32"/>
              </w:rPr>
              <w:lastRenderedPageBreak/>
              <w:t>国有资本经营预算财政拨款支出决算表</w:t>
            </w:r>
          </w:p>
        </w:tc>
      </w:tr>
      <w:tr w:rsidR="001E028F">
        <w:trPr>
          <w:trHeight w:val="332"/>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rsidR="001E028F" w:rsidRDefault="003059E7">
            <w:pPr>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sz w:val="20"/>
                <w:szCs w:val="20"/>
              </w:rPr>
              <w:t>公开单位</w:t>
            </w:r>
            <w:r>
              <w:rPr>
                <w:rFonts w:asciiTheme="majorEastAsia" w:eastAsiaTheme="majorEastAsia" w:hAnsiTheme="majorEastAsia" w:cstheme="majorEastAsia"/>
                <w:color w:val="000000"/>
                <w:sz w:val="20"/>
                <w:szCs w:val="20"/>
              </w:rPr>
              <w:t xml:space="preserve">： </w:t>
            </w:r>
            <w:r>
              <w:rPr>
                <w:rFonts w:asciiTheme="majorEastAsia" w:eastAsiaTheme="majorEastAsia" w:hAnsiTheme="majorEastAsia" w:cstheme="majorEastAsia"/>
                <w:color w:val="000000"/>
                <w:sz w:val="20"/>
              </w:rPr>
              <w:t>重庆市丰都县南天湖镇三抚完全小学校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1E028F" w:rsidRDefault="003059E7">
            <w:pPr>
              <w:jc w:val="right"/>
              <w:textAlignment w:val="bottom"/>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公开08表</w:t>
            </w:r>
          </w:p>
        </w:tc>
      </w:tr>
      <w:tr w:rsidR="001E028F">
        <w:trPr>
          <w:trHeight w:val="332"/>
        </w:trPr>
        <w:tc>
          <w:tcPr>
            <w:tcW w:w="8218" w:type="dxa"/>
            <w:gridSpan w:val="3"/>
            <w:vMerge/>
            <w:tcBorders>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1E028F" w:rsidRDefault="001E028F">
            <w:pPr>
              <w:rPr>
                <w:rFonts w:asciiTheme="majorEastAsia" w:eastAsiaTheme="majorEastAsia" w:hAnsiTheme="majorEastAsia" w:cstheme="majorEastAsia"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1E028F" w:rsidRDefault="003059E7">
            <w:pPr>
              <w:jc w:val="right"/>
              <w:textAlignment w:val="bottom"/>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单位：</w:t>
            </w:r>
            <w:r>
              <w:rPr>
                <w:rFonts w:asciiTheme="majorEastAsia" w:eastAsiaTheme="majorEastAsia" w:hAnsiTheme="majorEastAsia" w:cstheme="majorEastAsia"/>
                <w:sz w:val="20"/>
                <w:szCs w:val="20"/>
              </w:rPr>
              <w:t>万元</w:t>
            </w:r>
          </w:p>
        </w:tc>
      </w:tr>
      <w:tr w:rsidR="001E028F">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E028F" w:rsidRDefault="003059E7">
            <w:pPr>
              <w:jc w:val="center"/>
              <w:textAlignment w:val="bottom"/>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E028F" w:rsidRDefault="003059E7">
            <w:pPr>
              <w:jc w:val="center"/>
              <w:textAlignment w:val="bottom"/>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本年支出</w:t>
            </w:r>
          </w:p>
        </w:tc>
      </w:tr>
      <w:tr w:rsidR="001E028F">
        <w:trPr>
          <w:trHeight w:val="339"/>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项目支出</w:t>
            </w:r>
          </w:p>
        </w:tc>
      </w:tr>
      <w:tr w:rsidR="001E028F">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r>
      <w:tr w:rsidR="001E028F">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r>
      <w:tr w:rsidR="001E028F">
        <w:trPr>
          <w:trHeight w:val="326"/>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E028F" w:rsidRDefault="001E028F">
            <w:pPr>
              <w:jc w:val="center"/>
              <w:rPr>
                <w:rFonts w:asciiTheme="majorEastAsia" w:eastAsiaTheme="majorEastAsia" w:hAnsiTheme="majorEastAsia" w:cstheme="majorEastAsia" w:hint="default"/>
                <w:b/>
                <w:color w:val="000000"/>
                <w:sz w:val="20"/>
                <w:szCs w:val="20"/>
              </w:rPr>
            </w:pPr>
          </w:p>
        </w:tc>
      </w:tr>
      <w:tr w:rsidR="001E028F">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E028F" w:rsidRDefault="003059E7">
            <w:pPr>
              <w:jc w:val="center"/>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rPr>
              <w:t xml:space="preserve">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1E028F">
            <w:pPr>
              <w:jc w:val="right"/>
              <w:rPr>
                <w:rFonts w:asciiTheme="majorEastAsia" w:eastAsiaTheme="majorEastAsia" w:hAnsiTheme="majorEastAsia" w:cstheme="majorEastAsia" w:hint="default"/>
                <w:b/>
                <w:color w:val="000000"/>
                <w:sz w:val="20"/>
                <w:szCs w:val="20"/>
              </w:rPr>
            </w:pPr>
          </w:p>
        </w:tc>
        <w:tc>
          <w:tcPr>
            <w:tcW w:w="34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028F" w:rsidRDefault="003059E7">
            <w:pPr>
              <w:wordWrap w:val="0"/>
              <w:jc w:val="right"/>
              <w:textAlignment w:val="center"/>
              <w:rPr>
                <w:rFonts w:asciiTheme="majorEastAsia" w:eastAsiaTheme="majorEastAsia" w:hAnsiTheme="majorEastAsia" w:cstheme="majorEastAsia" w:hint="default"/>
                <w:b/>
                <w:color w:val="000000"/>
                <w:sz w:val="20"/>
                <w:szCs w:val="20"/>
              </w:rPr>
            </w:pPr>
            <w:r>
              <w:rPr>
                <w:rFonts w:asciiTheme="majorEastAsia" w:eastAsiaTheme="majorEastAsia" w:hAnsiTheme="majorEastAsia" w:cstheme="majorEastAsia"/>
                <w:b/>
                <w:color w:val="000000"/>
                <w:sz w:val="20"/>
              </w:rPr>
              <w:t xml:space="preserve"> </w:t>
            </w:r>
          </w:p>
        </w:tc>
      </w:tr>
    </w:tbl>
    <w:p w:rsidR="001E028F" w:rsidRDefault="003059E7">
      <w:pPr>
        <w:rPr>
          <w:rFonts w:asciiTheme="majorEastAsia" w:eastAsiaTheme="majorEastAsia" w:hAnsiTheme="majorEastAsia" w:cstheme="majorEastAsia" w:hint="default"/>
          <w:sz w:val="21"/>
          <w:szCs w:val="21"/>
        </w:rPr>
      </w:pPr>
      <w:r>
        <w:rPr>
          <w:rFonts w:asciiTheme="majorEastAsia" w:eastAsiaTheme="majorEastAsia" w:hAnsiTheme="majorEastAsia" w:cstheme="majorEastAsia"/>
          <w:sz w:val="20"/>
          <w:szCs w:val="20"/>
        </w:rPr>
        <w:t>备注：本单位无国有资本经营收支，故本表无数据。</w:t>
      </w:r>
      <w:r>
        <w:rPr>
          <w:rFonts w:asciiTheme="majorEastAsia" w:eastAsiaTheme="majorEastAsia" w:hAnsiTheme="majorEastAsia" w:cstheme="majorEastAsia"/>
          <w:sz w:val="20"/>
          <w:szCs w:val="20"/>
        </w:rPr>
        <w:br/>
      </w:r>
      <w:r>
        <w:rPr>
          <w:rFonts w:asciiTheme="majorEastAsia" w:eastAsiaTheme="majorEastAsia" w:hAnsiTheme="majorEastAsia" w:cstheme="majorEastAsia"/>
          <w:sz w:val="20"/>
          <w:szCs w:val="20"/>
        </w:rPr>
        <w:br/>
      </w:r>
      <w:r>
        <w:rPr>
          <w:rFonts w:asciiTheme="majorEastAsia" w:eastAsiaTheme="majorEastAsia" w:hAnsiTheme="majorEastAsia" w:cstheme="majorEastAsia"/>
          <w:sz w:val="21"/>
          <w:szCs w:val="21"/>
        </w:rPr>
        <w:br w:type="page"/>
      </w:r>
    </w:p>
    <w:tbl>
      <w:tblPr>
        <w:tblW w:w="15000" w:type="dxa"/>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1E028F">
        <w:trPr>
          <w:trHeight w:val="343"/>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rsidR="001E028F" w:rsidRDefault="003059E7">
            <w:pPr>
              <w:spacing w:line="400" w:lineRule="exact"/>
              <w:jc w:val="center"/>
              <w:textAlignment w:val="bottom"/>
              <w:rPr>
                <w:rFonts w:asciiTheme="majorEastAsia" w:eastAsiaTheme="majorEastAsia" w:hAnsiTheme="majorEastAsia" w:cstheme="majorEastAsia" w:hint="default"/>
                <w:b/>
                <w:color w:val="000000"/>
                <w:sz w:val="32"/>
                <w:szCs w:val="32"/>
              </w:rPr>
            </w:pPr>
            <w:r>
              <w:rPr>
                <w:rFonts w:asciiTheme="majorEastAsia" w:eastAsiaTheme="majorEastAsia" w:hAnsiTheme="majorEastAsia" w:cstheme="majorEastAsia"/>
                <w:b/>
                <w:color w:val="000000"/>
                <w:sz w:val="32"/>
                <w:szCs w:val="32"/>
              </w:rPr>
              <w:lastRenderedPageBreak/>
              <w:t>机构运行信息表</w:t>
            </w:r>
          </w:p>
        </w:tc>
      </w:tr>
      <w:tr w:rsidR="001E028F">
        <w:trPr>
          <w:trHeight w:val="244"/>
        </w:trPr>
        <w:tc>
          <w:tcPr>
            <w:tcW w:w="4041"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80" w:lineRule="exact"/>
              <w:rPr>
                <w:rFonts w:asciiTheme="majorEastAsia" w:eastAsiaTheme="majorEastAsia" w:hAnsiTheme="majorEastAsia" w:cstheme="majorEastAsia" w:hint="default"/>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80" w:lineRule="exact"/>
              <w:jc w:val="center"/>
              <w:rPr>
                <w:rFonts w:asciiTheme="majorEastAsia" w:eastAsiaTheme="majorEastAsia" w:hAnsiTheme="majorEastAsia" w:cstheme="majorEastAsia" w:hint="default"/>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80" w:lineRule="exact"/>
              <w:jc w:val="right"/>
              <w:rPr>
                <w:rFonts w:asciiTheme="majorEastAsia" w:eastAsiaTheme="majorEastAsia" w:hAnsiTheme="majorEastAsia" w:cstheme="majorEastAsia" w:hint="default"/>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rsidR="001E028F" w:rsidRDefault="001E028F">
            <w:pPr>
              <w:spacing w:line="280" w:lineRule="exact"/>
              <w:rPr>
                <w:rFonts w:asciiTheme="majorEastAsia" w:eastAsiaTheme="majorEastAsia" w:hAnsiTheme="majorEastAsia" w:cstheme="majorEastAsia" w:hint="default"/>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rsidR="001E028F" w:rsidRDefault="003059E7">
            <w:pPr>
              <w:spacing w:line="280" w:lineRule="exact"/>
              <w:jc w:val="right"/>
              <w:textAlignment w:val="bottom"/>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公开09表</w:t>
            </w:r>
          </w:p>
        </w:tc>
      </w:tr>
      <w:tr w:rsidR="001E028F">
        <w:trPr>
          <w:trHeight w:val="244"/>
        </w:trPr>
        <w:tc>
          <w:tcPr>
            <w:tcW w:w="6207"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1E028F" w:rsidRDefault="003059E7">
            <w:pPr>
              <w:spacing w:line="280" w:lineRule="exact"/>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sz w:val="20"/>
                <w:szCs w:val="20"/>
              </w:rPr>
              <w:t>公开单位</w:t>
            </w:r>
            <w:r>
              <w:rPr>
                <w:rFonts w:asciiTheme="majorEastAsia" w:eastAsiaTheme="majorEastAsia" w:hAnsiTheme="majorEastAsia" w:cstheme="majorEastAsia"/>
                <w:color w:val="000000"/>
                <w:sz w:val="20"/>
                <w:szCs w:val="20"/>
              </w:rPr>
              <w:t xml:space="preserve">： </w:t>
            </w:r>
            <w:r>
              <w:rPr>
                <w:rFonts w:asciiTheme="majorEastAsia" w:eastAsiaTheme="majorEastAsia" w:hAnsiTheme="majorEastAsia" w:cstheme="majorEastAsia"/>
                <w:color w:val="000000"/>
                <w:sz w:val="20"/>
              </w:rPr>
              <w:t>重庆市丰都县南天湖镇三抚完全小学校</w:t>
            </w:r>
          </w:p>
        </w:tc>
        <w:tc>
          <w:tcPr>
            <w:tcW w:w="2115" w:type="dxa"/>
            <w:tcBorders>
              <w:top w:val="nil"/>
              <w:left w:val="nil"/>
              <w:bottom w:val="single" w:sz="4" w:space="0" w:color="auto"/>
              <w:right w:val="nil"/>
            </w:tcBorders>
            <w:shd w:val="clear" w:color="auto" w:fill="auto"/>
            <w:noWrap/>
            <w:tcMar>
              <w:top w:w="15" w:type="dxa"/>
              <w:left w:w="15" w:type="dxa"/>
              <w:right w:w="15" w:type="dxa"/>
            </w:tcMar>
            <w:vAlign w:val="bottom"/>
          </w:tcPr>
          <w:p w:rsidR="001E028F" w:rsidRDefault="001E028F">
            <w:pPr>
              <w:spacing w:line="280" w:lineRule="exact"/>
              <w:jc w:val="right"/>
              <w:rPr>
                <w:rFonts w:asciiTheme="majorEastAsia" w:eastAsiaTheme="majorEastAsia" w:hAnsiTheme="majorEastAsia" w:cstheme="majorEastAsia" w:hint="default"/>
                <w:color w:val="000000"/>
                <w:sz w:val="20"/>
                <w:szCs w:val="20"/>
              </w:rPr>
            </w:pPr>
          </w:p>
        </w:tc>
        <w:tc>
          <w:tcPr>
            <w:tcW w:w="4524" w:type="dxa"/>
            <w:tcBorders>
              <w:top w:val="nil"/>
              <w:left w:val="nil"/>
              <w:bottom w:val="single" w:sz="4" w:space="0" w:color="auto"/>
              <w:right w:val="nil"/>
            </w:tcBorders>
            <w:shd w:val="clear" w:color="auto" w:fill="auto"/>
            <w:noWrap/>
            <w:tcMar>
              <w:top w:w="15" w:type="dxa"/>
              <w:left w:w="15" w:type="dxa"/>
              <w:right w:w="15" w:type="dxa"/>
            </w:tcMar>
            <w:vAlign w:val="bottom"/>
          </w:tcPr>
          <w:p w:rsidR="001E028F" w:rsidRDefault="001E028F">
            <w:pPr>
              <w:spacing w:line="280" w:lineRule="exact"/>
              <w:rPr>
                <w:rFonts w:asciiTheme="majorEastAsia" w:eastAsiaTheme="majorEastAsia" w:hAnsiTheme="majorEastAsia" w:cstheme="majorEastAsia" w:hint="default"/>
                <w:color w:val="000000"/>
                <w:sz w:val="20"/>
                <w:szCs w:val="20"/>
              </w:rPr>
            </w:pPr>
          </w:p>
        </w:tc>
        <w:tc>
          <w:tcPr>
            <w:tcW w:w="2154" w:type="dxa"/>
            <w:tcBorders>
              <w:top w:val="nil"/>
              <w:left w:val="nil"/>
              <w:bottom w:val="single" w:sz="4" w:space="0" w:color="auto"/>
              <w:right w:val="nil"/>
            </w:tcBorders>
            <w:shd w:val="clear" w:color="auto" w:fill="auto"/>
            <w:noWrap/>
            <w:tcMar>
              <w:top w:w="15" w:type="dxa"/>
              <w:left w:w="15" w:type="dxa"/>
              <w:right w:w="15" w:type="dxa"/>
            </w:tcMar>
            <w:vAlign w:val="bottom"/>
          </w:tcPr>
          <w:p w:rsidR="001E028F" w:rsidRDefault="003059E7">
            <w:pPr>
              <w:spacing w:line="280" w:lineRule="exact"/>
              <w:jc w:val="right"/>
              <w:textAlignment w:val="bottom"/>
              <w:rPr>
                <w:rFonts w:asciiTheme="majorEastAsia" w:eastAsiaTheme="majorEastAsia" w:hAnsiTheme="majorEastAsia" w:cstheme="majorEastAsia" w:hint="default"/>
                <w:color w:val="000000"/>
                <w:sz w:val="20"/>
                <w:szCs w:val="20"/>
              </w:rPr>
            </w:pPr>
            <w:r>
              <w:rPr>
                <w:rFonts w:asciiTheme="majorEastAsia" w:eastAsiaTheme="majorEastAsia" w:hAnsiTheme="majorEastAsia" w:cstheme="majorEastAsia"/>
                <w:color w:val="000000"/>
                <w:sz w:val="20"/>
                <w:szCs w:val="20"/>
              </w:rPr>
              <w:t>单位：</w:t>
            </w:r>
            <w:r>
              <w:rPr>
                <w:rFonts w:asciiTheme="majorEastAsia" w:eastAsiaTheme="majorEastAsia" w:hAnsiTheme="majorEastAsia" w:cstheme="majorEastAsia"/>
                <w:sz w:val="20"/>
                <w:szCs w:val="20"/>
              </w:rPr>
              <w:t>万元</w:t>
            </w:r>
          </w:p>
        </w:tc>
      </w:tr>
      <w:tr w:rsidR="001E028F">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6"/>
                <w:szCs w:val="16"/>
              </w:rPr>
            </w:pPr>
            <w:r>
              <w:rPr>
                <w:rFonts w:asciiTheme="majorEastAsia" w:eastAsiaTheme="majorEastAsia" w:hAnsiTheme="majorEastAsia" w:cstheme="majorEastAsia"/>
                <w:b/>
                <w:color w:val="000000"/>
                <w:sz w:val="16"/>
                <w:szCs w:val="16"/>
              </w:rPr>
              <w:t>项  目</w:t>
            </w:r>
          </w:p>
        </w:tc>
        <w:tc>
          <w:tcPr>
            <w:tcW w:w="2166"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6"/>
                <w:szCs w:val="16"/>
              </w:rPr>
            </w:pPr>
            <w:r>
              <w:rPr>
                <w:rFonts w:asciiTheme="majorEastAsia" w:eastAsiaTheme="majorEastAsia" w:hAnsiTheme="majorEastAsia" w:cstheme="majorEastAsia"/>
                <w:b/>
                <w:color w:val="000000"/>
                <w:sz w:val="16"/>
                <w:szCs w:val="16"/>
              </w:rPr>
              <w:t>预算数</w:t>
            </w:r>
          </w:p>
        </w:tc>
        <w:tc>
          <w:tcPr>
            <w:tcW w:w="211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6"/>
                <w:szCs w:val="16"/>
              </w:rPr>
            </w:pPr>
            <w:r>
              <w:rPr>
                <w:rFonts w:asciiTheme="majorEastAsia" w:eastAsiaTheme="majorEastAsia" w:hAnsiTheme="majorEastAsia" w:cstheme="majorEastAsia"/>
                <w:b/>
                <w:color w:val="000000"/>
                <w:sz w:val="16"/>
                <w:szCs w:val="16"/>
              </w:rPr>
              <w:t>决算数</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6"/>
                <w:szCs w:val="16"/>
              </w:rPr>
            </w:pPr>
            <w:r>
              <w:rPr>
                <w:rFonts w:asciiTheme="majorEastAsia" w:eastAsiaTheme="majorEastAsia" w:hAnsiTheme="majorEastAsia" w:cstheme="majorEastAsia"/>
                <w:b/>
                <w:color w:val="000000"/>
                <w:sz w:val="16"/>
                <w:szCs w:val="16"/>
              </w:rPr>
              <w:t>项  目</w:t>
            </w:r>
          </w:p>
        </w:tc>
        <w:tc>
          <w:tcPr>
            <w:tcW w:w="215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b/>
                <w:color w:val="000000"/>
                <w:sz w:val="16"/>
                <w:szCs w:val="16"/>
              </w:rPr>
            </w:pPr>
            <w:r>
              <w:rPr>
                <w:rFonts w:asciiTheme="majorEastAsia" w:eastAsiaTheme="majorEastAsia" w:hAnsiTheme="majorEastAsia" w:cstheme="majorEastAsia"/>
                <w:b/>
                <w:color w:val="000000"/>
                <w:sz w:val="16"/>
                <w:szCs w:val="16"/>
              </w:rPr>
              <w:t>决算数</w:t>
            </w:r>
          </w:p>
        </w:tc>
      </w:tr>
      <w:tr w:rsidR="001E028F">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一、“三公”经费支出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四、机关运行经费</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（一）支出合计</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（一）行政单位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1．因公出国（境）费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（二）参照公务员法管理事业单位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2．公务用车购置及运行维护费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五、资产信息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（1）公务用车购置费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（一）车辆数合计（辆）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（2）公务用车运行维护费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1．副部（省）级及以上领导用车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3．公务接待费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2．主要领导干部用车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（1）国内接待费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3．机要通信用车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4．应急保障用车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（2）国（境）外接待费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5．执法执勤用车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6．特种专业技术用车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1．因公出国（境）团组数（</w:t>
            </w:r>
            <w:proofErr w:type="gramStart"/>
            <w:r>
              <w:rPr>
                <w:rFonts w:asciiTheme="majorEastAsia" w:eastAsiaTheme="majorEastAsia" w:hAnsiTheme="majorEastAsia" w:cstheme="majorEastAsia"/>
                <w:color w:val="000000"/>
                <w:sz w:val="16"/>
                <w:szCs w:val="16"/>
              </w:rPr>
              <w:t>个</w:t>
            </w:r>
            <w:proofErr w:type="gramEnd"/>
            <w:r>
              <w:rPr>
                <w:rFonts w:asciiTheme="majorEastAsia" w:eastAsiaTheme="majorEastAsia" w:hAnsiTheme="majorEastAsia" w:cstheme="majorEastAsia"/>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7．离退休干部用车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2．因公出国（境）人次数（人）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8．其他用车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3．公务用车购置数（辆）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（二）单价100万元（含）以上设备（不含车辆）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4．公务用车保有量（辆）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六、政府采购支出信息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5．国内公务接待批次（</w:t>
            </w:r>
            <w:proofErr w:type="gramStart"/>
            <w:r>
              <w:rPr>
                <w:rFonts w:asciiTheme="majorEastAsia" w:eastAsiaTheme="majorEastAsia" w:hAnsiTheme="majorEastAsia" w:cstheme="majorEastAsia"/>
                <w:color w:val="000000"/>
                <w:sz w:val="16"/>
                <w:szCs w:val="16"/>
              </w:rPr>
              <w:t>个</w:t>
            </w:r>
            <w:proofErr w:type="gramEnd"/>
            <w:r>
              <w:rPr>
                <w:rFonts w:asciiTheme="majorEastAsia" w:eastAsiaTheme="majorEastAsia" w:hAnsiTheme="majorEastAsia" w:cstheme="majorEastAsia"/>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（一）政府采购支出合计</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其中：外事接待批次（</w:t>
            </w:r>
            <w:proofErr w:type="gramStart"/>
            <w:r>
              <w:rPr>
                <w:rFonts w:asciiTheme="majorEastAsia" w:eastAsiaTheme="majorEastAsia" w:hAnsiTheme="majorEastAsia" w:cstheme="majorEastAsia"/>
                <w:color w:val="000000"/>
                <w:sz w:val="16"/>
                <w:szCs w:val="16"/>
              </w:rPr>
              <w:t>个</w:t>
            </w:r>
            <w:proofErr w:type="gramEnd"/>
            <w:r>
              <w:rPr>
                <w:rFonts w:asciiTheme="majorEastAsia" w:eastAsiaTheme="majorEastAsia" w:hAnsiTheme="majorEastAsia" w:cstheme="majorEastAsia"/>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1．政府采购货物支出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6．国内公务接待人次（人）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2．政府采购工程支出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3．政府采购服务支出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7．国（境）外公务接待批次（</w:t>
            </w:r>
            <w:proofErr w:type="gramStart"/>
            <w:r>
              <w:rPr>
                <w:rFonts w:asciiTheme="majorEastAsia" w:eastAsiaTheme="majorEastAsia" w:hAnsiTheme="majorEastAsia" w:cstheme="majorEastAsia"/>
                <w:color w:val="000000"/>
                <w:sz w:val="16"/>
                <w:szCs w:val="16"/>
              </w:rPr>
              <w:t>个</w:t>
            </w:r>
            <w:proofErr w:type="gramEnd"/>
            <w:r>
              <w:rPr>
                <w:rFonts w:asciiTheme="majorEastAsia" w:eastAsiaTheme="majorEastAsia" w:hAnsiTheme="majorEastAsia" w:cstheme="majorEastAsia"/>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（二）政府采购授予中小企业合同金额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r>
      <w:tr w:rsidR="001E028F">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8．国（境）外公务接待人次（人）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 xml:space="preserve">        其中：授予小</w:t>
            </w:r>
            <w:proofErr w:type="gramStart"/>
            <w:r>
              <w:rPr>
                <w:rFonts w:asciiTheme="majorEastAsia" w:eastAsiaTheme="majorEastAsia" w:hAnsiTheme="majorEastAsia" w:cstheme="majorEastAsia"/>
                <w:color w:val="000000"/>
                <w:sz w:val="16"/>
                <w:szCs w:val="16"/>
              </w:rPr>
              <w:t>微企业</w:t>
            </w:r>
            <w:proofErr w:type="gramEnd"/>
            <w:r>
              <w:rPr>
                <w:rFonts w:asciiTheme="majorEastAsia" w:eastAsiaTheme="majorEastAsia" w:hAnsiTheme="majorEastAsia" w:cstheme="majorEastAsia"/>
                <w:color w:val="000000"/>
                <w:sz w:val="16"/>
                <w:szCs w:val="16"/>
              </w:rPr>
              <w:t>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r>
      <w:tr w:rsidR="001E028F">
        <w:trPr>
          <w:trHeight w:val="286"/>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1E028F">
            <w:pPr>
              <w:spacing w:line="200" w:lineRule="exact"/>
              <w:jc w:val="right"/>
              <w:rPr>
                <w:rFonts w:asciiTheme="majorEastAsia" w:eastAsiaTheme="majorEastAsia" w:hAnsiTheme="majorEastAsia" w:cstheme="majorEastAsia" w:hint="default"/>
                <w:color w:val="000000"/>
                <w:sz w:val="16"/>
                <w:szCs w:val="16"/>
              </w:rPr>
            </w:pPr>
          </w:p>
        </w:tc>
      </w:tr>
      <w:tr w:rsidR="001E028F">
        <w:trPr>
          <w:trHeight w:val="389"/>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3059E7">
            <w:pPr>
              <w:spacing w:line="200" w:lineRule="exact"/>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三、培训费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028F" w:rsidRDefault="003059E7">
            <w:pPr>
              <w:spacing w:line="200" w:lineRule="exact"/>
              <w:jc w:val="center"/>
              <w:textAlignment w:val="center"/>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3059E7">
            <w:pPr>
              <w:spacing w:line="200" w:lineRule="exact"/>
              <w:jc w:val="right"/>
              <w:textAlignment w:val="bottom"/>
              <w:rPr>
                <w:rFonts w:asciiTheme="majorEastAsia" w:eastAsiaTheme="majorEastAsia" w:hAnsiTheme="majorEastAsia" w:cstheme="majorEastAsia" w:hint="default"/>
                <w:color w:val="000000"/>
                <w:sz w:val="16"/>
                <w:szCs w:val="16"/>
              </w:rPr>
            </w:pPr>
            <w:r>
              <w:rPr>
                <w:rFonts w:asciiTheme="majorEastAsia" w:eastAsiaTheme="majorEastAsia" w:hAnsiTheme="majorEastAsia" w:cstheme="majorEastAsia"/>
                <w:color w:val="000000"/>
                <w:sz w:val="16"/>
                <w:szCs w:val="16"/>
              </w:rPr>
              <w:t>2.11</w:t>
            </w:r>
            <w:r>
              <w:rPr>
                <w:rFonts w:asciiTheme="majorEastAsia" w:eastAsiaTheme="majorEastAsia" w:hAnsiTheme="majorEastAsia" w:cstheme="majorEastAsia"/>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E028F" w:rsidRDefault="001E028F">
            <w:pPr>
              <w:spacing w:line="200" w:lineRule="exact"/>
              <w:rPr>
                <w:rFonts w:asciiTheme="majorEastAsia" w:eastAsiaTheme="majorEastAsia" w:hAnsiTheme="majorEastAsia" w:cstheme="majorEastAsia"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028F" w:rsidRDefault="001E028F">
            <w:pPr>
              <w:spacing w:line="200" w:lineRule="exact"/>
              <w:jc w:val="right"/>
              <w:rPr>
                <w:rFonts w:asciiTheme="majorEastAsia" w:eastAsiaTheme="majorEastAsia" w:hAnsiTheme="majorEastAsia" w:cstheme="majorEastAsia" w:hint="default"/>
                <w:color w:val="000000"/>
                <w:sz w:val="16"/>
                <w:szCs w:val="16"/>
              </w:rPr>
            </w:pPr>
          </w:p>
        </w:tc>
      </w:tr>
    </w:tbl>
    <w:p w:rsidR="001E028F" w:rsidRDefault="003059E7">
      <w:pPr>
        <w:rPr>
          <w:rFonts w:asciiTheme="majorEastAsia" w:eastAsiaTheme="majorEastAsia" w:hAnsiTheme="majorEastAsia" w:cstheme="majorEastAsia" w:hint="default"/>
          <w:sz w:val="20"/>
          <w:szCs w:val="20"/>
        </w:rPr>
      </w:pPr>
      <w:r>
        <w:rPr>
          <w:rFonts w:asciiTheme="majorEastAsia" w:eastAsiaTheme="majorEastAsia" w:hAnsiTheme="majorEastAsia" w:cstheme="majorEastAsia"/>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heme="majorEastAsia" w:eastAsiaTheme="majorEastAsia" w:hAnsiTheme="majorEastAsia" w:cstheme="majorEastAsia"/>
          <w:sz w:val="20"/>
          <w:szCs w:val="20"/>
        </w:rPr>
        <w:br/>
        <w:t xml:space="preserve">      2.本套报表金额单位转换时可能存在尾数误差。</w:t>
      </w:r>
      <w:r>
        <w:rPr>
          <w:rFonts w:asciiTheme="majorEastAsia" w:eastAsiaTheme="majorEastAsia" w:hAnsiTheme="majorEastAsia" w:cstheme="majorEastAsia"/>
          <w:sz w:val="20"/>
          <w:szCs w:val="20"/>
        </w:rPr>
        <w:br/>
      </w:r>
    </w:p>
    <w:p w:rsidR="001E028F" w:rsidRDefault="001E028F">
      <w:pPr>
        <w:rPr>
          <w:rFonts w:asciiTheme="majorEastAsia" w:eastAsiaTheme="majorEastAsia" w:hAnsiTheme="majorEastAsia" w:cstheme="majorEastAsia" w:hint="default"/>
          <w:sz w:val="20"/>
          <w:szCs w:val="20"/>
        </w:rPr>
      </w:pPr>
    </w:p>
    <w:p w:rsidR="001E028F" w:rsidRDefault="001E028F">
      <w:pPr>
        <w:rPr>
          <w:rFonts w:asciiTheme="majorEastAsia" w:eastAsiaTheme="majorEastAsia" w:hAnsiTheme="majorEastAsia" w:cstheme="majorEastAsia" w:hint="default"/>
          <w:sz w:val="20"/>
          <w:szCs w:val="20"/>
        </w:rPr>
      </w:pPr>
    </w:p>
    <w:p w:rsidR="001E028F" w:rsidRDefault="001E028F">
      <w:pPr>
        <w:rPr>
          <w:rFonts w:asciiTheme="majorEastAsia" w:eastAsiaTheme="majorEastAsia" w:hAnsiTheme="majorEastAsia" w:cstheme="majorEastAsia" w:hint="default"/>
          <w:sz w:val="20"/>
          <w:szCs w:val="20"/>
        </w:rPr>
      </w:pPr>
    </w:p>
    <w:p w:rsidR="001E028F" w:rsidRDefault="003059E7">
      <w:pPr>
        <w:rPr>
          <w:rFonts w:asciiTheme="majorEastAsia" w:eastAsiaTheme="majorEastAsia" w:hAnsiTheme="majorEastAsia" w:cstheme="majorEastAsia" w:hint="default"/>
        </w:rPr>
      </w:pPr>
      <w:r>
        <w:rPr>
          <w:rFonts w:asciiTheme="majorEastAsia" w:eastAsiaTheme="majorEastAsia" w:hAnsiTheme="majorEastAsia" w:cstheme="majorEastAsia"/>
          <w:noProof/>
        </w:rPr>
        <w:drawing>
          <wp:inline distT="0" distB="0" distL="114300" distR="114300">
            <wp:extent cx="9737725" cy="5201920"/>
            <wp:effectExtent l="0" t="0" r="1587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737725" cy="5201920"/>
                    </a:xfrm>
                    <a:prstGeom prst="rect">
                      <a:avLst/>
                    </a:prstGeom>
                    <a:noFill/>
                    <a:ln>
                      <a:noFill/>
                    </a:ln>
                  </pic:spPr>
                </pic:pic>
              </a:graphicData>
            </a:graphic>
          </wp:inline>
        </w:drawing>
      </w: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3059E7">
      <w:pPr>
        <w:rPr>
          <w:rFonts w:asciiTheme="majorEastAsia" w:eastAsiaTheme="majorEastAsia" w:hAnsiTheme="majorEastAsia" w:cstheme="majorEastAsia" w:hint="default"/>
        </w:rPr>
      </w:pPr>
      <w:r>
        <w:rPr>
          <w:rFonts w:asciiTheme="majorEastAsia" w:eastAsiaTheme="majorEastAsia" w:hAnsiTheme="majorEastAsia" w:cstheme="majorEastAsia"/>
          <w:noProof/>
        </w:rPr>
        <w:drawing>
          <wp:inline distT="0" distB="0" distL="114300" distR="114300">
            <wp:extent cx="9737725" cy="5201920"/>
            <wp:effectExtent l="0" t="0" r="1587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9737725" cy="5201920"/>
                    </a:xfrm>
                    <a:prstGeom prst="rect">
                      <a:avLst/>
                    </a:prstGeom>
                    <a:noFill/>
                    <a:ln>
                      <a:noFill/>
                    </a:ln>
                  </pic:spPr>
                </pic:pic>
              </a:graphicData>
            </a:graphic>
          </wp:inline>
        </w:drawing>
      </w: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3059E7">
      <w:pPr>
        <w:rPr>
          <w:rFonts w:asciiTheme="majorEastAsia" w:eastAsiaTheme="majorEastAsia" w:hAnsiTheme="majorEastAsia" w:cstheme="majorEastAsia" w:hint="default"/>
        </w:rPr>
      </w:pPr>
      <w:r>
        <w:rPr>
          <w:rFonts w:asciiTheme="majorEastAsia" w:eastAsiaTheme="majorEastAsia" w:hAnsiTheme="majorEastAsia" w:cstheme="majorEastAsia"/>
          <w:noProof/>
        </w:rPr>
        <w:drawing>
          <wp:inline distT="0" distB="0" distL="114300" distR="114300">
            <wp:extent cx="9737725" cy="4970145"/>
            <wp:effectExtent l="0" t="0" r="1587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9737725" cy="4970145"/>
                    </a:xfrm>
                    <a:prstGeom prst="rect">
                      <a:avLst/>
                    </a:prstGeom>
                    <a:noFill/>
                    <a:ln>
                      <a:noFill/>
                    </a:ln>
                  </pic:spPr>
                </pic:pic>
              </a:graphicData>
            </a:graphic>
          </wp:inline>
        </w:drawing>
      </w: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3059E7">
      <w:pPr>
        <w:rPr>
          <w:rFonts w:asciiTheme="majorEastAsia" w:eastAsiaTheme="majorEastAsia" w:hAnsiTheme="majorEastAsia" w:cstheme="majorEastAsia" w:hint="default"/>
        </w:rPr>
      </w:pPr>
      <w:r>
        <w:rPr>
          <w:rFonts w:asciiTheme="majorEastAsia" w:eastAsiaTheme="majorEastAsia" w:hAnsiTheme="majorEastAsia" w:cstheme="majorEastAsia"/>
          <w:noProof/>
        </w:rPr>
        <w:drawing>
          <wp:inline distT="0" distB="0" distL="114300" distR="114300">
            <wp:extent cx="9737725" cy="4970145"/>
            <wp:effectExtent l="0" t="0" r="1587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9737725" cy="4970145"/>
                    </a:xfrm>
                    <a:prstGeom prst="rect">
                      <a:avLst/>
                    </a:prstGeom>
                    <a:noFill/>
                    <a:ln>
                      <a:noFill/>
                    </a:ln>
                  </pic:spPr>
                </pic:pic>
              </a:graphicData>
            </a:graphic>
          </wp:inline>
        </w:drawing>
      </w: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3059E7">
      <w:pPr>
        <w:rPr>
          <w:rFonts w:asciiTheme="majorEastAsia" w:eastAsiaTheme="majorEastAsia" w:hAnsiTheme="majorEastAsia" w:cstheme="majorEastAsia" w:hint="default"/>
        </w:rPr>
      </w:pPr>
      <w:r>
        <w:rPr>
          <w:rFonts w:asciiTheme="majorEastAsia" w:eastAsiaTheme="majorEastAsia" w:hAnsiTheme="majorEastAsia" w:cstheme="majorEastAsia"/>
          <w:noProof/>
        </w:rPr>
        <w:drawing>
          <wp:inline distT="0" distB="0" distL="114300" distR="114300">
            <wp:extent cx="9737725" cy="4970145"/>
            <wp:effectExtent l="0" t="0" r="1587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9737725" cy="4970145"/>
                    </a:xfrm>
                    <a:prstGeom prst="rect">
                      <a:avLst/>
                    </a:prstGeom>
                    <a:noFill/>
                    <a:ln>
                      <a:noFill/>
                    </a:ln>
                  </pic:spPr>
                </pic:pic>
              </a:graphicData>
            </a:graphic>
          </wp:inline>
        </w:drawing>
      </w: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3059E7">
      <w:pPr>
        <w:rPr>
          <w:rFonts w:asciiTheme="majorEastAsia" w:eastAsiaTheme="majorEastAsia" w:hAnsiTheme="majorEastAsia" w:cstheme="majorEastAsia" w:hint="default"/>
        </w:rPr>
      </w:pPr>
      <w:r>
        <w:rPr>
          <w:rFonts w:asciiTheme="majorEastAsia" w:eastAsiaTheme="majorEastAsia" w:hAnsiTheme="majorEastAsia" w:cstheme="majorEastAsia"/>
          <w:noProof/>
        </w:rPr>
        <w:drawing>
          <wp:inline distT="0" distB="0" distL="114300" distR="114300">
            <wp:extent cx="9737725" cy="4970145"/>
            <wp:effectExtent l="0" t="0" r="1587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9737725" cy="4970145"/>
                    </a:xfrm>
                    <a:prstGeom prst="rect">
                      <a:avLst/>
                    </a:prstGeom>
                    <a:noFill/>
                    <a:ln>
                      <a:noFill/>
                    </a:ln>
                  </pic:spPr>
                </pic:pic>
              </a:graphicData>
            </a:graphic>
          </wp:inline>
        </w:drawing>
      </w: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3059E7">
      <w:pPr>
        <w:rPr>
          <w:rFonts w:asciiTheme="majorEastAsia" w:eastAsiaTheme="majorEastAsia" w:hAnsiTheme="majorEastAsia" w:cstheme="majorEastAsia" w:hint="default"/>
        </w:rPr>
      </w:pPr>
      <w:r>
        <w:rPr>
          <w:rFonts w:asciiTheme="majorEastAsia" w:eastAsiaTheme="majorEastAsia" w:hAnsiTheme="majorEastAsia" w:cstheme="majorEastAsia"/>
          <w:noProof/>
        </w:rPr>
        <w:drawing>
          <wp:inline distT="0" distB="0" distL="114300" distR="114300">
            <wp:extent cx="9737725" cy="4970145"/>
            <wp:effectExtent l="0" t="0" r="1587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9737725" cy="4970145"/>
                    </a:xfrm>
                    <a:prstGeom prst="rect">
                      <a:avLst/>
                    </a:prstGeom>
                    <a:noFill/>
                    <a:ln>
                      <a:noFill/>
                    </a:ln>
                  </pic:spPr>
                </pic:pic>
              </a:graphicData>
            </a:graphic>
          </wp:inline>
        </w:drawing>
      </w: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3059E7">
      <w:pPr>
        <w:rPr>
          <w:rFonts w:asciiTheme="majorEastAsia" w:eastAsiaTheme="majorEastAsia" w:hAnsiTheme="majorEastAsia" w:cstheme="majorEastAsia" w:hint="default"/>
        </w:rPr>
      </w:pPr>
      <w:r>
        <w:rPr>
          <w:rFonts w:asciiTheme="majorEastAsia" w:eastAsiaTheme="majorEastAsia" w:hAnsiTheme="majorEastAsia" w:cstheme="majorEastAsia"/>
          <w:noProof/>
        </w:rPr>
        <w:drawing>
          <wp:inline distT="0" distB="0" distL="114300" distR="114300">
            <wp:extent cx="9737725" cy="4970145"/>
            <wp:effectExtent l="0" t="0" r="15875"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stretch>
                      <a:fillRect/>
                    </a:stretch>
                  </pic:blipFill>
                  <pic:spPr>
                    <a:xfrm>
                      <a:off x="0" y="0"/>
                      <a:ext cx="9737725" cy="4970145"/>
                    </a:xfrm>
                    <a:prstGeom prst="rect">
                      <a:avLst/>
                    </a:prstGeom>
                    <a:noFill/>
                    <a:ln>
                      <a:noFill/>
                    </a:ln>
                  </pic:spPr>
                </pic:pic>
              </a:graphicData>
            </a:graphic>
          </wp:inline>
        </w:drawing>
      </w: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3059E7">
      <w:pPr>
        <w:rPr>
          <w:rFonts w:asciiTheme="majorEastAsia" w:eastAsiaTheme="majorEastAsia" w:hAnsiTheme="majorEastAsia" w:cstheme="majorEastAsia" w:hint="default"/>
        </w:rPr>
      </w:pPr>
      <w:r>
        <w:rPr>
          <w:rFonts w:asciiTheme="majorEastAsia" w:eastAsiaTheme="majorEastAsia" w:hAnsiTheme="majorEastAsia" w:cstheme="majorEastAsia"/>
          <w:noProof/>
        </w:rPr>
        <w:drawing>
          <wp:inline distT="0" distB="0" distL="114300" distR="114300">
            <wp:extent cx="9737725" cy="5201920"/>
            <wp:effectExtent l="0" t="0" r="15875" b="177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
                    <a:stretch>
                      <a:fillRect/>
                    </a:stretch>
                  </pic:blipFill>
                  <pic:spPr>
                    <a:xfrm>
                      <a:off x="0" y="0"/>
                      <a:ext cx="9737725" cy="5201920"/>
                    </a:xfrm>
                    <a:prstGeom prst="rect">
                      <a:avLst/>
                    </a:prstGeom>
                    <a:noFill/>
                    <a:ln>
                      <a:noFill/>
                    </a:ln>
                  </pic:spPr>
                </pic:pic>
              </a:graphicData>
            </a:graphic>
          </wp:inline>
        </w:drawing>
      </w: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3059E7">
      <w:pPr>
        <w:rPr>
          <w:rFonts w:asciiTheme="majorEastAsia" w:eastAsiaTheme="majorEastAsia" w:hAnsiTheme="majorEastAsia" w:cstheme="majorEastAsia" w:hint="default"/>
        </w:rPr>
      </w:pPr>
      <w:r>
        <w:rPr>
          <w:rFonts w:asciiTheme="majorEastAsia" w:eastAsiaTheme="majorEastAsia" w:hAnsiTheme="majorEastAsia" w:cstheme="majorEastAsia"/>
          <w:noProof/>
        </w:rPr>
        <w:drawing>
          <wp:inline distT="0" distB="0" distL="114300" distR="114300">
            <wp:extent cx="9737725" cy="5201920"/>
            <wp:effectExtent l="0" t="0" r="15875" b="177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9"/>
                    <a:stretch>
                      <a:fillRect/>
                    </a:stretch>
                  </pic:blipFill>
                  <pic:spPr>
                    <a:xfrm>
                      <a:off x="0" y="0"/>
                      <a:ext cx="9737725" cy="5201920"/>
                    </a:xfrm>
                    <a:prstGeom prst="rect">
                      <a:avLst/>
                    </a:prstGeom>
                    <a:noFill/>
                    <a:ln>
                      <a:noFill/>
                    </a:ln>
                  </pic:spPr>
                </pic:pic>
              </a:graphicData>
            </a:graphic>
          </wp:inline>
        </w:drawing>
      </w: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3059E7">
      <w:pPr>
        <w:rPr>
          <w:rFonts w:asciiTheme="majorEastAsia" w:eastAsiaTheme="majorEastAsia" w:hAnsiTheme="majorEastAsia" w:cstheme="majorEastAsia" w:hint="default"/>
        </w:rPr>
      </w:pPr>
      <w:r>
        <w:rPr>
          <w:rFonts w:asciiTheme="majorEastAsia" w:eastAsiaTheme="majorEastAsia" w:hAnsiTheme="majorEastAsia" w:cstheme="majorEastAsia"/>
          <w:noProof/>
        </w:rPr>
        <w:drawing>
          <wp:inline distT="0" distB="0" distL="114300" distR="114300">
            <wp:extent cx="9737725" cy="4970145"/>
            <wp:effectExtent l="0" t="0" r="15875"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0"/>
                    <a:stretch>
                      <a:fillRect/>
                    </a:stretch>
                  </pic:blipFill>
                  <pic:spPr>
                    <a:xfrm>
                      <a:off x="0" y="0"/>
                      <a:ext cx="9737725" cy="4970145"/>
                    </a:xfrm>
                    <a:prstGeom prst="rect">
                      <a:avLst/>
                    </a:prstGeom>
                    <a:noFill/>
                    <a:ln>
                      <a:noFill/>
                    </a:ln>
                  </pic:spPr>
                </pic:pic>
              </a:graphicData>
            </a:graphic>
          </wp:inline>
        </w:drawing>
      </w: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3059E7">
      <w:pPr>
        <w:rPr>
          <w:rFonts w:asciiTheme="majorEastAsia" w:eastAsiaTheme="majorEastAsia" w:hAnsiTheme="majorEastAsia" w:cstheme="majorEastAsia" w:hint="default"/>
        </w:rPr>
      </w:pPr>
      <w:r>
        <w:rPr>
          <w:rFonts w:asciiTheme="majorEastAsia" w:eastAsiaTheme="majorEastAsia" w:hAnsiTheme="majorEastAsia" w:cstheme="majorEastAsia"/>
          <w:noProof/>
        </w:rPr>
        <w:drawing>
          <wp:inline distT="0" distB="0" distL="114300" distR="114300">
            <wp:extent cx="9737725" cy="4970145"/>
            <wp:effectExtent l="0" t="0" r="15875"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9737725" cy="4970145"/>
                    </a:xfrm>
                    <a:prstGeom prst="rect">
                      <a:avLst/>
                    </a:prstGeom>
                    <a:noFill/>
                    <a:ln>
                      <a:noFill/>
                    </a:ln>
                  </pic:spPr>
                </pic:pic>
              </a:graphicData>
            </a:graphic>
          </wp:inline>
        </w:drawing>
      </w: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3059E7">
      <w:pPr>
        <w:rPr>
          <w:rFonts w:asciiTheme="majorEastAsia" w:eastAsiaTheme="majorEastAsia" w:hAnsiTheme="majorEastAsia" w:cstheme="majorEastAsia" w:hint="default"/>
        </w:rPr>
      </w:pPr>
      <w:r>
        <w:rPr>
          <w:rFonts w:asciiTheme="majorEastAsia" w:eastAsiaTheme="majorEastAsia" w:hAnsiTheme="majorEastAsia" w:cstheme="majorEastAsia"/>
          <w:noProof/>
        </w:rPr>
        <w:drawing>
          <wp:inline distT="0" distB="0" distL="114300" distR="114300">
            <wp:extent cx="9737725" cy="4970145"/>
            <wp:effectExtent l="0" t="0" r="15875"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2"/>
                    <a:stretch>
                      <a:fillRect/>
                    </a:stretch>
                  </pic:blipFill>
                  <pic:spPr>
                    <a:xfrm>
                      <a:off x="0" y="0"/>
                      <a:ext cx="9737725" cy="4970145"/>
                    </a:xfrm>
                    <a:prstGeom prst="rect">
                      <a:avLst/>
                    </a:prstGeom>
                    <a:noFill/>
                    <a:ln>
                      <a:noFill/>
                    </a:ln>
                  </pic:spPr>
                </pic:pic>
              </a:graphicData>
            </a:graphic>
          </wp:inline>
        </w:drawing>
      </w: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3059E7">
      <w:pPr>
        <w:rPr>
          <w:rFonts w:asciiTheme="majorEastAsia" w:eastAsiaTheme="majorEastAsia" w:hAnsiTheme="majorEastAsia" w:cstheme="majorEastAsia" w:hint="default"/>
        </w:rPr>
      </w:pPr>
      <w:r>
        <w:rPr>
          <w:rFonts w:asciiTheme="majorEastAsia" w:eastAsiaTheme="majorEastAsia" w:hAnsiTheme="majorEastAsia" w:cstheme="majorEastAsia"/>
          <w:noProof/>
        </w:rPr>
        <w:drawing>
          <wp:inline distT="0" distB="0" distL="114300" distR="114300">
            <wp:extent cx="9737725" cy="4970145"/>
            <wp:effectExtent l="0" t="0" r="15875"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3"/>
                    <a:stretch>
                      <a:fillRect/>
                    </a:stretch>
                  </pic:blipFill>
                  <pic:spPr>
                    <a:xfrm>
                      <a:off x="0" y="0"/>
                      <a:ext cx="9737725" cy="4970145"/>
                    </a:xfrm>
                    <a:prstGeom prst="rect">
                      <a:avLst/>
                    </a:prstGeom>
                    <a:noFill/>
                    <a:ln>
                      <a:noFill/>
                    </a:ln>
                  </pic:spPr>
                </pic:pic>
              </a:graphicData>
            </a:graphic>
          </wp:inline>
        </w:drawing>
      </w: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3059E7">
      <w:pPr>
        <w:rPr>
          <w:rFonts w:asciiTheme="majorEastAsia" w:eastAsiaTheme="majorEastAsia" w:hAnsiTheme="majorEastAsia" w:cstheme="majorEastAsia" w:hint="default"/>
        </w:rPr>
      </w:pPr>
      <w:r>
        <w:rPr>
          <w:rFonts w:asciiTheme="majorEastAsia" w:eastAsiaTheme="majorEastAsia" w:hAnsiTheme="majorEastAsia" w:cstheme="majorEastAsia"/>
          <w:noProof/>
        </w:rPr>
        <w:drawing>
          <wp:inline distT="0" distB="0" distL="114300" distR="114300">
            <wp:extent cx="9737725" cy="4970145"/>
            <wp:effectExtent l="0" t="0" r="15875"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4"/>
                    <a:stretch>
                      <a:fillRect/>
                    </a:stretch>
                  </pic:blipFill>
                  <pic:spPr>
                    <a:xfrm>
                      <a:off x="0" y="0"/>
                      <a:ext cx="9737725" cy="4970145"/>
                    </a:xfrm>
                    <a:prstGeom prst="rect">
                      <a:avLst/>
                    </a:prstGeom>
                    <a:noFill/>
                    <a:ln>
                      <a:noFill/>
                    </a:ln>
                  </pic:spPr>
                </pic:pic>
              </a:graphicData>
            </a:graphic>
          </wp:inline>
        </w:drawing>
      </w: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1E028F">
      <w:pPr>
        <w:rPr>
          <w:rFonts w:asciiTheme="majorEastAsia" w:eastAsiaTheme="majorEastAsia" w:hAnsiTheme="majorEastAsia" w:cstheme="majorEastAsia" w:hint="default"/>
        </w:rPr>
      </w:pPr>
    </w:p>
    <w:p w:rsidR="001E028F" w:rsidRDefault="003059E7">
      <w:pPr>
        <w:rPr>
          <w:rFonts w:asciiTheme="majorEastAsia" w:eastAsiaTheme="majorEastAsia" w:hAnsiTheme="majorEastAsia" w:cstheme="majorEastAsia" w:hint="default"/>
          <w:sz w:val="21"/>
          <w:szCs w:val="21"/>
        </w:rPr>
      </w:pPr>
      <w:r>
        <w:rPr>
          <w:rFonts w:asciiTheme="majorEastAsia" w:eastAsiaTheme="majorEastAsia" w:hAnsiTheme="majorEastAsia" w:cstheme="majorEastAsia"/>
          <w:sz w:val="20"/>
          <w:szCs w:val="20"/>
        </w:rPr>
        <w:br/>
      </w:r>
    </w:p>
    <w:sectPr w:rsidR="001E028F">
      <w:headerReference w:type="default" r:id="rId25"/>
      <w:footerReference w:type="default" r:id="rId26"/>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D0C" w:rsidRDefault="00951D0C">
      <w:pPr>
        <w:rPr>
          <w:rFonts w:hint="default"/>
        </w:rPr>
      </w:pPr>
      <w:r>
        <w:separator/>
      </w:r>
    </w:p>
  </w:endnote>
  <w:endnote w:type="continuationSeparator" w:id="0">
    <w:p w:rsidR="00951D0C" w:rsidRDefault="00951D0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8F" w:rsidRDefault="00951D0C">
    <w:pPr>
      <w:pStyle w:val="a4"/>
      <w:rPr>
        <w:rFonts w:hint="default"/>
      </w:rPr>
    </w:pPr>
    <w:r>
      <w:rPr>
        <w:rFonts w:hint="default"/>
      </w:rPr>
      <w:pict>
        <v:shapetype id="_x0000_t202" coordsize="21600,21600" o:spt="202" path="m,l,21600r21600,l21600,xe">
          <v:stroke joinstyle="miter"/>
          <v:path gradientshapeok="t" o:connecttype="rect"/>
        </v:shapetype>
        <v:shape id="_x0000_s2053"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E028F" w:rsidRDefault="003059E7">
                <w:pPr>
                  <w:pStyle w:val="a4"/>
                  <w:rPr>
                    <w:rFonts w:hint="default"/>
                  </w:rPr>
                </w:pPr>
                <w:r>
                  <w:fldChar w:fldCharType="begin"/>
                </w:r>
                <w:r>
                  <w:instrText xml:space="preserve"> PAGE  \* MERGEFORMAT </w:instrText>
                </w:r>
                <w:r>
                  <w:fldChar w:fldCharType="separate"/>
                </w:r>
                <w:r w:rsidR="00335241">
                  <w:rPr>
                    <w:rFonts w:hint="default"/>
                    <w:noProof/>
                  </w:rPr>
                  <w:t>- 10 -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8F" w:rsidRDefault="00951D0C">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1E028F" w:rsidRDefault="003059E7">
                <w:pPr>
                  <w:pStyle w:val="a4"/>
                  <w:rPr>
                    <w:rFonts w:hint="default"/>
                  </w:rPr>
                </w:pPr>
                <w:r>
                  <w:t xml:space="preserve"> </w:t>
                </w:r>
                <w:r>
                  <w:fldChar w:fldCharType="begin"/>
                </w:r>
                <w:r>
                  <w:instrText>PAGE   \* MERGEFORMAT</w:instrText>
                </w:r>
                <w:r>
                  <w:fldChar w:fldCharType="separate"/>
                </w:r>
                <w:r w:rsidR="00335241" w:rsidRPr="00335241">
                  <w:rPr>
                    <w:rFonts w:hint="default"/>
                    <w:noProof/>
                    <w:lang w:val="zh-CN"/>
                  </w:rPr>
                  <w:t>-</w:t>
                </w:r>
                <w:r w:rsidR="00335241">
                  <w:rPr>
                    <w:rFonts w:hint="default"/>
                    <w:noProof/>
                  </w:rPr>
                  <w:t xml:space="preserve"> 16 -</w:t>
                </w:r>
                <w: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1E028F" w:rsidRDefault="003059E7">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D0C" w:rsidRDefault="00951D0C">
      <w:pPr>
        <w:rPr>
          <w:rFonts w:hint="default"/>
        </w:rPr>
      </w:pPr>
      <w:r>
        <w:separator/>
      </w:r>
    </w:p>
  </w:footnote>
  <w:footnote w:type="continuationSeparator" w:id="0">
    <w:p w:rsidR="00951D0C" w:rsidRDefault="00951D0C">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8F" w:rsidRDefault="001E028F">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61B46"/>
    <w:rsid w:val="001042A0"/>
    <w:rsid w:val="001D3BB7"/>
    <w:rsid w:val="001E028F"/>
    <w:rsid w:val="002B1257"/>
    <w:rsid w:val="002B254B"/>
    <w:rsid w:val="003059E7"/>
    <w:rsid w:val="00335241"/>
    <w:rsid w:val="00466C9B"/>
    <w:rsid w:val="00550ABE"/>
    <w:rsid w:val="0073757D"/>
    <w:rsid w:val="00770383"/>
    <w:rsid w:val="007819D4"/>
    <w:rsid w:val="007B419D"/>
    <w:rsid w:val="007B7C4B"/>
    <w:rsid w:val="007D3D39"/>
    <w:rsid w:val="00951D0C"/>
    <w:rsid w:val="00994AF7"/>
    <w:rsid w:val="009B67B8"/>
    <w:rsid w:val="009D2B67"/>
    <w:rsid w:val="00A566F9"/>
    <w:rsid w:val="00AF2751"/>
    <w:rsid w:val="00B03CCD"/>
    <w:rsid w:val="00B85401"/>
    <w:rsid w:val="00BE2B89"/>
    <w:rsid w:val="00C10E9E"/>
    <w:rsid w:val="00C20C3E"/>
    <w:rsid w:val="00E34378"/>
    <w:rsid w:val="00F73F90"/>
    <w:rsid w:val="01474EBF"/>
    <w:rsid w:val="01EC5634"/>
    <w:rsid w:val="01F3521E"/>
    <w:rsid w:val="03B87EA0"/>
    <w:rsid w:val="03E3214F"/>
    <w:rsid w:val="044C50BA"/>
    <w:rsid w:val="04C176DC"/>
    <w:rsid w:val="05BC6D49"/>
    <w:rsid w:val="06194FF1"/>
    <w:rsid w:val="067740D8"/>
    <w:rsid w:val="06A2550B"/>
    <w:rsid w:val="06BE2AB3"/>
    <w:rsid w:val="06F80EE2"/>
    <w:rsid w:val="07001CCA"/>
    <w:rsid w:val="075678DB"/>
    <w:rsid w:val="079D7CC7"/>
    <w:rsid w:val="08051BCA"/>
    <w:rsid w:val="086C12F4"/>
    <w:rsid w:val="08705944"/>
    <w:rsid w:val="08BA052C"/>
    <w:rsid w:val="08DB07BA"/>
    <w:rsid w:val="0969353F"/>
    <w:rsid w:val="098305D0"/>
    <w:rsid w:val="0A3317EA"/>
    <w:rsid w:val="0A5C4B69"/>
    <w:rsid w:val="0A697533"/>
    <w:rsid w:val="0A86124A"/>
    <w:rsid w:val="0AB54CC0"/>
    <w:rsid w:val="0B9335CE"/>
    <w:rsid w:val="0BF2311A"/>
    <w:rsid w:val="0C441A2C"/>
    <w:rsid w:val="0C7927C4"/>
    <w:rsid w:val="0C9B098C"/>
    <w:rsid w:val="0D0904F0"/>
    <w:rsid w:val="0D104463"/>
    <w:rsid w:val="0D673E11"/>
    <w:rsid w:val="0DDA54E4"/>
    <w:rsid w:val="0E3A5F83"/>
    <w:rsid w:val="0EC40813"/>
    <w:rsid w:val="0F836721"/>
    <w:rsid w:val="0FA25D96"/>
    <w:rsid w:val="0FB26250"/>
    <w:rsid w:val="10641781"/>
    <w:rsid w:val="107B59E5"/>
    <w:rsid w:val="10EC0126"/>
    <w:rsid w:val="10F70B9A"/>
    <w:rsid w:val="111445C7"/>
    <w:rsid w:val="114278C6"/>
    <w:rsid w:val="1158083A"/>
    <w:rsid w:val="11643A4B"/>
    <w:rsid w:val="11ED0F98"/>
    <w:rsid w:val="11F03528"/>
    <w:rsid w:val="125C1077"/>
    <w:rsid w:val="127B2E60"/>
    <w:rsid w:val="12C921C4"/>
    <w:rsid w:val="13871C70"/>
    <w:rsid w:val="13A71CB4"/>
    <w:rsid w:val="13AC4857"/>
    <w:rsid w:val="13AF1D43"/>
    <w:rsid w:val="13CE1647"/>
    <w:rsid w:val="13FD55AB"/>
    <w:rsid w:val="14200702"/>
    <w:rsid w:val="163A6CEE"/>
    <w:rsid w:val="16E40595"/>
    <w:rsid w:val="16ED1258"/>
    <w:rsid w:val="173708E3"/>
    <w:rsid w:val="173D7FC6"/>
    <w:rsid w:val="17C374FC"/>
    <w:rsid w:val="182E4AB6"/>
    <w:rsid w:val="189079DC"/>
    <w:rsid w:val="189B0D0B"/>
    <w:rsid w:val="18B43F7C"/>
    <w:rsid w:val="194A1770"/>
    <w:rsid w:val="1971594C"/>
    <w:rsid w:val="19B906A4"/>
    <w:rsid w:val="1B6F15B6"/>
    <w:rsid w:val="1BAA2EDC"/>
    <w:rsid w:val="1CA55E64"/>
    <w:rsid w:val="1CB6024D"/>
    <w:rsid w:val="1D014A01"/>
    <w:rsid w:val="1D022362"/>
    <w:rsid w:val="1D192032"/>
    <w:rsid w:val="1D1B04B0"/>
    <w:rsid w:val="1D7E5172"/>
    <w:rsid w:val="1DA52501"/>
    <w:rsid w:val="1DBD6767"/>
    <w:rsid w:val="1DC52125"/>
    <w:rsid w:val="1DD26311"/>
    <w:rsid w:val="1E374ACB"/>
    <w:rsid w:val="1ECF0A66"/>
    <w:rsid w:val="1EF67CA4"/>
    <w:rsid w:val="1F020D3A"/>
    <w:rsid w:val="1F2C5189"/>
    <w:rsid w:val="1F4B0B02"/>
    <w:rsid w:val="1FBB35CD"/>
    <w:rsid w:val="1FC00BA4"/>
    <w:rsid w:val="1FCD26AF"/>
    <w:rsid w:val="20331052"/>
    <w:rsid w:val="20642787"/>
    <w:rsid w:val="20ED3C82"/>
    <w:rsid w:val="21556F04"/>
    <w:rsid w:val="21D32B8D"/>
    <w:rsid w:val="22403BD3"/>
    <w:rsid w:val="24B92327"/>
    <w:rsid w:val="24C14514"/>
    <w:rsid w:val="2533755C"/>
    <w:rsid w:val="25791755"/>
    <w:rsid w:val="260B5491"/>
    <w:rsid w:val="26396DF4"/>
    <w:rsid w:val="267977F6"/>
    <w:rsid w:val="27167136"/>
    <w:rsid w:val="271B442C"/>
    <w:rsid w:val="27B23302"/>
    <w:rsid w:val="28591FFE"/>
    <w:rsid w:val="29310A5F"/>
    <w:rsid w:val="29A64E11"/>
    <w:rsid w:val="29C37A35"/>
    <w:rsid w:val="2A076083"/>
    <w:rsid w:val="2A73162E"/>
    <w:rsid w:val="2B0C1015"/>
    <w:rsid w:val="2B167953"/>
    <w:rsid w:val="2B200583"/>
    <w:rsid w:val="2B8209DE"/>
    <w:rsid w:val="2C636760"/>
    <w:rsid w:val="2C6762A3"/>
    <w:rsid w:val="2CD275AB"/>
    <w:rsid w:val="2D027516"/>
    <w:rsid w:val="2D207106"/>
    <w:rsid w:val="2DE1195C"/>
    <w:rsid w:val="2DF00192"/>
    <w:rsid w:val="2EE45E7C"/>
    <w:rsid w:val="2FCA4B37"/>
    <w:rsid w:val="2FE029D7"/>
    <w:rsid w:val="2FF06E00"/>
    <w:rsid w:val="30586FEC"/>
    <w:rsid w:val="315F0B22"/>
    <w:rsid w:val="31D84415"/>
    <w:rsid w:val="32285F6F"/>
    <w:rsid w:val="32770556"/>
    <w:rsid w:val="329C0913"/>
    <w:rsid w:val="32AA0460"/>
    <w:rsid w:val="32E06F33"/>
    <w:rsid w:val="3337290D"/>
    <w:rsid w:val="33E31118"/>
    <w:rsid w:val="33EF7674"/>
    <w:rsid w:val="342D7BC6"/>
    <w:rsid w:val="34785525"/>
    <w:rsid w:val="34F71764"/>
    <w:rsid w:val="352930DB"/>
    <w:rsid w:val="35573069"/>
    <w:rsid w:val="355F6038"/>
    <w:rsid w:val="358C217E"/>
    <w:rsid w:val="368974A5"/>
    <w:rsid w:val="36C9128A"/>
    <w:rsid w:val="375A305F"/>
    <w:rsid w:val="37606B48"/>
    <w:rsid w:val="37841E99"/>
    <w:rsid w:val="37BF1123"/>
    <w:rsid w:val="383C3F15"/>
    <w:rsid w:val="38B47799"/>
    <w:rsid w:val="38BE4696"/>
    <w:rsid w:val="3939115E"/>
    <w:rsid w:val="396159B3"/>
    <w:rsid w:val="39B82A39"/>
    <w:rsid w:val="39C42CA8"/>
    <w:rsid w:val="39DC4FD6"/>
    <w:rsid w:val="39F03D7A"/>
    <w:rsid w:val="39F33306"/>
    <w:rsid w:val="3A2C1C67"/>
    <w:rsid w:val="3ADD7F09"/>
    <w:rsid w:val="3B1705E5"/>
    <w:rsid w:val="3B18334B"/>
    <w:rsid w:val="3B301637"/>
    <w:rsid w:val="3B36794F"/>
    <w:rsid w:val="3B6F6EE0"/>
    <w:rsid w:val="3C566AD6"/>
    <w:rsid w:val="3C594871"/>
    <w:rsid w:val="3C6A5B02"/>
    <w:rsid w:val="3D105527"/>
    <w:rsid w:val="3D2757A1"/>
    <w:rsid w:val="3D3D4FC4"/>
    <w:rsid w:val="3DC75867"/>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2C42E7"/>
    <w:rsid w:val="444D481C"/>
    <w:rsid w:val="44C37687"/>
    <w:rsid w:val="45CB699A"/>
    <w:rsid w:val="45E14C32"/>
    <w:rsid w:val="465B470D"/>
    <w:rsid w:val="468F7B10"/>
    <w:rsid w:val="469D6AD4"/>
    <w:rsid w:val="471E6C84"/>
    <w:rsid w:val="4748792B"/>
    <w:rsid w:val="475D719D"/>
    <w:rsid w:val="47674801"/>
    <w:rsid w:val="479B2D0A"/>
    <w:rsid w:val="48225EF7"/>
    <w:rsid w:val="48831983"/>
    <w:rsid w:val="488F422B"/>
    <w:rsid w:val="48B56ACC"/>
    <w:rsid w:val="48E36915"/>
    <w:rsid w:val="48EB6572"/>
    <w:rsid w:val="495C4A24"/>
    <w:rsid w:val="49693A35"/>
    <w:rsid w:val="497135DF"/>
    <w:rsid w:val="4A263DF2"/>
    <w:rsid w:val="4A6F6675"/>
    <w:rsid w:val="4B135857"/>
    <w:rsid w:val="4B7951CB"/>
    <w:rsid w:val="4B7C315C"/>
    <w:rsid w:val="4D067686"/>
    <w:rsid w:val="4D283CA5"/>
    <w:rsid w:val="4DAC4ACA"/>
    <w:rsid w:val="4DBE01D2"/>
    <w:rsid w:val="4DC51AB3"/>
    <w:rsid w:val="4F0C6BA3"/>
    <w:rsid w:val="4F186D58"/>
    <w:rsid w:val="4F5F1347"/>
    <w:rsid w:val="50F06B6E"/>
    <w:rsid w:val="51595781"/>
    <w:rsid w:val="51D21804"/>
    <w:rsid w:val="52137636"/>
    <w:rsid w:val="52234D33"/>
    <w:rsid w:val="522F6E0C"/>
    <w:rsid w:val="52463BA1"/>
    <w:rsid w:val="526A0045"/>
    <w:rsid w:val="52F163D4"/>
    <w:rsid w:val="531A2DB4"/>
    <w:rsid w:val="53AA2855"/>
    <w:rsid w:val="53C0244D"/>
    <w:rsid w:val="53DD4D4E"/>
    <w:rsid w:val="53E578CE"/>
    <w:rsid w:val="541330F0"/>
    <w:rsid w:val="54272666"/>
    <w:rsid w:val="543B029D"/>
    <w:rsid w:val="54861779"/>
    <w:rsid w:val="54A35809"/>
    <w:rsid w:val="552256E1"/>
    <w:rsid w:val="554E5773"/>
    <w:rsid w:val="555829E0"/>
    <w:rsid w:val="555A3CBC"/>
    <w:rsid w:val="5582012B"/>
    <w:rsid w:val="558E4E05"/>
    <w:rsid w:val="55BE2E85"/>
    <w:rsid w:val="56530F5D"/>
    <w:rsid w:val="567700D3"/>
    <w:rsid w:val="56FF7E9E"/>
    <w:rsid w:val="578867FC"/>
    <w:rsid w:val="5842572D"/>
    <w:rsid w:val="597E04E2"/>
    <w:rsid w:val="5A0E5C30"/>
    <w:rsid w:val="5A3B59D6"/>
    <w:rsid w:val="5AA1676C"/>
    <w:rsid w:val="5AD134D8"/>
    <w:rsid w:val="5C263CE4"/>
    <w:rsid w:val="5C5924D5"/>
    <w:rsid w:val="5C5D2777"/>
    <w:rsid w:val="5CAA4817"/>
    <w:rsid w:val="5CF66BF3"/>
    <w:rsid w:val="5D290C69"/>
    <w:rsid w:val="5DC35411"/>
    <w:rsid w:val="5F0C077E"/>
    <w:rsid w:val="5F2D4A41"/>
    <w:rsid w:val="60C74F6C"/>
    <w:rsid w:val="60DA68CF"/>
    <w:rsid w:val="61025A59"/>
    <w:rsid w:val="613D5BBC"/>
    <w:rsid w:val="61536C39"/>
    <w:rsid w:val="617F4F6A"/>
    <w:rsid w:val="61A03A7F"/>
    <w:rsid w:val="625B46ED"/>
    <w:rsid w:val="62944DD7"/>
    <w:rsid w:val="6319381F"/>
    <w:rsid w:val="63387553"/>
    <w:rsid w:val="63C25DC5"/>
    <w:rsid w:val="63C62057"/>
    <w:rsid w:val="63D92173"/>
    <w:rsid w:val="64187EC6"/>
    <w:rsid w:val="64571EF5"/>
    <w:rsid w:val="64FB113D"/>
    <w:rsid w:val="656152C6"/>
    <w:rsid w:val="6587477F"/>
    <w:rsid w:val="658C3A08"/>
    <w:rsid w:val="65C031CA"/>
    <w:rsid w:val="65C70DB6"/>
    <w:rsid w:val="65CE6852"/>
    <w:rsid w:val="66267C04"/>
    <w:rsid w:val="663F505A"/>
    <w:rsid w:val="66EE5541"/>
    <w:rsid w:val="676B283C"/>
    <w:rsid w:val="677B7253"/>
    <w:rsid w:val="67924660"/>
    <w:rsid w:val="68407834"/>
    <w:rsid w:val="6883293E"/>
    <w:rsid w:val="688412AD"/>
    <w:rsid w:val="68EB1B71"/>
    <w:rsid w:val="6A5712E1"/>
    <w:rsid w:val="6A667C1B"/>
    <w:rsid w:val="6A6C7940"/>
    <w:rsid w:val="6A711298"/>
    <w:rsid w:val="6A864FE5"/>
    <w:rsid w:val="6AAC286D"/>
    <w:rsid w:val="6AAD2300"/>
    <w:rsid w:val="6B474EF5"/>
    <w:rsid w:val="6BC95C52"/>
    <w:rsid w:val="6BF0410C"/>
    <w:rsid w:val="6C0A5AC5"/>
    <w:rsid w:val="6C560CAE"/>
    <w:rsid w:val="6C576495"/>
    <w:rsid w:val="6D903FF5"/>
    <w:rsid w:val="6DA40500"/>
    <w:rsid w:val="6DA955B8"/>
    <w:rsid w:val="6DE346AB"/>
    <w:rsid w:val="6DE5391A"/>
    <w:rsid w:val="6EFC3258"/>
    <w:rsid w:val="6EFD1324"/>
    <w:rsid w:val="6F5A53AC"/>
    <w:rsid w:val="6FAC003D"/>
    <w:rsid w:val="6FE55E12"/>
    <w:rsid w:val="6FFB2E76"/>
    <w:rsid w:val="70196878"/>
    <w:rsid w:val="702E0D9C"/>
    <w:rsid w:val="708F6F7F"/>
    <w:rsid w:val="70D94BD3"/>
    <w:rsid w:val="7155349F"/>
    <w:rsid w:val="715650CE"/>
    <w:rsid w:val="71C34D91"/>
    <w:rsid w:val="72280439"/>
    <w:rsid w:val="726B074F"/>
    <w:rsid w:val="72DB435C"/>
    <w:rsid w:val="72E2613A"/>
    <w:rsid w:val="72F771F4"/>
    <w:rsid w:val="73934AD2"/>
    <w:rsid w:val="7461306E"/>
    <w:rsid w:val="74777121"/>
    <w:rsid w:val="750837F0"/>
    <w:rsid w:val="754758CF"/>
    <w:rsid w:val="764F62AB"/>
    <w:rsid w:val="765C45EC"/>
    <w:rsid w:val="768A7619"/>
    <w:rsid w:val="7695527C"/>
    <w:rsid w:val="772E1EBA"/>
    <w:rsid w:val="7791385B"/>
    <w:rsid w:val="781926BC"/>
    <w:rsid w:val="782A7532"/>
    <w:rsid w:val="787C1EF5"/>
    <w:rsid w:val="78FE6611"/>
    <w:rsid w:val="796D60A4"/>
    <w:rsid w:val="79A031D5"/>
    <w:rsid w:val="79B85A3F"/>
    <w:rsid w:val="7A1525F7"/>
    <w:rsid w:val="7A342402"/>
    <w:rsid w:val="7ACE7785"/>
    <w:rsid w:val="7B3926B8"/>
    <w:rsid w:val="7B420052"/>
    <w:rsid w:val="7BD06A28"/>
    <w:rsid w:val="7C3A7C0B"/>
    <w:rsid w:val="7C5248E4"/>
    <w:rsid w:val="7C566698"/>
    <w:rsid w:val="7C5866A3"/>
    <w:rsid w:val="7D7406BB"/>
    <w:rsid w:val="7DE94331"/>
    <w:rsid w:val="7DF72623"/>
    <w:rsid w:val="7E2D398F"/>
    <w:rsid w:val="7F446A19"/>
    <w:rsid w:val="7F7452B9"/>
    <w:rsid w:val="7F8F2C25"/>
    <w:rsid w:val="7F944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1875</Words>
  <Characters>10688</Characters>
  <Application>Microsoft Office Word</Application>
  <DocSecurity>0</DocSecurity>
  <Lines>89</Lines>
  <Paragraphs>25</Paragraphs>
  <ScaleCrop>false</ScaleCrop>
  <Company/>
  <LinksUpToDate>false</LinksUpToDate>
  <CharactersWithSpaces>12538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丰都教委</cp:lastModifiedBy>
  <cp:revision>14</cp:revision>
  <dcterms:created xsi:type="dcterms:W3CDTF">2024-07-11T02:00:00Z</dcterms:created>
  <dcterms:modified xsi:type="dcterms:W3CDTF">2024-09-27T06:01:00Z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