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重庆市丰都县水天坪学校</w:t>
      </w:r>
    </w:p>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10"/>
          <w:rFonts w:ascii="黑体" w:hAnsi="黑体" w:eastAsia="黑体" w:cs="黑体"/>
          <w:sz w:val="32"/>
          <w:szCs w:val="32"/>
          <w:shd w:val="clear" w:color="auto" w:fill="FFFFFF"/>
        </w:rPr>
        <w:t>一、单位基本情况</w:t>
      </w:r>
    </w:p>
    <w:p>
      <w:pPr>
        <w:pStyle w:val="6"/>
        <w:shd w:val="clear" w:color="auto" w:fill="FFFFFF"/>
        <w:ind w:firstLine="42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pPr>
        <w:pStyle w:val="6"/>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实施小学、初中义务教育,促进基础教育发展。承担辖区内小学、初中教育;推进课程改革和教法学法改革;提高学生综合素质;培养学生多样化发展;培养学生良好品德;从事小学、初中义务教育的相关社会服务。</w:t>
      </w:r>
    </w:p>
    <w:p>
      <w:pPr>
        <w:pStyle w:val="6"/>
        <w:shd w:val="clear" w:color="auto" w:fill="FFFFFF"/>
        <w:ind w:firstLine="42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pPr>
        <w:pStyle w:val="6"/>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本单位内部常设机构主要有校长(副校长)办、党政办、教务处、德育处、后勤处、教科室、团支部、工会办、督导办、保卫处、教研组、年级组。</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2023年度收入总计4337.71万元，支出总计</w:t>
      </w:r>
      <w:r>
        <w:rPr>
          <w:rFonts w:ascii="方正仿宋_GBK" w:hAnsi="方正仿宋_GBK" w:eastAsia="方正仿宋_GBK" w:cs="方正仿宋_GBK"/>
          <w:sz w:val="32"/>
          <w:szCs w:val="32"/>
        </w:rPr>
        <w:t>4337.71</w:t>
      </w:r>
      <w:r>
        <w:rPr>
          <w:rFonts w:ascii="方正仿宋_GBK" w:hAnsi="方正仿宋_GBK" w:eastAsia="方正仿宋_GBK" w:cs="方正仿宋_GBK"/>
          <w:sz w:val="32"/>
          <w:szCs w:val="32"/>
          <w:shd w:val="clear" w:color="auto" w:fill="FFFFFF"/>
        </w:rPr>
        <w:t>万元。收支较上年决算数增加1110.96万元，增长34.43%，主要原因是人员正常工资增长和统筹返还收支纳入本年决算。</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2023年度收入合计4157.25万元，较上年决算数增加930.50万元，增长28.84%，主要原因是人员正常工资增长和年中预算调整项目收入增加。其中：财政拨款收入</w:t>
      </w:r>
      <w:r>
        <w:rPr>
          <w:rFonts w:ascii="方正仿宋_GBK" w:hAnsi="方正仿宋_GBK" w:eastAsia="方正仿宋_GBK" w:cs="方正仿宋_GBK"/>
          <w:sz w:val="32"/>
          <w:szCs w:val="32"/>
        </w:rPr>
        <w:t>4002.57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96.28</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8.44</w:t>
      </w:r>
      <w:r>
        <w:rPr>
          <w:rFonts w:ascii="方正仿宋_GBK" w:hAnsi="方正仿宋_GBK" w:eastAsia="方正仿宋_GBK" w:cs="方正仿宋_GBK"/>
          <w:sz w:val="32"/>
          <w:szCs w:val="32"/>
          <w:shd w:val="clear" w:color="auto" w:fill="FFFFFF"/>
        </w:rPr>
        <w:t>万元，占0.20%；经营收入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146.24</w:t>
      </w:r>
      <w:r>
        <w:rPr>
          <w:rFonts w:ascii="方正仿宋_GBK" w:hAnsi="方正仿宋_GBK" w:eastAsia="方正仿宋_GBK" w:cs="方正仿宋_GBK"/>
          <w:sz w:val="32"/>
          <w:szCs w:val="32"/>
          <w:shd w:val="clear" w:color="auto" w:fill="FFFFFF"/>
        </w:rPr>
        <w:t>万元，占3.52%。此外，使用非财政拨款结余和专用结余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180.46</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4269.14</w:t>
      </w:r>
      <w:r>
        <w:rPr>
          <w:rFonts w:ascii="方正仿宋_GBK" w:hAnsi="方正仿宋_GBK" w:eastAsia="方正仿宋_GBK" w:cs="方正仿宋_GBK"/>
          <w:sz w:val="32"/>
          <w:szCs w:val="32"/>
          <w:shd w:val="clear" w:color="auto" w:fill="FFFFFF"/>
        </w:rPr>
        <w:t>万元，较上年决算数增加1111.92万元，增长35.22%，主要原因是人员正常工资增长和统筹返还支出纳入本年决算。其中：基本支出</w:t>
      </w:r>
      <w:r>
        <w:rPr>
          <w:rFonts w:ascii="方正仿宋_GBK" w:hAnsi="方正仿宋_GBK" w:eastAsia="方正仿宋_GBK" w:cs="方正仿宋_GBK"/>
          <w:sz w:val="32"/>
          <w:szCs w:val="32"/>
        </w:rPr>
        <w:t>3223.63</w:t>
      </w:r>
      <w:r>
        <w:rPr>
          <w:rFonts w:ascii="方正仿宋_GBK" w:hAnsi="方正仿宋_GBK" w:eastAsia="方正仿宋_GBK" w:cs="方正仿宋_GBK"/>
          <w:sz w:val="32"/>
          <w:szCs w:val="32"/>
          <w:shd w:val="clear" w:color="auto" w:fill="FFFFFF"/>
        </w:rPr>
        <w:t>万元，占75.51%；项目支出</w:t>
      </w:r>
      <w:r>
        <w:rPr>
          <w:rFonts w:ascii="方正仿宋_GBK" w:hAnsi="方正仿宋_GBK" w:eastAsia="方正仿宋_GBK" w:cs="方正仿宋_GBK"/>
          <w:sz w:val="32"/>
          <w:szCs w:val="32"/>
        </w:rPr>
        <w:t>1045.51</w:t>
      </w:r>
      <w:r>
        <w:rPr>
          <w:rFonts w:ascii="方正仿宋_GBK" w:hAnsi="方正仿宋_GBK" w:eastAsia="方正仿宋_GBK" w:cs="方正仿宋_GBK"/>
          <w:sz w:val="32"/>
          <w:szCs w:val="32"/>
          <w:shd w:val="clear" w:color="auto" w:fill="FFFFFF"/>
        </w:rPr>
        <w:t>万元，占24.49%；经营支出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68.57</w:t>
      </w:r>
      <w:r>
        <w:rPr>
          <w:rFonts w:ascii="方正仿宋_GBK" w:hAnsi="方正仿宋_GBK" w:eastAsia="方正仿宋_GBK" w:cs="方正仿宋_GBK"/>
          <w:sz w:val="32"/>
          <w:szCs w:val="32"/>
          <w:shd w:val="clear" w:color="auto" w:fill="FFFFFF"/>
        </w:rPr>
        <w:t>万元，较上年决算数减少0.96万元，下降1.38%，主要原因是红十字会捐赠黄房子养育教室建设使用非财政拨款结转 。</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2023年度财政拨款收、支总计4113.51万元。与2022年相比，财政拨款收、支总计各增加975.75万元，增长31.10%。主要原因是人员正常工资增长和统筹返还收支纳入本年决算。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3379.19</w:t>
      </w:r>
      <w:r>
        <w:rPr>
          <w:rFonts w:ascii="方正仿宋_GBK" w:hAnsi="方正仿宋_GBK" w:eastAsia="方正仿宋_GBK" w:cs="方正仿宋_GBK"/>
          <w:sz w:val="32"/>
          <w:szCs w:val="32"/>
          <w:shd w:val="clear" w:color="auto" w:fill="FFFFFF"/>
        </w:rPr>
        <w:t>万元，较上年决算数增加364.32万元，增长12.08%。主要原因是人员正常工资增长。较年初预算数增加1010.85万元，增长42.68%。主要原因是人员正常工资增长和年中预算调整项目收入增加。此外，年初财政拨款结转和结余</w:t>
      </w:r>
      <w:r>
        <w:rPr>
          <w:rFonts w:ascii="方正仿宋_GBK" w:hAnsi="方正仿宋_GBK" w:eastAsia="方正仿宋_GBK" w:cs="方正仿宋_GBK"/>
          <w:sz w:val="32"/>
          <w:szCs w:val="32"/>
        </w:rPr>
        <w:t>110.93</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3490.12</w:t>
      </w:r>
      <w:r>
        <w:rPr>
          <w:rFonts w:ascii="方正仿宋_GBK" w:hAnsi="方正仿宋_GBK" w:eastAsia="方正仿宋_GBK" w:cs="方正仿宋_GBK"/>
          <w:sz w:val="32"/>
          <w:szCs w:val="32"/>
          <w:shd w:val="clear" w:color="auto" w:fill="FFFFFF"/>
        </w:rPr>
        <w:t>万元，较上年决算数增加475.25万元，增长15.76%。主要原因是人员正常工资增长和统筹返还支出纳入本年决算。较年初预算数增加1121.78万元，增长47.37%。主要原因是人员正常工资增长和统筹返还支出纳入本年决算以及年中预算调整项目支出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（1）教育支出</w:t>
      </w:r>
      <w:r>
        <w:rPr>
          <w:rFonts w:ascii="方正仿宋_GBK" w:hAnsi="方正仿宋_GBK" w:eastAsia="方正仿宋_GBK" w:cs="方正仿宋_GBK"/>
          <w:sz w:val="32"/>
          <w:szCs w:val="32"/>
        </w:rPr>
        <w:t>2866.48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82.13</w:t>
      </w:r>
      <w:r>
        <w:rPr>
          <w:rFonts w:ascii="方正仿宋_GBK" w:hAnsi="方正仿宋_GBK" w:eastAsia="方正仿宋_GBK" w:cs="方正仿宋_GBK"/>
          <w:sz w:val="32"/>
          <w:szCs w:val="32"/>
          <w:shd w:val="clear" w:color="auto" w:fill="FFFFFF"/>
        </w:rPr>
        <w:t>%，较年初预算数增加1069.50万元，增长59.52%，主要原因是人员正常工资增长和年中预算调整项目收入增加。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336.75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9.65</w:t>
      </w:r>
      <w:r>
        <w:rPr>
          <w:rFonts w:ascii="方正仿宋_GBK" w:hAnsi="方正仿宋_GBK" w:eastAsia="方正仿宋_GBK" w:cs="方正仿宋_GBK"/>
          <w:sz w:val="32"/>
          <w:szCs w:val="32"/>
          <w:shd w:val="clear" w:color="auto" w:fill="FFFFFF"/>
        </w:rPr>
        <w:t>%，较年初预算数增加34.67万元，增长11.48%，主要原因是基数调整增加。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135.34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3.88</w:t>
      </w:r>
      <w:r>
        <w:rPr>
          <w:rFonts w:ascii="方正仿宋_GBK" w:hAnsi="方正仿宋_GBK" w:eastAsia="方正仿宋_GBK" w:cs="方正仿宋_GBK"/>
          <w:sz w:val="32"/>
          <w:szCs w:val="32"/>
          <w:shd w:val="clear" w:color="auto" w:fill="FFFFFF"/>
        </w:rPr>
        <w:t>%，较年初预算数减少1.35万元，下降0.99%，主要原因是职工退休导致卫生健康支出下降。</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（4）农林水支出</w:t>
      </w:r>
      <w:r>
        <w:rPr>
          <w:rFonts w:ascii="方正仿宋_GBK" w:hAnsi="方正仿宋_GBK" w:eastAsia="方正仿宋_GBK" w:cs="方正仿宋_GBK"/>
          <w:sz w:val="32"/>
          <w:szCs w:val="32"/>
        </w:rPr>
        <w:t>21.89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0.63</w:t>
      </w:r>
      <w:r>
        <w:rPr>
          <w:rFonts w:ascii="方正仿宋_GBK" w:hAnsi="方正仿宋_GBK" w:eastAsia="方正仿宋_GBK" w:cs="方正仿宋_GBK"/>
          <w:sz w:val="32"/>
          <w:szCs w:val="32"/>
          <w:shd w:val="clear" w:color="auto" w:fill="FFFFFF"/>
        </w:rPr>
        <w:t>%，较年初预算数增加21.89万元，增长100.00%，主要原因是水天坪小学建设工程使用三峡后续基金支出。</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住房保障支出129.66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3.72</w:t>
      </w:r>
      <w:r>
        <w:rPr>
          <w:rFonts w:ascii="方正仿宋_GBK" w:hAnsi="方正仿宋_GBK" w:eastAsia="方正仿宋_GBK" w:cs="方正仿宋_GBK"/>
          <w:sz w:val="32"/>
          <w:szCs w:val="32"/>
          <w:shd w:val="clear" w:color="auto" w:fill="FFFFFF"/>
        </w:rPr>
        <w:t>%，较年初预算数减少2.93万元，下降2.21%，主要原因是财政追减2021年、2022年多交公积金。</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ind w:firstLine="640" w:firstLineChars="200"/>
        <w:rPr>
          <w:rFonts w:hint="default" w:ascii="仿宋" w:hAnsi="仿宋" w:eastAsia="仿宋"/>
          <w:color w:val="333333"/>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3067.99</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2822.15</w:t>
      </w:r>
      <w:r>
        <w:rPr>
          <w:rFonts w:ascii="方正仿宋_GBK" w:hAnsi="方正仿宋_GBK" w:eastAsia="方正仿宋_GBK" w:cs="方正仿宋_GBK"/>
          <w:sz w:val="32"/>
          <w:szCs w:val="32"/>
          <w:shd w:val="clear" w:color="auto" w:fill="FFFFFF"/>
        </w:rPr>
        <w:t>万元，较上年决算数增加247.19万元，增长9.60%，主要原因是人员工资和社会保障正常增加，清算兑现2021年超额绩效。人员经费用途主要包括基本工资、津贴补贴、绩效工资、社会保障缴费、其他福利支出等。公用经费</w:t>
      </w:r>
      <w:r>
        <w:rPr>
          <w:rFonts w:ascii="方正仿宋_GBK" w:hAnsi="方正仿宋_GBK" w:eastAsia="方正仿宋_GBK" w:cs="方正仿宋_GBK"/>
          <w:sz w:val="32"/>
          <w:szCs w:val="32"/>
        </w:rPr>
        <w:t>245.84</w:t>
      </w:r>
      <w:r>
        <w:rPr>
          <w:rFonts w:ascii="方正仿宋_GBK" w:hAnsi="方正仿宋_GBK" w:eastAsia="方正仿宋_GBK" w:cs="方正仿宋_GBK"/>
          <w:sz w:val="32"/>
          <w:szCs w:val="32"/>
          <w:shd w:val="clear" w:color="auto" w:fill="FFFFFF"/>
        </w:rPr>
        <w:t>万元，较上年决算数增加43.56万元，增长21.53%，主要原因是上年统筹返还支出纳入本年决算。公用经费用途主要包括办公费、印刷费、培训费、劳务费、工会经费、维修费、水费、电费、邮电费等。</w:t>
      </w:r>
    </w:p>
    <w:p>
      <w:pPr>
        <w:pStyle w:val="11"/>
        <w:autoSpaceDE w:val="0"/>
        <w:ind w:firstLine="0" w:firstLineChars="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623.39</w:t>
      </w:r>
      <w:r>
        <w:rPr>
          <w:rFonts w:ascii="方正仿宋_GBK" w:hAnsi="方正仿宋_GBK" w:eastAsia="方正仿宋_GBK" w:cs="方正仿宋_GBK"/>
          <w:sz w:val="32"/>
          <w:szCs w:val="32"/>
          <w:shd w:val="clear" w:color="auto" w:fill="FFFFFF"/>
        </w:rPr>
        <w:t>万元，较上年决算数增加500.50万元，增长407.27%，主要原因是地方专项债券资金安排水天坪幼儿园项目建设。本年支出</w:t>
      </w:r>
      <w:r>
        <w:rPr>
          <w:rFonts w:ascii="方正仿宋_GBK" w:hAnsi="方正仿宋_GBK" w:eastAsia="方正仿宋_GBK" w:cs="方正仿宋_GBK"/>
          <w:sz w:val="32"/>
          <w:szCs w:val="32"/>
        </w:rPr>
        <w:t>623.39</w:t>
      </w:r>
      <w:r>
        <w:rPr>
          <w:rFonts w:ascii="方正仿宋_GBK" w:hAnsi="方正仿宋_GBK" w:eastAsia="方正仿宋_GBK" w:cs="方正仿宋_GBK"/>
          <w:sz w:val="32"/>
          <w:szCs w:val="32"/>
          <w:shd w:val="clear" w:color="auto" w:fill="FFFFFF"/>
        </w:rPr>
        <w:t>万元，较上年决算数增加500.50万元，增长407.27%，主要原因是地方专项债券资金安排水天坪幼儿园项目建设。</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w:t>
      </w:r>
      <w:r>
        <w:rPr>
          <w:b/>
          <w:sz w:val="32"/>
          <w:szCs w:val="32"/>
          <w:shd w:val="clear" w:color="auto" w:fill="FFFFFF"/>
        </w:rPr>
        <w:t>本单位2023年度无国有资本经营预算财政拨款支出。</w:t>
      </w:r>
    </w:p>
    <w:p>
      <w:pPr>
        <w:pStyle w:val="6"/>
        <w:shd w:val="clear" w:color="auto" w:fill="FFFFFF"/>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三、“三公”经费情况说明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26.93</w:t>
      </w:r>
      <w:r>
        <w:rPr>
          <w:rFonts w:ascii="方正仿宋_GBK" w:hAnsi="方正仿宋_GBK" w:eastAsia="方正仿宋_GBK" w:cs="方正仿宋_GBK"/>
          <w:sz w:val="32"/>
          <w:szCs w:val="32"/>
          <w:shd w:val="clear" w:color="auto" w:fill="FFFFFF"/>
        </w:rPr>
        <w:t>万元，较上年决算数增加16.78万元，增长165.32%，主要原因一是为提高教育教学质量加大对教师的培训力度，二是统筹返还中一部分支出为培训费支出。</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2023年度本单位政府采购支出总额</w:t>
      </w:r>
      <w:r>
        <w:rPr>
          <w:rFonts w:ascii="方正仿宋_GBK" w:hAnsi="方正仿宋_GBK" w:eastAsia="方正仿宋_GBK" w:cs="方正仿宋_GBK"/>
          <w:sz w:val="32"/>
          <w:szCs w:val="32"/>
        </w:rPr>
        <w:t>9.60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9.60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 xml:space="preserve"> %。主要用于采购水天坪幼儿园项目电脑。</w:t>
      </w:r>
    </w:p>
    <w:p>
      <w:pPr>
        <w:pStyle w:val="6"/>
        <w:snapToGrid w:val="0"/>
        <w:spacing w:before="0" w:beforeAutospacing="0" w:after="0" w:afterAutospacing="0" w:line="600" w:lineRule="exact"/>
        <w:ind w:firstLine="643" w:firstLineChars="200"/>
        <w:jc w:val="both"/>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根据预算绩效管理要求，我单位对部门16个二级项目开展了绩效自评，涉及财政拨款项目支出资金1262.55万元.</w:t>
      </w:r>
    </w:p>
    <w:p>
      <w:pPr>
        <w:pStyle w:val="11"/>
        <w:numPr>
          <w:ilvl w:val="0"/>
          <w:numId w:val="1"/>
        </w:numPr>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单位绩效评价情况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市财政局未委托第三方对我单位开展绩效评价。</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 </w:t>
      </w:r>
      <w:r>
        <w:rPr>
          <w:rStyle w:val="10"/>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黑体" w:hAnsi="黑体" w:eastAsia="黑体" w:cs="黑体"/>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联系电话：宋兵       13896666066</w:t>
      </w:r>
    </w:p>
    <w:p>
      <w:pPr>
        <w:pStyle w:val="6"/>
        <w:snapToGrid w:val="0"/>
        <w:spacing w:before="0" w:beforeAutospacing="0" w:after="0" w:afterAutospacing="0" w:line="600" w:lineRule="exact"/>
        <w:ind w:firstLine="643" w:firstLineChars="200"/>
        <w:jc w:val="both"/>
        <w:rPr>
          <w:rStyle w:val="10"/>
          <w:rFonts w:hint="default"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15393" w:type="dxa"/>
        <w:tblInd w:w="0" w:type="dxa"/>
        <w:tblLayout w:type="fixed"/>
        <w:tblCellMar>
          <w:top w:w="0" w:type="dxa"/>
          <w:left w:w="0" w:type="dxa"/>
          <w:bottom w:w="0" w:type="dxa"/>
          <w:right w:w="0" w:type="dxa"/>
        </w:tblCellMar>
      </w:tblPr>
      <w:tblGrid>
        <w:gridCol w:w="5122"/>
        <w:gridCol w:w="2020"/>
        <w:gridCol w:w="4809"/>
        <w:gridCol w:w="3442"/>
      </w:tblGrid>
      <w:tr>
        <w:tblPrEx>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重庆市丰都县水天坪学校</w:t>
            </w:r>
          </w:p>
        </w:tc>
        <w:tc>
          <w:tcPr>
            <w:tcW w:w="4809"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3,379.19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8.44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3,022.11</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146.24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336.75</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135.34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129.66</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4,157.25</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4,269.14</w:t>
            </w: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180.46</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68.57</w:t>
            </w:r>
            <w:r>
              <w:rPr>
                <w:color w:val="000000"/>
                <w:sz w:val="20"/>
              </w:rPr>
              <w:t xml:space="preserve"> </w:t>
            </w:r>
          </w:p>
        </w:tc>
      </w:tr>
      <w:tr>
        <w:tblPrEx>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4,337.71</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4,337.71</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重庆市丰都县水天坪学校</w:t>
            </w: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4,157.25</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4,002.57</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8.44</w:t>
            </w: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146.24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2,910.22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2,910.22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2,755.54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8.44</w:t>
            </w:r>
            <w:r>
              <w:rPr>
                <w:b/>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146.24</w:t>
            </w:r>
            <w:r>
              <w:rPr>
                <w:b/>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110.56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2,799.66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2,644.98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8.44</w:t>
            </w: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146.24</w:t>
            </w: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129.66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3171"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7"/>
        <w:tblW w:w="15378" w:type="dxa"/>
        <w:tblInd w:w="0" w:type="dxa"/>
        <w:tblLayout w:type="fixed"/>
        <w:tblCellMar>
          <w:top w:w="0" w:type="dxa"/>
          <w:left w:w="0" w:type="dxa"/>
          <w:bottom w:w="0" w:type="dxa"/>
          <w:right w:w="0" w:type="dxa"/>
        </w:tblCellMar>
      </w:tblPr>
      <w:tblGrid>
        <w:gridCol w:w="1637"/>
        <w:gridCol w:w="4630"/>
        <w:gridCol w:w="1502"/>
        <w:gridCol w:w="1519"/>
        <w:gridCol w:w="1519"/>
        <w:gridCol w:w="1503"/>
        <w:gridCol w:w="1503"/>
        <w:gridCol w:w="1565"/>
      </w:tblGrid>
      <w:tr>
        <w:tblPrEx>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7769"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重庆市丰都县水天坪学校 </w:t>
            </w:r>
          </w:p>
        </w:tc>
        <w:tc>
          <w:tcPr>
            <w:tcW w:w="15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CellMar>
            <w:top w:w="0" w:type="dxa"/>
            <w:left w:w="0" w:type="dxa"/>
            <w:bottom w:w="0" w:type="dxa"/>
            <w:right w:w="0" w:type="dxa"/>
          </w:tblCellMar>
        </w:tblPrEx>
        <w:trPr>
          <w:trHeight w:val="342" w:hRule="atLeast"/>
        </w:trPr>
        <w:tc>
          <w:tcPr>
            <w:tcW w:w="7769"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03"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65"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6267"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0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1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50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5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637" w:type="dxa"/>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630" w:type="dxa"/>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637" w:type="dxa"/>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4630" w:type="dxa"/>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cs="宋体"/>
                <w:b/>
                <w:color w:val="000000"/>
                <w:sz w:val="20"/>
                <w:szCs w:val="20"/>
              </w:rPr>
            </w:pPr>
          </w:p>
        </w:tc>
        <w:tc>
          <w:tcPr>
            <w:tcW w:w="150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1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0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6267"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0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4,269.14</w:t>
            </w:r>
            <w:r>
              <w:rPr>
                <w:b/>
                <w:color w:val="000000"/>
                <w:sz w:val="20"/>
              </w:rPr>
              <w:t xml:space="preserve"> </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3,223.63</w:t>
            </w:r>
            <w:r>
              <w:rPr>
                <w:b/>
                <w:color w:val="000000"/>
                <w:sz w:val="20"/>
              </w:rPr>
              <w:t xml:space="preserve"> </w:t>
            </w:r>
          </w:p>
        </w:tc>
        <w:tc>
          <w:tcPr>
            <w:tcW w:w="15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1,045.51</w:t>
            </w:r>
            <w:r>
              <w:rPr>
                <w:b/>
                <w:color w:val="000000"/>
                <w:sz w:val="20"/>
              </w:rPr>
              <w:t xml:space="preserve"> </w:t>
            </w:r>
          </w:p>
        </w:tc>
        <w:tc>
          <w:tcPr>
            <w:tcW w:w="15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503"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56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3,022.11</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2,621.88</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400.23</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3,022.11</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2,621.88</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400.23</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138.94</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138.94</w:t>
            </w: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27.44</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0.44</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27.00</w:t>
            </w: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2,855.74</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2,621.44</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234.30</w:t>
            </w: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336.75</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173.65</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173.65</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124.06</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124.06</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39.03</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135.34</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87.05</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87.05</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48.29</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48.29</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21.89</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21.89</w:t>
            </w: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129.66</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129.66</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129.66</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22904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623.39</w:t>
            </w:r>
            <w:r>
              <w:rPr>
                <w:b/>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CellMar>
            <w:top w:w="0" w:type="dxa"/>
            <w:left w:w="0" w:type="dxa"/>
            <w:bottom w:w="0" w:type="dxa"/>
            <w:right w:w="0" w:type="dxa"/>
          </w:tblCellMar>
        </w:tblPrEx>
        <w:trPr>
          <w:trHeight w:val="382" w:hRule="atLeast"/>
        </w:trPr>
        <w:tc>
          <w:tcPr>
            <w:tcW w:w="163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2290402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50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623.39</w:t>
            </w: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0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5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3,379.19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623.39</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2,866.48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2,866.48</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336.75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135.34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21.89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623.39</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623.39</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4,002.57</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4,113.51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3,490.12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623.39</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110.93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110.93</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4,113.51</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4,113.51</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3,490.12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623.39</w:t>
            </w: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3,490.12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3,067.99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422.13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2,866.48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2,466.24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400.23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普通教育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2,866.48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2,466.24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400.23</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学前教育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138.94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138.94</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小学教育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27.44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2050203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初中教育</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2,700.10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2,465.80</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234.30</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336.75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173.65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173.65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124.06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39.03</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39.03</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135.34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135.34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87.05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48.29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21303</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水利</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21.89</w:t>
            </w:r>
            <w:r>
              <w:rPr>
                <w:b/>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2130399</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其他水利支出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21.89</w:t>
            </w: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129.66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129.66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129.66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7"/>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2,779.71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241.98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639.99</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7.72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128.18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6.49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3.86</w:t>
            </w: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bookmarkStart w:id="0" w:name="_GoBack"/>
            <w:bookmarkEnd w:id="0"/>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1,417.57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15.94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173.65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6.76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127.20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87.05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18.25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129.66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19.68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25.40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31.33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42.44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24.68</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39.03</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32.59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3.40</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53.59</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0.01</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0.02</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30.15</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cs="宋体"/>
                <w:color w:val="000000"/>
                <w:sz w:val="18"/>
                <w:szCs w:val="18"/>
              </w:rPr>
            </w:pPr>
          </w:p>
        </w:tc>
      </w:tr>
      <w:tr>
        <w:tblPrEx>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2,822.15</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245.84</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634"/>
        <w:gridCol w:w="4630"/>
        <w:gridCol w:w="1486"/>
        <w:gridCol w:w="1486"/>
        <w:gridCol w:w="1487"/>
        <w:gridCol w:w="1487"/>
        <w:gridCol w:w="1552"/>
        <w:gridCol w:w="1616"/>
      </w:tblGrid>
      <w:tr>
        <w:tblPrEx>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7750"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14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CellMar>
            <w:top w:w="0" w:type="dxa"/>
            <w:left w:w="0" w:type="dxa"/>
            <w:bottom w:w="0" w:type="dxa"/>
            <w:right w:w="0" w:type="dxa"/>
          </w:tblCellMar>
        </w:tblPrEx>
        <w:trPr>
          <w:trHeight w:val="329" w:hRule="atLeast"/>
        </w:trPr>
        <w:tc>
          <w:tcPr>
            <w:tcW w:w="7750"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6"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487"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552" w:type="dxa"/>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616"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6264"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48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4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452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61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63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63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4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5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63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463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5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1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626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623.39</w:t>
            </w:r>
            <w:r>
              <w:rPr>
                <w:b/>
                <w:color w:val="000000"/>
                <w:sz w:val="20"/>
              </w:rPr>
              <w:t xml:space="preserve"> </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CellMar>
            <w:top w:w="0" w:type="dxa"/>
            <w:left w:w="0" w:type="dxa"/>
            <w:bottom w:w="0" w:type="dxa"/>
            <w:right w:w="0" w:type="dxa"/>
          </w:tblCellMar>
        </w:tblPrEx>
        <w:trPr>
          <w:trHeight w:val="349" w:hRule="atLeast"/>
        </w:trPr>
        <w:tc>
          <w:tcPr>
            <w:tcW w:w="1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其他支出</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22904</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b/>
                <w:color w:val="000000"/>
                <w:sz w:val="20"/>
                <w:szCs w:val="20"/>
              </w:rPr>
              <w:t>其他政府性基金及对应专项债务收入安排的支出</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623.39</w:t>
            </w:r>
            <w:r>
              <w:rPr>
                <w:b/>
                <w:color w:val="000000"/>
                <w:sz w:val="20"/>
              </w:rPr>
              <w:t xml:space="preserve"> </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CellMar>
            <w:top w:w="0" w:type="dxa"/>
            <w:left w:w="0" w:type="dxa"/>
            <w:bottom w:w="0" w:type="dxa"/>
            <w:right w:w="0" w:type="dxa"/>
          </w:tblCellMar>
        </w:tblPrEx>
        <w:trPr>
          <w:trHeight w:val="349" w:hRule="atLeast"/>
        </w:trPr>
        <w:tc>
          <w:tcPr>
            <w:tcW w:w="1634"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2290402</w:t>
            </w:r>
          </w:p>
        </w:tc>
        <w:tc>
          <w:tcPr>
            <w:tcW w:w="4630"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r>
              <w:rPr>
                <w:rFonts w:cs="宋体"/>
                <w:color w:val="000000"/>
                <w:sz w:val="20"/>
                <w:szCs w:val="20"/>
              </w:rPr>
              <w:t>其他地方自行试点项目收益专项债券收入安排的支出</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48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623.39</w:t>
            </w:r>
            <w:r>
              <w:rPr>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623.39</w:t>
            </w:r>
            <w:r>
              <w:rPr>
                <w:color w:val="000000"/>
                <w:sz w:val="20"/>
              </w:rPr>
              <w:t xml:space="preserve"> </w:t>
            </w:r>
          </w:p>
        </w:tc>
        <w:tc>
          <w:tcPr>
            <w:tcW w:w="1487"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1552"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623.39</w:t>
            </w:r>
            <w:r>
              <w:rPr>
                <w:color w:val="000000"/>
                <w:sz w:val="20"/>
              </w:rPr>
              <w:t xml:space="preserve"> </w:t>
            </w:r>
          </w:p>
        </w:tc>
        <w:tc>
          <w:tcPr>
            <w:tcW w:w="1616"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7"/>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7"/>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重庆市丰都县水天坪学校</w:t>
            </w:r>
          </w:p>
        </w:tc>
        <w:tc>
          <w:tcPr>
            <w:tcW w:w="2115"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9.60</w:t>
            </w: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r>
        <w:tblPrEx>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26.93</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0"/>
          <w:szCs w:val="20"/>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p>
    <w:p>
      <w:pPr>
        <w:rPr>
          <w:rFonts w:hint="default" w:cs="宋体"/>
          <w:sz w:val="20"/>
          <w:szCs w:val="20"/>
        </w:rPr>
      </w:pPr>
    </w:p>
    <w:p>
      <w:pPr>
        <w:rPr>
          <w:rFonts w:hint="default"/>
        </w:rPr>
      </w:pPr>
      <w:r>
        <w:drawing>
          <wp:inline distT="0" distB="0" distL="114300" distR="114300">
            <wp:extent cx="8851265" cy="4518025"/>
            <wp:effectExtent l="0" t="0" r="6985" b="158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307840"/>
            <wp:effectExtent l="0" t="0" r="6985" b="1651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8"/>
                    <a:stretch>
                      <a:fillRect/>
                    </a:stretch>
                  </pic:blipFill>
                  <pic:spPr>
                    <a:xfrm>
                      <a:off x="0" y="0"/>
                      <a:ext cx="8851265" cy="4307840"/>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0"/>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4"/>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307840"/>
            <wp:effectExtent l="0" t="0" r="6985" b="165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5"/>
                    <a:stretch>
                      <a:fillRect/>
                    </a:stretch>
                  </pic:blipFill>
                  <pic:spPr>
                    <a:xfrm>
                      <a:off x="0" y="0"/>
                      <a:ext cx="8851265" cy="4307840"/>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6"/>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307840"/>
            <wp:effectExtent l="0" t="0" r="6985" b="1651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8"/>
                    <a:stretch>
                      <a:fillRect/>
                    </a:stretch>
                  </pic:blipFill>
                  <pic:spPr>
                    <a:xfrm>
                      <a:off x="0" y="0"/>
                      <a:ext cx="8851265" cy="4307840"/>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9"/>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0"/>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518025"/>
            <wp:effectExtent l="0" t="0" r="6985" b="1587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1"/>
                    <a:stretch>
                      <a:fillRect/>
                    </a:stretch>
                  </pic:blipFill>
                  <pic:spPr>
                    <a:xfrm>
                      <a:off x="0" y="0"/>
                      <a:ext cx="8851265" cy="4518025"/>
                    </a:xfrm>
                    <a:prstGeom prst="rect">
                      <a:avLst/>
                    </a:prstGeom>
                    <a:noFill/>
                    <a:ln>
                      <a:noFill/>
                    </a:ln>
                  </pic:spPr>
                </pic:pic>
              </a:graphicData>
            </a:graphic>
          </wp:inline>
        </w:drawing>
      </w:r>
    </w:p>
    <w:p>
      <w:pPr>
        <w:rPr>
          <w:rFonts w:hint="default"/>
        </w:rPr>
      </w:pPr>
    </w:p>
    <w:p>
      <w:pPr>
        <w:rPr>
          <w:rFonts w:hint="default"/>
        </w:rPr>
      </w:pPr>
      <w:r>
        <w:drawing>
          <wp:inline distT="0" distB="0" distL="114300" distR="114300">
            <wp:extent cx="8851265" cy="4307840"/>
            <wp:effectExtent l="0" t="0" r="6985" b="1651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2"/>
                    <a:stretch>
                      <a:fillRect/>
                    </a:stretch>
                  </pic:blipFill>
                  <pic:spPr>
                    <a:xfrm>
                      <a:off x="0" y="0"/>
                      <a:ext cx="8851265" cy="4307840"/>
                    </a:xfrm>
                    <a:prstGeom prst="rect">
                      <a:avLst/>
                    </a:prstGeom>
                    <a:noFill/>
                    <a:ln>
                      <a:noFill/>
                    </a:ln>
                  </pic:spPr>
                </pic:pic>
              </a:graphicData>
            </a:graphic>
          </wp:inline>
        </w:drawing>
      </w:r>
    </w:p>
    <w:p>
      <w:pPr>
        <w:rPr>
          <w:rFonts w:hint="default"/>
        </w:rPr>
      </w:pPr>
    </w:p>
    <w:p>
      <w:pPr>
        <w:rPr>
          <w:rFonts w:hint="default"/>
        </w:rPr>
      </w:pPr>
    </w:p>
    <w:p>
      <w:pPr>
        <w:rPr>
          <w:rFonts w:hint="default" w:cs="宋体"/>
          <w:sz w:val="21"/>
          <w:szCs w:val="21"/>
        </w:rPr>
      </w:pP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6385" cy="147955"/>
              <wp:effectExtent l="0" t="0" r="0" b="0"/>
              <wp:wrapNone/>
              <wp:docPr id="3" name="Text Box 2"/>
              <wp:cNvGraphicFramePr/>
              <a:graphic xmlns:a="http://schemas.openxmlformats.org/drawingml/2006/main">
                <a:graphicData uri="http://schemas.microsoft.com/office/word/2010/wordprocessingShape">
                  <wps:wsp>
                    <wps:cNvSpPr txBox="1">
                      <a:spLocks noChangeArrowheads="1"/>
                    </wps:cNvSpPr>
                    <wps:spPr bwMode="auto">
                      <a:xfrm>
                        <a:off x="0" y="0"/>
                        <a:ext cx="286385" cy="147955"/>
                      </a:xfrm>
                      <a:prstGeom prst="rect">
                        <a:avLst/>
                      </a:prstGeom>
                      <a:noFill/>
                      <a:ln>
                        <a:noFill/>
                      </a:ln>
                    </wps:spPr>
                    <wps:txbx>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65pt;width:22.55pt;mso-position-horizontal:center;mso-position-horizontal-relative:margin;mso-wrap-style:none;z-index:251661312;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x6Oy3/sBAAABBAAADgAAAGRycy9lMm9Eb2MueG1srVPBbtswDL0P&#10;2D8Iui9O0qXLjDhF1yDDgK4b0O4DZFmOhVmiQCmxs68fJdtZ11162MWgKerxvUdqc9Oblp0Ueg22&#10;4IvZnDNlJVTaHgr+42n/bs2ZD8JWogWrCn5Wnt9s377ZdC5XS2igrRQyArE+71zBmxBcnmVeNsoI&#10;PwOnLB3WgEYE+sVDVqHoCN202XI+v846wMohSOU9ZXfDIR8R8TWAUNdaqh3Io1E2DKioWhFIkm+0&#10;83yb2Na1kuFbXXsVWFtwUhrSl5pQXMZvtt2I/IDCNVqOFMRrKLzQZIS21PQCtRNBsCPqf6CMlgge&#10;6jCTYLJBSHKEVCzmL7x5bIRTSQtZ7d3FdP//YOXD6TsyXRX8ijMrDA38SfWBfYKeLaM7nfM5FT06&#10;Kgs9pWlnklLv7kH+9MzCXSPsQd0iQtcoURG7RbyZPbs64PgIUnZfoaI24hggAfU1mmgdmcEInSZz&#10;vkwmUpGUXK6vr9YrziQdLd5/+LhapQ4iny479OGzAsNiUHCkwSdwcbr3IZIR+VQSe1nY67ZNw2/t&#10;XwkqjJlEPvIdmIe+7EczSqjOJANh2CV6SRQ0gL8462iPCm7p2XDWfrFkRFy5KcApKKdAWEkXCx44&#10;G8K7MKzm0aE+NIQ7WX1LZu11EhJdHTiMLGkzkr5xi+PqPf9PVX9e7v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8bMdIAAAADAQAADwAAAAAAAAABACAAAAAiAAAAZHJzL2Rvd25yZXYueG1sUEsB&#10;AhQAFAAAAAgAh07iQMejst/7AQAAAQQAAA4AAAAAAAAAAQAgAAAAIQEAAGRycy9lMm9Eb2MueG1s&#10;UEsFBgAAAAAGAAYAWQEAAI4FAAAAAA==&#10;">
              <v:fill on="f" focussize="0,0"/>
              <v:stroke on="f"/>
              <v:imagedata o:title=""/>
              <o:lock v:ext="edit" aspectratio="f"/>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- 10 -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400685" cy="147955"/>
              <wp:effectExtent l="0" t="0" r="0" b="0"/>
              <wp:wrapNone/>
              <wp:docPr id="2" name="Text Box 4"/>
              <wp:cNvGraphicFramePr/>
              <a:graphic xmlns:a="http://schemas.openxmlformats.org/drawingml/2006/main">
                <a:graphicData uri="http://schemas.microsoft.com/office/word/2010/wordprocessingShape">
                  <wps:wsp>
                    <wps:cNvSpPr txBox="1">
                      <a:spLocks noChangeArrowheads="1"/>
                    </wps:cNvSpPr>
                    <wps:spPr bwMode="auto">
                      <a:xfrm>
                        <a:off x="0" y="0"/>
                        <a:ext cx="400685" cy="147955"/>
                      </a:xfrm>
                      <a:prstGeom prst="rect">
                        <a:avLst/>
                      </a:prstGeom>
                      <a:noFill/>
                      <a:ln>
                        <a:noFill/>
                      </a:ln>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65pt;width:31.55pt;mso-position-horizontal:center;mso-position-horizontal-relative:margin;mso-wrap-style:none;z-index:251660288;mso-width-relative:page;mso-height-relative:page;" filled="f" stroked="f" coordsize="21600,21600" o:allowoverlap="f" o:gfxdata="UEsDBAoAAAAAAIdO4kAAAAAAAAAAAAAAAAAEAAAAZHJzL1BLAwQUAAAACACHTuJAGUOo8tEAAAAD&#10;AQAADwAAAGRycy9kb3ducmV2LnhtbE2PwWrDMBBE74X8g9hAb43sGNLgWs4h0EtvTUuht421sUyl&#10;lZEUx/77qr20l4Vhhpm3zWF2VkwU4uBZQbkpQBB3Xg/cK3h/e37Yg4gJWaP1TAoWinBoV3cN1trf&#10;+JWmU+pFLuFYowKT0lhLGTtDDuPGj8TZu/jgMGUZeqkD3nK5s3JbFDvpcOC8YHCko6Hu63R1Ch7n&#10;D09jpCN9XqYumGHZ25dFqft1WTyBSDSnvzD84Gd0aDPT2V9ZR2EV5EfS783eripBnBVsqwpk28j/&#10;7O03UEsDBBQAAAAIAIdO4kB/MUHY+gEAAAEEAAAOAAAAZHJzL2Uyb0RvYy54bWytU8Fu2zAMvQ/Y&#10;Pwi6L06CZOuMOEXXIMOAbh3Q9gNkWY6FWaJAKbGzrx8l21nXXnrYxaAp6vG9R2pz3ZuWnRR6Dbbg&#10;i9mcM2UlVNoeCv70uP9wxZkPwlaiBasKflaeX2/fv9t0LldLaKCtFDICsT7vXMGbEFyeZV42ygg/&#10;A6csHdaARgT6xUNWoegI3bTZcj7/mHWAlUOQynvK7oZDPiLiWwChrrVUO5BHo2wYUFG1IpAk32jn&#10;+TaxrWslw31dexVYW3BSGtKXmlBcxm+23Yj8gMI1Wo4UxFsovNBkhLbU9AK1E0GwI+pXUEZLBA91&#10;mEkw2SAkOUIqFvMX3jw0wqmkhaz27mK6/3+w8sfpJzJdFXzJmRWGBv6o+sC+QM9W0Z3O+ZyKHhyV&#10;hZ7StDNJqXd3IH95ZuG2EfagbhCha5SoiN0i3syeXR1wfAQpu+9QURtxDJCA+hpNtI7MYIROkzlf&#10;JhOpSEquaHGu1pxJOlqsPn1er1MHkU+XHfrwVYFhMSg40uATuDjd+RDJiHwqib0s7HXbpuG39p8E&#10;FcZMIh/5DsxDX/ajGSVUZ5KBMOwSvSQKGsDfnHW0RwW39Gw4a79ZMiKu3BTgFJRTIKykiwUPnA3h&#10;bRhW8+hQHxrCnay+IbP2OgmJrg4cRpa0GUnfuMVx9Z7/p6q/L3f7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lDqPLRAAAAAwEAAA8AAAAAAAAAAQAgAAAAIgAAAGRycy9kb3ducmV2LnhtbFBLAQIU&#10;ABQAAAAIAIdO4kB/MUHY+gEAAAEEAAAOAAAAAAAAAAEAIAAAACABAABkcnMvZTJvRG9jLnhtbFBL&#10;BQYAAAAABgAGAFkBAACMBQAAAAA=&#10;">
              <v:fill on="f" focussize="0,0"/>
              <v:stroke on="f"/>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22 -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572135" cy="220980"/>
              <wp:effectExtent l="0" t="1905" r="0" b="0"/>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572135" cy="220980"/>
                      </a:xfrm>
                      <a:prstGeom prst="rect">
                        <a:avLst/>
                      </a:prstGeom>
                      <a:noFill/>
                      <a:ln>
                        <a:noFill/>
                      </a:ln>
                    </wps:spPr>
                    <wps:txbx>
                      <w:txbxContent>
                        <w:p>
                          <w:pPr>
                            <w:pStyle w:val="3"/>
                            <w:jc w:val="both"/>
                            <w:rPr>
                              <w:rFonts w:hint="default" w:cs="宋体"/>
                            </w:rPr>
                          </w:pPr>
                          <w:r>
                            <w:rPr>
                              <w:rFonts w:cs="宋体"/>
                            </w:rPr>
                            <w:t>— 27.1 —</w:t>
                          </w:r>
                        </w:p>
                      </w:txbxContent>
                    </wps:txbx>
                    <wps:bodyPr rot="0" vert="horz" wrap="none" lIns="0" tIns="0" rIns="0" bIns="0" anchor="t" anchorCtr="0" upright="1">
                      <a:noAutofit/>
                    </wps:bodyPr>
                  </wps:wsp>
                </a:graphicData>
              </a:graphic>
            </wp:anchor>
          </w:drawing>
        </mc:Choice>
        <mc:Fallback>
          <w:pict>
            <v:shape id="Text Box 3" o:spid="_x0000_s1026" o:spt="202" type="#_x0000_t202" style="position:absolute;left:0pt;margin-top:1160.4pt;height:17.4pt;width:45.05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DJfoUNYAAAAJ&#10;AQAADwAAAGRycy9kb3ducmV2LnhtbE2PwU7DMAyG70i8Q2QkbixJ0aZRmu6A4MikjV24pY3Xdmuc&#10;qkm38vZ4Jzjav/X7+4rN7HtxwTF2gQzohQKBVAfXUWPg8PXxtAYRkyVn+0Bo4AcjbMr7u8LmLlxp&#10;h5d9agSXUMytgTalIZcy1i16GxdhQOLsGEZvE49jI91or1zue5kptZLedsQfWjvgW4v1eT95A8fP&#10;7fn0Pu3UqVFr/NYjzpXeGvP4oNUriIRz+juGGz6jQ8lMVZjIRdEbYJFkIHvOFBtw/qI0iOq2WS5X&#10;IMtC/jcofwFQSwMEFAAAAAgAh07iQPR4q4X7AQAAAQQAAA4AAABkcnMvZTJvRG9jLnhtbK1TwW7b&#10;MAy9D9g/CLovTlJ064w4Rdegw4BuHdDuAxhZjoVZokApsbOvHyXHWdddethFoCjq6b1HanU92E4c&#10;NAWDrpKL2VwK7RTWxu0q+ePp7t2VFCGCq6FDpyt51EFer9++WfW+1Etssas1CQZxoex9JdsYfVkU&#10;QbXaQpih144PGyQLkbe0K2qCntFtVyzn8/dFj1R7QqVD4OxmPJQnRHoNIDaNUXqDam+1iyMq6Q4i&#10;Swqt8UGuM9um0So+NE3QUXSVZKUxr/wIx9u0FusVlDsC3xp1ogCvofBCkwXj+NEz1AYiiD2Zf6Cs&#10;UYQBmzhTaItRSHaEVSzmL7x5bMHrrIWtDv5sevh/sOrb4TsJU/MkSOHAcsOf9BDFJxzERXKn96Hk&#10;okfPZXHgdKpMSoO/R/UzCIe3LbidviHCvtVQM7tFulk8uzrihASy7b9izc/APmIGGhqyCZDNEIzO&#10;nTmeO5OoKE5eflguLi6lUHy0XM4/XuXOFVBOlz2F+FmjFSmoJHHjMzgc7kNMZKCcStJbDu9M1+Xm&#10;d+6vBBemTCaf+I7M47AdTmZssT6yDMJxlvgncdAi/ZKi5zmqpONvI0X3xbERaeSmgKZgOwXgFF+s&#10;ZJRiDG/jOJp7T2bXMu5otcMbNqsxWUhydeRwYsmTkfWdpjiN3vN9rvrzc9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AyX6FDWAAAACQEAAA8AAAAAAAAAAQAgAAAAIgAAAGRycy9kb3ducmV2Lnht&#10;bFBLAQIUABQAAAAIAIdO4kD0eKuF+wEAAAEEAAAOAAAAAAAAAAEAIAAAACUBAABkcnMvZTJvRG9j&#10;LnhtbFBLBQYAAAAABgAGAFkBAACSBQAAAAA=&#10;">
              <v:fill on="f" focussize="0,0"/>
              <v:stroke on="f"/>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13FD1"/>
    <w:multiLevelType w:val="singleLevel"/>
    <w:tmpl w:val="A4113FD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ZjA4MmFkODMzZWExNmM3NDA4MGM4MjBiMzVjMTgifQ=="/>
    <w:docVar w:name="KSO_WPS_MARK_KEY" w:val="f661b9f1-725c-4823-b998-47e440d07b2b"/>
  </w:docVars>
  <w:rsids>
    <w:rsidRoot w:val="00B03CCD"/>
    <w:rsid w:val="00004C2E"/>
    <w:rsid w:val="000A081D"/>
    <w:rsid w:val="000D4B23"/>
    <w:rsid w:val="00112E91"/>
    <w:rsid w:val="001D3BB7"/>
    <w:rsid w:val="001D4174"/>
    <w:rsid w:val="002227B0"/>
    <w:rsid w:val="00267D25"/>
    <w:rsid w:val="002B254B"/>
    <w:rsid w:val="003017BE"/>
    <w:rsid w:val="00312C5E"/>
    <w:rsid w:val="00326FD6"/>
    <w:rsid w:val="00466C9B"/>
    <w:rsid w:val="00550ABE"/>
    <w:rsid w:val="005C03AB"/>
    <w:rsid w:val="0060081A"/>
    <w:rsid w:val="006029DD"/>
    <w:rsid w:val="00636D34"/>
    <w:rsid w:val="006536EB"/>
    <w:rsid w:val="00770383"/>
    <w:rsid w:val="007819D4"/>
    <w:rsid w:val="007B2BBE"/>
    <w:rsid w:val="007B419D"/>
    <w:rsid w:val="007B7C4B"/>
    <w:rsid w:val="007D3D39"/>
    <w:rsid w:val="00870252"/>
    <w:rsid w:val="008C64FC"/>
    <w:rsid w:val="00994AF7"/>
    <w:rsid w:val="009B67B8"/>
    <w:rsid w:val="009C7CB3"/>
    <w:rsid w:val="009D2B67"/>
    <w:rsid w:val="00A01683"/>
    <w:rsid w:val="00A450B4"/>
    <w:rsid w:val="00A54689"/>
    <w:rsid w:val="00A566F9"/>
    <w:rsid w:val="00A81E9C"/>
    <w:rsid w:val="00AF2751"/>
    <w:rsid w:val="00B03CCD"/>
    <w:rsid w:val="00BE2B89"/>
    <w:rsid w:val="00C10E9E"/>
    <w:rsid w:val="00C20C3E"/>
    <w:rsid w:val="00C6125D"/>
    <w:rsid w:val="00D1123D"/>
    <w:rsid w:val="00DA15A7"/>
    <w:rsid w:val="00E078FF"/>
    <w:rsid w:val="00E95C73"/>
    <w:rsid w:val="00F73F90"/>
    <w:rsid w:val="00FA7074"/>
    <w:rsid w:val="00FE0849"/>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B96899"/>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F072E6"/>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1412A4"/>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6E5273"/>
    <w:rsid w:val="6EFD1324"/>
    <w:rsid w:val="6F5A53AC"/>
    <w:rsid w:val="6FAC003D"/>
    <w:rsid w:val="6FE55E12"/>
    <w:rsid w:val="6FFB2E76"/>
    <w:rsid w:val="708F6F7F"/>
    <w:rsid w:val="70D94BD3"/>
    <w:rsid w:val="71966DB8"/>
    <w:rsid w:val="71C34D91"/>
    <w:rsid w:val="72DB435C"/>
    <w:rsid w:val="72E2613A"/>
    <w:rsid w:val="72F771F4"/>
    <w:rsid w:val="73934AD2"/>
    <w:rsid w:val="750837F0"/>
    <w:rsid w:val="754758CF"/>
    <w:rsid w:val="764D1EB3"/>
    <w:rsid w:val="764F62AB"/>
    <w:rsid w:val="765C45EC"/>
    <w:rsid w:val="768A7619"/>
    <w:rsid w:val="772E1EBA"/>
    <w:rsid w:val="781926BC"/>
    <w:rsid w:val="796D60A4"/>
    <w:rsid w:val="79A031D5"/>
    <w:rsid w:val="7A1525F7"/>
    <w:rsid w:val="7AB869E0"/>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qFormat/>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8158</Words>
  <Characters>10573</Characters>
  <Lines>97</Lines>
  <Paragraphs>27</Paragraphs>
  <TotalTime>4</TotalTime>
  <ScaleCrop>false</ScaleCrop>
  <LinksUpToDate>false</LinksUpToDate>
  <CharactersWithSpaces>11741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2024-09-23T04:40:00Z</dcterms:created>
  <dc:creator>Administrator</dc:creator>
  <cp:lastModifiedBy>Administrator</cp:lastModifiedBy>
  <dcterms:modified xsi:type="dcterms:W3CDTF">2024-09-27T07:49:11Z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