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0" w:beforeAutospacing="0"/>
        <w:jc w:val="center"/>
        <w:rPr>
          <w:rFonts w:hint="default" w:ascii="方正小标宋_GBK" w:hAnsi="方正小标宋_GBK" w:eastAsia="方正小标宋_GBK" w:cs="方正小标宋_GBK"/>
          <w:sz w:val="36"/>
          <w:szCs w:val="36"/>
        </w:rPr>
      </w:pPr>
      <w:r>
        <w:rPr>
          <w:rFonts w:ascii="方正小标宋_GBK" w:hAnsi="方正小标宋_GBK" w:eastAsia="方正小标宋_GBK" w:cs="方正小标宋_GBK"/>
          <w:sz w:val="36"/>
          <w:szCs w:val="36"/>
        </w:rPr>
        <w:t>重庆市丰都县水天坪幼儿园</w:t>
      </w:r>
    </w:p>
    <w:p>
      <w:pPr>
        <w:pStyle w:val="6"/>
        <w:spacing w:before="0" w:beforeAutospacing="0"/>
        <w:jc w:val="center"/>
        <w:rPr>
          <w:rFonts w:hint="default" w:ascii="方正小标宋_GBK" w:hAnsi="方正小标宋_GBK" w:eastAsia="方正小标宋_GBK" w:cs="方正小标宋_GBK"/>
          <w:sz w:val="36"/>
          <w:szCs w:val="36"/>
          <w:shd w:val="clear" w:color="auto" w:fill="FFFFFF"/>
        </w:rPr>
      </w:pPr>
      <w:r>
        <w:rPr>
          <w:rFonts w:ascii="方正小标宋_GBK" w:hAnsi="方正小标宋_GBK" w:eastAsia="方正小标宋_GBK" w:cs="方正小标宋_GBK"/>
          <w:sz w:val="36"/>
          <w:szCs w:val="36"/>
          <w:shd w:val="clear" w:color="auto" w:fill="FFFFFF"/>
        </w:rPr>
        <w:t>2023年度决算公开说明</w:t>
      </w:r>
    </w:p>
    <w:p>
      <w:pPr>
        <w:pStyle w:val="6"/>
        <w:shd w:val="clear" w:color="auto" w:fill="FFFFFF"/>
        <w:rPr>
          <w:rFonts w:hint="default" w:ascii="黑体" w:hAnsi="黑体" w:eastAsia="黑体" w:cs="黑体"/>
          <w:sz w:val="32"/>
          <w:szCs w:val="32"/>
        </w:rPr>
      </w:pPr>
      <w:r>
        <w:rPr>
          <w:rStyle w:val="10"/>
          <w:rFonts w:ascii="黑体" w:hAnsi="黑体" w:eastAsia="黑体" w:cs="黑体"/>
          <w:sz w:val="32"/>
          <w:szCs w:val="32"/>
          <w:shd w:val="clear" w:color="auto" w:fill="FFFFFF"/>
        </w:rPr>
        <w:t>一、单位基本情况</w:t>
      </w:r>
    </w:p>
    <w:p>
      <w:pPr>
        <w:pStyle w:val="6"/>
        <w:shd w:val="clear" w:color="auto" w:fill="FFFFFF"/>
        <w:ind w:firstLine="420"/>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（一）职能职责</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实施学前教育,促进学前教育发展。承担辖区内学前教育;推进课程改革和教法学法改革;提高学生综合素质;培养学生多样化发展;培养学生良好品德;从事学前教育的相关社会服务。</w:t>
      </w:r>
    </w:p>
    <w:p>
      <w:pPr>
        <w:pStyle w:val="6"/>
        <w:shd w:val="clear" w:color="auto" w:fill="FFFFFF"/>
        <w:ind w:firstLine="420"/>
        <w:rPr>
          <w:rFonts w:hint="default" w:ascii="楷体" w:hAnsi="楷体" w:eastAsia="楷体" w:cs="楷体"/>
          <w:sz w:val="32"/>
          <w:szCs w:val="32"/>
        </w:rPr>
      </w:pPr>
      <w:r>
        <w:rPr>
          <w:rStyle w:val="10"/>
          <w:rFonts w:ascii="楷体" w:hAnsi="楷体" w:eastAsia="楷体" w:cs="楷体"/>
          <w:sz w:val="32"/>
          <w:szCs w:val="32"/>
          <w:shd w:val="clear" w:color="auto" w:fill="FFFFFF"/>
        </w:rPr>
        <w:t>（二）机构设置</w:t>
      </w:r>
    </w:p>
    <w:p>
      <w:pPr>
        <w:shd w:val="clear" w:color="auto" w:fill="FFFFFF"/>
        <w:spacing w:line="420" w:lineRule="atLeast"/>
        <w:ind w:firstLine="480"/>
        <w:rPr>
          <w:rFonts w:hint="default" w:ascii="方正仿宋简体" w:hAnsi="方正仿宋简体" w:eastAsia="方正仿宋简体" w:cs="方正仿宋简体"/>
          <w:color w:val="333333"/>
          <w:sz w:val="32"/>
          <w:szCs w:val="32"/>
        </w:rPr>
      </w:pPr>
      <w:r>
        <w:rPr>
          <w:rFonts w:ascii="方正仿宋简体" w:hAnsi="方正仿宋简体" w:eastAsia="方正仿宋简体" w:cs="方正仿宋简体"/>
          <w:color w:val="FF0000"/>
          <w:sz w:val="32"/>
          <w:szCs w:val="32"/>
        </w:rPr>
        <w:t> </w:t>
      </w:r>
      <w:r>
        <w:rPr>
          <w:rFonts w:ascii="方正仿宋_GBK" w:hAnsi="方正仿宋_GBK" w:eastAsia="方正仿宋_GBK" w:cs="方正仿宋_GBK"/>
          <w:sz w:val="32"/>
          <w:szCs w:val="32"/>
          <w:shd w:val="clear" w:color="auto" w:fill="FFFFFF"/>
        </w:rPr>
        <w:t>本单位内部常设机构主要有园长办、党政办、教务处、德育处、后勤处。</w:t>
      </w:r>
    </w:p>
    <w:p>
      <w:pPr>
        <w:pStyle w:val="6"/>
        <w:shd w:val="clear" w:color="auto" w:fill="FFFFFF"/>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二、单位决算情况说明</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6"/>
        <w:shd w:val="clear" w:color="auto" w:fill="FFFFFF"/>
        <w:ind w:firstLine="643"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2023年度收入总计373.54万元，支出总计</w:t>
      </w:r>
      <w:r>
        <w:rPr>
          <w:rFonts w:ascii="方正仿宋_GBK" w:hAnsi="方正仿宋_GBK" w:eastAsia="方正仿宋_GBK" w:cs="方正仿宋_GBK"/>
          <w:sz w:val="32"/>
          <w:szCs w:val="32"/>
        </w:rPr>
        <w:t>373.54</w:t>
      </w:r>
      <w:r>
        <w:rPr>
          <w:rFonts w:ascii="方正仿宋_GBK" w:hAnsi="方正仿宋_GBK" w:eastAsia="方正仿宋_GBK" w:cs="方正仿宋_GBK"/>
          <w:sz w:val="32"/>
          <w:szCs w:val="32"/>
          <w:shd w:val="clear" w:color="auto" w:fill="FFFFFF"/>
        </w:rPr>
        <w:t>万元。收支较上年决算数增加85.34万元，增长29.61%，主要原因是人员正常工资增加和统筹返还支出纳入本年决算。</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2023年度收入合计261.75万元，较上年决算数减少11.28万元，下降4.13%，主要原因是学生人数减少。其中：财政拨款收入</w:t>
      </w:r>
      <w:r>
        <w:rPr>
          <w:rFonts w:ascii="方正仿宋_GBK" w:hAnsi="方正仿宋_GBK" w:eastAsia="方正仿宋_GBK" w:cs="方正仿宋_GBK"/>
          <w:sz w:val="32"/>
          <w:szCs w:val="32"/>
        </w:rPr>
        <w:t>154.19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58.91</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100.08</w:t>
      </w:r>
      <w:r>
        <w:rPr>
          <w:rFonts w:ascii="方正仿宋_GBK" w:hAnsi="方正仿宋_GBK" w:eastAsia="方正仿宋_GBK" w:cs="方正仿宋_GBK"/>
          <w:sz w:val="32"/>
          <w:szCs w:val="32"/>
          <w:shd w:val="clear" w:color="auto" w:fill="FFFFFF"/>
        </w:rPr>
        <w:t>万元，占38.23%；经营收入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7.48</w:t>
      </w:r>
      <w:r>
        <w:rPr>
          <w:rFonts w:ascii="方正仿宋_GBK" w:hAnsi="方正仿宋_GBK" w:eastAsia="方正仿宋_GBK" w:cs="方正仿宋_GBK"/>
          <w:sz w:val="32"/>
          <w:szCs w:val="32"/>
          <w:shd w:val="clear" w:color="auto" w:fill="FFFFFF"/>
        </w:rPr>
        <w:t>万元，占2.86%。此外，使用非财政拨款结余和专用结余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111.79</w:t>
      </w:r>
      <w:r>
        <w:rPr>
          <w:rFonts w:ascii="方正仿宋_GBK" w:hAnsi="方正仿宋_GBK" w:eastAsia="方正仿宋_GBK" w:cs="方正仿宋_GBK"/>
          <w:sz w:val="32"/>
          <w:szCs w:val="32"/>
          <w:shd w:val="clear" w:color="auto" w:fill="FFFFFF"/>
        </w:rPr>
        <w:t>万元。</w:t>
      </w:r>
    </w:p>
    <w:p>
      <w:pPr>
        <w:pStyle w:val="6"/>
        <w:shd w:val="clear" w:color="auto" w:fill="FFFFFF"/>
        <w:ind w:firstLine="643" w:firstLineChars="200"/>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2023年度支出合计</w:t>
      </w:r>
      <w:r>
        <w:rPr>
          <w:rFonts w:ascii="方正仿宋_GBK" w:hAnsi="方正仿宋_GBK" w:eastAsia="方正仿宋_GBK" w:cs="方正仿宋_GBK"/>
          <w:sz w:val="32"/>
          <w:szCs w:val="32"/>
        </w:rPr>
        <w:t>335.49</w:t>
      </w:r>
      <w:r>
        <w:rPr>
          <w:rFonts w:ascii="方正仿宋_GBK" w:hAnsi="方正仿宋_GBK" w:eastAsia="方正仿宋_GBK" w:cs="方正仿宋_GBK"/>
          <w:sz w:val="32"/>
          <w:szCs w:val="32"/>
          <w:shd w:val="clear" w:color="auto" w:fill="FFFFFF"/>
        </w:rPr>
        <w:t>万元，较上年决算数增加77.00万元，增长29.79%，主要原因是人员正常工资增加和统筹返还支出纳入本年决算。其中：基本支出</w:t>
      </w:r>
      <w:r>
        <w:rPr>
          <w:rFonts w:ascii="方正仿宋_GBK" w:hAnsi="方正仿宋_GBK" w:eastAsia="方正仿宋_GBK" w:cs="方正仿宋_GBK"/>
          <w:sz w:val="32"/>
          <w:szCs w:val="32"/>
        </w:rPr>
        <w:t>223.07</w:t>
      </w:r>
      <w:r>
        <w:rPr>
          <w:rFonts w:ascii="方正仿宋_GBK" w:hAnsi="方正仿宋_GBK" w:eastAsia="方正仿宋_GBK" w:cs="方正仿宋_GBK"/>
          <w:sz w:val="32"/>
          <w:szCs w:val="32"/>
          <w:shd w:val="clear" w:color="auto" w:fill="FFFFFF"/>
        </w:rPr>
        <w:t>万元，占66.49%；项目支出</w:t>
      </w:r>
      <w:r>
        <w:rPr>
          <w:rFonts w:ascii="方正仿宋_GBK" w:hAnsi="方正仿宋_GBK" w:eastAsia="方正仿宋_GBK" w:cs="方正仿宋_GBK"/>
          <w:sz w:val="32"/>
          <w:szCs w:val="32"/>
        </w:rPr>
        <w:t>112.42</w:t>
      </w:r>
      <w:r>
        <w:rPr>
          <w:rFonts w:ascii="方正仿宋_GBK" w:hAnsi="方正仿宋_GBK" w:eastAsia="方正仿宋_GBK" w:cs="方正仿宋_GBK"/>
          <w:sz w:val="32"/>
          <w:szCs w:val="32"/>
          <w:shd w:val="clear" w:color="auto" w:fill="FFFFFF"/>
        </w:rPr>
        <w:t>万元，占33.51%；经营支出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2023年度年末结转和结余</w:t>
      </w:r>
      <w:r>
        <w:rPr>
          <w:rFonts w:ascii="方正仿宋_GBK" w:hAnsi="方正仿宋_GBK" w:eastAsia="方正仿宋_GBK" w:cs="方正仿宋_GBK"/>
          <w:sz w:val="32"/>
          <w:szCs w:val="32"/>
        </w:rPr>
        <w:t>38.05</w:t>
      </w:r>
      <w:r>
        <w:rPr>
          <w:rFonts w:ascii="方正仿宋_GBK" w:hAnsi="方正仿宋_GBK" w:eastAsia="方正仿宋_GBK" w:cs="方正仿宋_GBK"/>
          <w:sz w:val="32"/>
          <w:szCs w:val="32"/>
          <w:shd w:val="clear" w:color="auto" w:fill="FFFFFF"/>
        </w:rPr>
        <w:t>万元，较上年决算数增加8.34万元，增长28.07%，主要原因是保教保育费收入使用减少。</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6"/>
        <w:shd w:val="clear" w:color="auto" w:fill="FFFFFF"/>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2023年度财政拨款收、支总计236.28万元。与2022年相比，财政拨款收、支总计各增加63.20万元，增长36.51%。主要原因是人员正常工资增加和统筹返还支出纳入本年决算。</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2023年度一般公共预算财政拨款收入</w:t>
      </w:r>
      <w:r>
        <w:rPr>
          <w:rFonts w:ascii="方正仿宋_GBK" w:hAnsi="方正仿宋_GBK" w:eastAsia="方正仿宋_GBK" w:cs="方正仿宋_GBK"/>
          <w:sz w:val="32"/>
          <w:szCs w:val="32"/>
        </w:rPr>
        <w:t>154.19</w:t>
      </w:r>
      <w:r>
        <w:rPr>
          <w:rFonts w:ascii="方正仿宋_GBK" w:hAnsi="方正仿宋_GBK" w:eastAsia="方正仿宋_GBK" w:cs="方正仿宋_GBK"/>
          <w:sz w:val="32"/>
          <w:szCs w:val="32"/>
          <w:shd w:val="clear" w:color="auto" w:fill="FFFFFF"/>
        </w:rPr>
        <w:t>万元，较上年决算数减少18.89万元，下降10.91%。主要原因是学生人数减少。较年初预算数增加55.79万元，增长56.70%。主要原因是人员正常工资增加和年中预算调整项目收入增加。此外，年初财政拨款结转和结余</w:t>
      </w:r>
      <w:r>
        <w:rPr>
          <w:rFonts w:ascii="方正仿宋_GBK" w:hAnsi="方正仿宋_GBK" w:eastAsia="方正仿宋_GBK" w:cs="方正仿宋_GBK"/>
          <w:sz w:val="32"/>
          <w:szCs w:val="32"/>
        </w:rPr>
        <w:t>82.09</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2023年度一般公共预算财政拨款支出</w:t>
      </w:r>
      <w:r>
        <w:rPr>
          <w:rFonts w:ascii="方正仿宋_GBK" w:hAnsi="方正仿宋_GBK" w:eastAsia="方正仿宋_GBK" w:cs="方正仿宋_GBK"/>
          <w:sz w:val="32"/>
          <w:szCs w:val="32"/>
        </w:rPr>
        <w:t>236.28</w:t>
      </w:r>
      <w:r>
        <w:rPr>
          <w:rFonts w:ascii="方正仿宋_GBK" w:hAnsi="方正仿宋_GBK" w:eastAsia="方正仿宋_GBK" w:cs="方正仿宋_GBK"/>
          <w:sz w:val="32"/>
          <w:szCs w:val="32"/>
          <w:shd w:val="clear" w:color="auto" w:fill="FFFFFF"/>
        </w:rPr>
        <w:t>万元，较上年决算数增加63.20万元，增长36.51%。主要原因是人员正常工资增加和统筹返还支出纳入本年决算。较年初预算数增加137.88万元，增长140.12%。主要原因是人员正常工资增加和统筹返还支出纳入本年决算，以及年中预算调整项目收入增加。</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2023年度年末一般公共预算财政拨款结转和结余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万元，较上年决算数无增减。</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4.比较情况。</w:t>
      </w:r>
      <w:r>
        <w:rPr>
          <w:rFonts w:ascii="方正仿宋_GBK" w:hAnsi="方正仿宋_GBK" w:eastAsia="方正仿宋_GBK" w:cs="方正仿宋_GBK"/>
          <w:sz w:val="32"/>
          <w:szCs w:val="32"/>
          <w:shd w:val="clear" w:color="auto" w:fill="FFFFFF"/>
        </w:rPr>
        <w:t>本单位2023年度一般公共预算财政拨款支出主要用于以下几个方面：</w:t>
      </w:r>
    </w:p>
    <w:p>
      <w:pPr>
        <w:pStyle w:val="6"/>
        <w:shd w:val="clear" w:color="auto" w:fill="FFFFFF"/>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（1）教育支出</w:t>
      </w:r>
      <w:r>
        <w:rPr>
          <w:rFonts w:ascii="方正仿宋_GBK" w:hAnsi="方正仿宋_GBK" w:eastAsia="方正仿宋_GBK" w:cs="方正仿宋_GBK"/>
          <w:sz w:val="32"/>
          <w:szCs w:val="32"/>
        </w:rPr>
        <w:t>216.90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91.80</w:t>
      </w:r>
      <w:r>
        <w:rPr>
          <w:rFonts w:ascii="方正仿宋_GBK" w:hAnsi="方正仿宋_GBK" w:eastAsia="方正仿宋_GBK" w:cs="方正仿宋_GBK"/>
          <w:sz w:val="32"/>
          <w:szCs w:val="32"/>
          <w:shd w:val="clear" w:color="auto" w:fill="FFFFFF"/>
        </w:rPr>
        <w:t>%，较年初预算数增加137.93万元，增长174.66%，主要原因是人员正常工资增加和统筹返还支出纳入本年决算。</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（2）社会保障与就业支出</w:t>
      </w:r>
      <w:r>
        <w:rPr>
          <w:rFonts w:ascii="方正仿宋_GBK" w:hAnsi="方正仿宋_GBK" w:eastAsia="方正仿宋_GBK" w:cs="方正仿宋_GBK"/>
          <w:sz w:val="32"/>
          <w:szCs w:val="32"/>
        </w:rPr>
        <w:t>9.66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4.09</w:t>
      </w:r>
      <w:r>
        <w:rPr>
          <w:rFonts w:ascii="方正仿宋_GBK" w:hAnsi="方正仿宋_GBK" w:eastAsia="方正仿宋_GBK" w:cs="方正仿宋_GBK"/>
          <w:sz w:val="32"/>
          <w:szCs w:val="32"/>
          <w:shd w:val="clear" w:color="auto" w:fill="FFFFFF"/>
        </w:rPr>
        <w:t>%，较年初预算数无增减，主要原因是年内人员无变化。</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（3）卫生健康支出</w:t>
      </w:r>
      <w:r>
        <w:rPr>
          <w:rFonts w:ascii="方正仿宋_GBK" w:hAnsi="方正仿宋_GBK" w:eastAsia="方正仿宋_GBK" w:cs="方正仿宋_GBK"/>
          <w:sz w:val="32"/>
          <w:szCs w:val="32"/>
        </w:rPr>
        <w:t>4.95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2.09</w:t>
      </w:r>
      <w:r>
        <w:rPr>
          <w:rFonts w:ascii="方正仿宋_GBK" w:hAnsi="方正仿宋_GBK" w:eastAsia="方正仿宋_GBK" w:cs="方正仿宋_GBK"/>
          <w:sz w:val="32"/>
          <w:szCs w:val="32"/>
          <w:shd w:val="clear" w:color="auto" w:fill="FFFFFF"/>
        </w:rPr>
        <w:t>%，较年初预算数无增减，主要原因是年内人员无变化。</w:t>
      </w:r>
    </w:p>
    <w:p>
      <w:pPr>
        <w:ind w:firstLine="640" w:firstLineChars="200"/>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rPr>
        <w:t>住房保障支出4.78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2.02</w:t>
      </w:r>
      <w:r>
        <w:rPr>
          <w:rFonts w:ascii="方正仿宋_GBK" w:hAnsi="方正仿宋_GBK" w:eastAsia="方正仿宋_GBK" w:cs="方正仿宋_GBK"/>
          <w:sz w:val="32"/>
          <w:szCs w:val="32"/>
          <w:shd w:val="clear" w:color="auto" w:fill="FFFFFF"/>
        </w:rPr>
        <w:t>%，较年初预算数减少0.05万元，下降1.04%，主要原因是财政追减2021年、2022年多交公积金。</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2023年度一般公共财政拨款基本支出</w:t>
      </w:r>
      <w:r>
        <w:rPr>
          <w:rFonts w:ascii="方正仿宋_GBK" w:hAnsi="方正仿宋_GBK" w:eastAsia="方正仿宋_GBK" w:cs="方正仿宋_GBK"/>
          <w:sz w:val="32"/>
          <w:szCs w:val="32"/>
        </w:rPr>
        <w:t>123.86</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111.44</w:t>
      </w:r>
      <w:r>
        <w:rPr>
          <w:rFonts w:ascii="方正仿宋_GBK" w:hAnsi="方正仿宋_GBK" w:eastAsia="方正仿宋_GBK" w:cs="方正仿宋_GBK"/>
          <w:sz w:val="32"/>
          <w:szCs w:val="32"/>
          <w:shd w:val="clear" w:color="auto" w:fill="FFFFFF"/>
        </w:rPr>
        <w:t>万元，较上年决算数增加5.98万元，增长5.67%，主要原因是正常工资增长，清算兑现2021年超额绩效。人员经费用途主要包括基本工资、津贴补贴、绩效工资、社会保障缴费、其他福利支出等。公用经费</w:t>
      </w:r>
      <w:r>
        <w:rPr>
          <w:rFonts w:ascii="方正仿宋_GBK" w:hAnsi="方正仿宋_GBK" w:eastAsia="方正仿宋_GBK" w:cs="方正仿宋_GBK"/>
          <w:sz w:val="32"/>
          <w:szCs w:val="32"/>
        </w:rPr>
        <w:t>12.42</w:t>
      </w:r>
      <w:r>
        <w:rPr>
          <w:rFonts w:ascii="方正仿宋_GBK" w:hAnsi="方正仿宋_GBK" w:eastAsia="方正仿宋_GBK" w:cs="方正仿宋_GBK"/>
          <w:sz w:val="32"/>
          <w:szCs w:val="32"/>
          <w:shd w:val="clear" w:color="auto" w:fill="FFFFFF"/>
        </w:rPr>
        <w:t>万元，较上年决算数减少8.31万元，下降40.09%，主要原因是学生人数减少和节约开支。公用经费用途主要包括办公费、印刷费、培训费、劳务费、工会经费、维修费、水费、电费、邮电费等。</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本单位2023年度无政府性基金预算财政拨款收支。</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本单位2023年度无国有资本经营预算财政拨款支出。</w:t>
      </w:r>
    </w:p>
    <w:p>
      <w:pPr>
        <w:pStyle w:val="6"/>
        <w:shd w:val="clear" w:color="auto" w:fill="FFFFFF"/>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三、“三公”经费情况说明</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（一）“三公”经费支出总体情况说明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2023年度“三公”经费支出共计</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万元，较年初预算数无增减。较上年支出数无增减。</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2023年度本单位因公出国（境）费用</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万元。费用支出较年初预算数无增减。较上年支出数无增减。</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公务车购置费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万元。费用支出较年初预算数无增减。较上年支出数无增减。</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公务车运行维护费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万元。费用支出较年初预算数无增减。较上年支出数无增减。</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公务接待费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万元，主要用于接待。费用支出较年初预算数无增减。较上年支出数无增减。</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2023年度本单位因公出国（境）共计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人。2023年本单位人均接待费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pPr>
        <w:pStyle w:val="6"/>
        <w:shd w:val="clear" w:color="auto" w:fill="FFFFFF"/>
        <w:rPr>
          <w:rStyle w:val="10"/>
          <w:rFonts w:hint="default" w:ascii="方正仿宋_GBK" w:hAnsi="方正仿宋_GBK" w:eastAsia="方正仿宋_GBK" w:cs="方正仿宋_GBK"/>
          <w:sz w:val="32"/>
          <w:szCs w:val="32"/>
          <w:shd w:val="clear" w:color="auto" w:fill="FFFFFF"/>
        </w:rPr>
      </w:pPr>
      <w:r>
        <w:rPr>
          <w:rStyle w:val="10"/>
          <w:rFonts w:ascii="黑体" w:hAnsi="黑体" w:eastAsia="黑体" w:cs="黑体"/>
          <w:sz w:val="32"/>
          <w:szCs w:val="32"/>
          <w:shd w:val="clear" w:color="auto" w:fill="FFFFFF"/>
        </w:rPr>
        <w:t>四、其他需要说明的事项</w:t>
      </w:r>
    </w:p>
    <w:p>
      <w:pPr>
        <w:pStyle w:val="11"/>
        <w:autoSpaceDE w:val="0"/>
        <w:ind w:firstLine="418" w:firstLineChars="13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（一）财政拨款会议费和培训费情况说明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万元。本年度培训费支出</w:t>
      </w:r>
      <w:r>
        <w:rPr>
          <w:rFonts w:ascii="方正仿宋_GBK" w:hAnsi="方正仿宋_GBK" w:eastAsia="方正仿宋_GBK" w:cs="方正仿宋_GBK"/>
          <w:sz w:val="32"/>
          <w:szCs w:val="32"/>
        </w:rPr>
        <w:t>1.91</w:t>
      </w:r>
      <w:r>
        <w:rPr>
          <w:rFonts w:ascii="方正仿宋_GBK" w:hAnsi="方正仿宋_GBK" w:eastAsia="方正仿宋_GBK" w:cs="方正仿宋_GBK"/>
          <w:sz w:val="32"/>
          <w:szCs w:val="32"/>
          <w:shd w:val="clear" w:color="auto" w:fill="FFFFFF"/>
        </w:rPr>
        <w:t>万元，较上年决算数增加1.62万元，增长558.62%，主要原因是加大对教师的培训力度。</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11"/>
        <w:autoSpaceDE w:val="0"/>
        <w:ind w:firstLine="640"/>
        <w:rPr>
          <w:rFonts w:ascii="楷体" w:hAnsi="楷体" w:eastAsia="楷体" w:cs="楷体"/>
          <w:b/>
          <w:bCs/>
          <w:sz w:val="32"/>
          <w:szCs w:val="32"/>
          <w:shd w:val="clear" w:color="auto" w:fill="FFFFFF"/>
        </w:rPr>
      </w:pPr>
      <w:r>
        <w:rPr>
          <w:rFonts w:ascii="方正仿宋_GBK" w:hAnsi="方正仿宋_GBK" w:eastAsia="方正仿宋_GBK" w:cs="方正仿宋_GBK"/>
          <w:sz w:val="32"/>
          <w:szCs w:val="32"/>
        </w:rPr>
        <w:t>按照部门决算列报口径，我单位不在机关运行经费统计范围之内</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截至2023年12月31日，本单位共有车辆</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11"/>
        <w:numPr>
          <w:ilvl w:val="0"/>
          <w:numId w:val="1"/>
        </w:numPr>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政府采购支出情况说明</w:t>
      </w:r>
    </w:p>
    <w:p>
      <w:pPr>
        <w:pStyle w:val="11"/>
        <w:autoSpaceDE w:val="0"/>
        <w:ind w:firstLine="64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2023年度我单位未发生政府采购事项，无相关经费支出。</w:t>
      </w:r>
    </w:p>
    <w:p>
      <w:pPr>
        <w:pStyle w:val="6"/>
        <w:numPr>
          <w:ilvl w:val="0"/>
          <w:numId w:val="2"/>
        </w:numPr>
        <w:shd w:val="clear" w:color="auto" w:fill="FFFFFF"/>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预算绩效管理情况说明</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（一）单位自评情况</w:t>
      </w:r>
    </w:p>
    <w:p>
      <w:pPr>
        <w:pStyle w:val="12"/>
        <w:autoSpaceDE w:val="0"/>
        <w:spacing w:before="0" w:beforeAutospacing="0" w:line="600" w:lineRule="exact"/>
        <w:ind w:firstLine="640" w:firstLineChars="200"/>
        <w:rPr>
          <w:rFonts w:ascii="方正仿宋_GBK" w:hAnsi="方正仿宋_GBK" w:eastAsia="方正仿宋_GBK" w:cs="方正仿宋_GBK"/>
          <w:sz w:val="32"/>
          <w:szCs w:val="32"/>
          <w:highlight w:val="yellow"/>
          <w:shd w:val="clear" w:color="auto" w:fill="FFFFFF"/>
        </w:rPr>
      </w:pPr>
      <w:r>
        <w:rPr>
          <w:rFonts w:hint="eastAsia" w:ascii="方正仿宋_GBK" w:hAnsi="方正仿宋_GBK" w:eastAsia="方正仿宋_GBK" w:cs="方正仿宋_GBK"/>
          <w:sz w:val="32"/>
          <w:szCs w:val="32"/>
          <w:shd w:val="clear" w:color="auto" w:fill="FFFFFF"/>
        </w:rPr>
        <w:t>根据预算绩效管理要求，我单位对部门8个二级项目开展了绩效自评，涉及财政拨款项目支出资金58.78万元。</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（二）单位绩效评价情况</w:t>
      </w:r>
    </w:p>
    <w:p>
      <w:pPr>
        <w:pStyle w:val="11"/>
        <w:autoSpaceDE w:val="0"/>
        <w:ind w:firstLine="64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我单位未组织开展绩效评价。</w:t>
      </w:r>
    </w:p>
    <w:p>
      <w:pPr>
        <w:pStyle w:val="11"/>
        <w:numPr>
          <w:ilvl w:val="0"/>
          <w:numId w:val="3"/>
        </w:numPr>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财政绩效评价情况</w:t>
      </w:r>
    </w:p>
    <w:p>
      <w:pPr>
        <w:pStyle w:val="11"/>
        <w:autoSpaceDE w:val="0"/>
        <w:ind w:firstLine="64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市财政局未委托第三方对我单位开展绩效评价。</w:t>
      </w:r>
    </w:p>
    <w:p>
      <w:pPr>
        <w:pStyle w:val="6"/>
        <w:shd w:val="clear" w:color="auto" w:fill="FFFFFF"/>
        <w:rPr>
          <w:rStyle w:val="10"/>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 xml:space="preserve">  </w:t>
      </w:r>
      <w:r>
        <w:rPr>
          <w:rStyle w:val="10"/>
          <w:rFonts w:ascii="黑体" w:hAnsi="黑体" w:eastAsia="黑体" w:cs="黑体"/>
          <w:sz w:val="32"/>
          <w:szCs w:val="32"/>
          <w:shd w:val="clear" w:color="auto" w:fill="FFFFFF"/>
        </w:rPr>
        <w:t>六、专业名词解释</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 （十六）对个人和家庭的补助（支出经济分类科目类级）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6"/>
        <w:shd w:val="clear" w:color="auto" w:fill="FFFFFF"/>
        <w:rPr>
          <w:rStyle w:val="10"/>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 xml:space="preserve">  </w:t>
      </w:r>
      <w:r>
        <w:rPr>
          <w:rStyle w:val="10"/>
          <w:rFonts w:ascii="黑体" w:hAnsi="黑体" w:eastAsia="黑体" w:cs="黑体"/>
          <w:sz w:val="32"/>
          <w:szCs w:val="32"/>
          <w:shd w:val="clear" w:color="auto" w:fill="FFFFFF"/>
        </w:rPr>
        <w:t>七、决算公开联系方式及信息反馈渠道</w:t>
      </w:r>
    </w:p>
    <w:p>
      <w:pPr>
        <w:pStyle w:val="6"/>
        <w:ind w:firstLine="320" w:firstLineChars="1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本单位决算公开信息反馈和联系方式：</w:t>
      </w:r>
    </w:p>
    <w:p>
      <w:pPr>
        <w:pStyle w:val="6"/>
        <w:ind w:firstLine="320" w:firstLineChars="100"/>
        <w:rPr>
          <w:rFonts w:hint="default" w:ascii="方正仿宋简体" w:hAnsi="方正仿宋简体" w:eastAsia="方正仿宋简体" w:cs="方正仿宋简体"/>
          <w:sz w:val="32"/>
          <w:szCs w:val="32"/>
        </w:rPr>
      </w:pPr>
      <w:r>
        <w:rPr>
          <w:rFonts w:ascii="方正仿宋简体" w:hAnsi="方正仿宋简体" w:eastAsia="方正仿宋简体" w:cs="方正仿宋简体"/>
          <w:sz w:val="32"/>
          <w:szCs w:val="32"/>
        </w:rPr>
        <w:t xml:space="preserve">李春梅   </w:t>
      </w:r>
      <w:r>
        <w:rPr>
          <w:rFonts w:ascii="方正仿宋简体" w:hAnsi="方正仿宋简体" w:eastAsia="方正仿宋简体" w:cs="方正仿宋简体"/>
          <w:color w:val="333333"/>
          <w:sz w:val="32"/>
          <w:szCs w:val="32"/>
        </w:rPr>
        <w:t>023-70649227</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p>
    <w:p>
      <w:pPr>
        <w:pStyle w:val="11"/>
        <w:autoSpaceDE w:val="0"/>
        <w:ind w:firstLine="0" w:firstLineChars="0"/>
        <w:rPr>
          <w:rStyle w:val="10"/>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p>
      <w:pPr>
        <w:rPr>
          <w:rFonts w:hint="default" w:cs="宋体"/>
          <w:sz w:val="21"/>
          <w:szCs w:val="21"/>
        </w:rPr>
      </w:pPr>
    </w:p>
    <w:tbl>
      <w:tblPr>
        <w:tblStyle w:val="7"/>
        <w:tblW w:w="15393" w:type="dxa"/>
        <w:tblInd w:w="0" w:type="dxa"/>
        <w:tblLayout w:type="fixed"/>
        <w:tblCellMar>
          <w:top w:w="0" w:type="dxa"/>
          <w:left w:w="0" w:type="dxa"/>
          <w:bottom w:w="0" w:type="dxa"/>
          <w:right w:w="0" w:type="dxa"/>
        </w:tblCellMar>
      </w:tblPr>
      <w:tblGrid>
        <w:gridCol w:w="5122"/>
        <w:gridCol w:w="2020"/>
        <w:gridCol w:w="4809"/>
        <w:gridCol w:w="3442"/>
      </w:tblGrid>
      <w:tr>
        <w:tblPrEx>
          <w:tblCellMar>
            <w:top w:w="0" w:type="dxa"/>
            <w:left w:w="0" w:type="dxa"/>
            <w:bottom w:w="0" w:type="dxa"/>
            <w:right w:w="0" w:type="dxa"/>
          </w:tblCellMar>
        </w:tblPrEx>
        <w:trPr>
          <w:trHeight w:val="232" w:hRule="atLeast"/>
        </w:trPr>
        <w:tc>
          <w:tcPr>
            <w:tcW w:w="15393"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5122"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2020"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809"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344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公开01表</w:t>
            </w:r>
          </w:p>
        </w:tc>
      </w:tr>
      <w:tr>
        <w:tblPrEx>
          <w:tblCellMar>
            <w:top w:w="0" w:type="dxa"/>
            <w:left w:w="0" w:type="dxa"/>
            <w:bottom w:w="0" w:type="dxa"/>
            <w:right w:w="0" w:type="dxa"/>
          </w:tblCellMar>
        </w:tblPrEx>
        <w:trPr>
          <w:trHeight w:val="232" w:hRule="atLeast"/>
        </w:trPr>
        <w:tc>
          <w:tcPr>
            <w:tcW w:w="7142" w:type="dxa"/>
            <w:gridSpan w:val="2"/>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r>
              <w:rPr>
                <w:rFonts w:cs="宋体"/>
                <w:sz w:val="20"/>
                <w:szCs w:val="20"/>
              </w:rPr>
              <w:t>公开单位：</w:t>
            </w:r>
            <w:r>
              <w:rPr>
                <w:sz w:val="20"/>
              </w:rPr>
              <w:t>重庆市丰都县水天坪幼儿园</w:t>
            </w:r>
          </w:p>
        </w:tc>
        <w:tc>
          <w:tcPr>
            <w:tcW w:w="4809"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344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7142"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8251" w:type="dxa"/>
            <w:gridSpan w:val="2"/>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202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3442"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一、一般公共预算财政拨款收入</w:t>
            </w: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rFonts w:cs="宋体"/>
                <w:color w:val="000000"/>
                <w:sz w:val="20"/>
                <w:szCs w:val="20"/>
              </w:rPr>
              <w:t>154.19</w:t>
            </w:r>
            <w:r>
              <w:rPr>
                <w:color w:val="000000"/>
                <w:sz w:val="20"/>
              </w:rPr>
              <w:t xml:space="preserve"> </w:t>
            </w: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一、一般公共服务支出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rPr>
              <w:t xml:space="preserve"> </w:t>
            </w:r>
          </w:p>
        </w:tc>
      </w:tr>
      <w:tr>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二、政府性基金预算财政拨款收入</w:t>
            </w: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rPr>
              <w:t xml:space="preserve"> </w:t>
            </w: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二、外交支出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rPr>
              <w:t xml:space="preserve"> </w:t>
            </w:r>
          </w:p>
        </w:tc>
      </w:tr>
      <w:tr>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三、国有资本经营预算财政拨款收入</w:t>
            </w: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rPr>
              <w:t xml:space="preserve"> </w:t>
            </w: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三、国防支出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rPr>
              <w:t xml:space="preserve"> </w:t>
            </w:r>
          </w:p>
        </w:tc>
      </w:tr>
      <w:tr>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四、上级补助收入</w:t>
            </w: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rPr>
              <w:t xml:space="preserve"> </w:t>
            </w: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四、公共安全支出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rPr>
              <w:t xml:space="preserve"> </w:t>
            </w:r>
          </w:p>
        </w:tc>
      </w:tr>
      <w:tr>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五、事业收入</w:t>
            </w: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rFonts w:cs="宋体"/>
                <w:color w:val="000000"/>
                <w:sz w:val="20"/>
                <w:szCs w:val="20"/>
              </w:rPr>
              <w:t>100.08</w:t>
            </w:r>
            <w:r>
              <w:rPr>
                <w:color w:val="000000"/>
                <w:sz w:val="20"/>
              </w:rPr>
              <w:t xml:space="preserve"> </w:t>
            </w: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五、教育支出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rFonts w:cs="宋体"/>
                <w:color w:val="000000"/>
                <w:sz w:val="20"/>
                <w:szCs w:val="20"/>
              </w:rPr>
              <w:t>316.11</w:t>
            </w:r>
            <w:r>
              <w:rPr>
                <w:color w:val="000000"/>
                <w:sz w:val="20"/>
              </w:rPr>
              <w:t xml:space="preserve"> </w:t>
            </w:r>
          </w:p>
        </w:tc>
      </w:tr>
      <w:tr>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六、经营收入</w:t>
            </w: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rPr>
              <w:t xml:space="preserve"> </w:t>
            </w: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六、科学技术支出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rPr>
              <w:t xml:space="preserve"> </w:t>
            </w:r>
          </w:p>
        </w:tc>
      </w:tr>
      <w:tr>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七、附属单位上缴收入</w:t>
            </w: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rPr>
              <w:t xml:space="preserve"> </w:t>
            </w: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七、文化旅游体育与传媒支出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rPr>
              <w:t xml:space="preserve"> </w:t>
            </w:r>
          </w:p>
        </w:tc>
      </w:tr>
      <w:tr>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八、其他收入</w:t>
            </w:r>
          </w:p>
        </w:tc>
        <w:tc>
          <w:tcPr>
            <w:tcW w:w="2020" w:type="dxa"/>
            <w:tcBorders>
              <w:top w:val="nil"/>
              <w:left w:val="nil"/>
              <w:bottom w:val="nil"/>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rFonts w:cs="宋体"/>
                <w:color w:val="000000"/>
                <w:sz w:val="20"/>
                <w:szCs w:val="20"/>
              </w:rPr>
              <w:t>7.48</w:t>
            </w:r>
            <w:r>
              <w:rPr>
                <w:color w:val="000000"/>
                <w:sz w:val="20"/>
              </w:rPr>
              <w:t xml:space="preserve"> </w:t>
            </w: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八、社会保障和就业支出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rFonts w:cs="宋体"/>
                <w:color w:val="000000"/>
                <w:sz w:val="20"/>
                <w:szCs w:val="20"/>
              </w:rPr>
              <w:t>9.66</w:t>
            </w:r>
            <w:r>
              <w:rPr>
                <w:color w:val="000000"/>
                <w:sz w:val="20"/>
              </w:rPr>
              <w:t xml:space="preserve"> </w:t>
            </w:r>
          </w:p>
        </w:tc>
      </w:tr>
      <w:tr>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rPr>
                <w:rFonts w:hint="default" w:cs="宋体"/>
                <w:color w:val="000000"/>
                <w:sz w:val="20"/>
                <w:szCs w:val="20"/>
              </w:rPr>
            </w:pP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40" w:lineRule="exact"/>
              <w:jc w:val="right"/>
              <w:rPr>
                <w:rFonts w:hint="default" w:ascii="Arial" w:hAnsi="Arial" w:cs="Arial"/>
                <w:color w:val="000000"/>
                <w:sz w:val="20"/>
                <w:szCs w:val="20"/>
              </w:rPr>
            </w:pP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九、卫生健康支出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rFonts w:cs="宋体"/>
                <w:color w:val="000000"/>
                <w:sz w:val="20"/>
                <w:szCs w:val="20"/>
              </w:rPr>
              <w:t>4.95</w:t>
            </w:r>
            <w:r>
              <w:rPr>
                <w:color w:val="000000"/>
                <w:sz w:val="20"/>
              </w:rPr>
              <w:t xml:space="preserve"> </w:t>
            </w:r>
          </w:p>
        </w:tc>
      </w:tr>
      <w:tr>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rPr>
                <w:rFonts w:hint="default" w:cs="宋体"/>
                <w:color w:val="000000"/>
                <w:sz w:val="20"/>
                <w:szCs w:val="20"/>
              </w:rPr>
            </w:pP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40" w:lineRule="exact"/>
              <w:jc w:val="right"/>
              <w:rPr>
                <w:rFonts w:hint="default" w:ascii="Arial" w:hAnsi="Arial" w:cs="Arial"/>
                <w:color w:val="000000"/>
                <w:sz w:val="20"/>
                <w:szCs w:val="20"/>
              </w:rPr>
            </w:pP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十、节能环保支出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rPr>
              <w:t xml:space="preserve"> </w:t>
            </w:r>
          </w:p>
        </w:tc>
      </w:tr>
      <w:tr>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rPr>
                <w:rFonts w:hint="default" w:cs="宋体"/>
                <w:color w:val="000000"/>
                <w:sz w:val="20"/>
                <w:szCs w:val="20"/>
              </w:rPr>
            </w:pP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40" w:lineRule="exact"/>
              <w:jc w:val="right"/>
              <w:rPr>
                <w:rFonts w:hint="default" w:ascii="Arial" w:hAnsi="Arial" w:cs="Arial"/>
                <w:color w:val="000000"/>
                <w:sz w:val="20"/>
                <w:szCs w:val="20"/>
              </w:rPr>
            </w:pP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十一、城乡社区支出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rPr>
              <w:t xml:space="preserve"> </w:t>
            </w:r>
          </w:p>
        </w:tc>
      </w:tr>
      <w:tr>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rPr>
                <w:rFonts w:hint="default" w:cs="宋体"/>
                <w:color w:val="000000"/>
                <w:sz w:val="20"/>
                <w:szCs w:val="20"/>
              </w:rPr>
            </w:pP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40" w:lineRule="exact"/>
              <w:jc w:val="right"/>
              <w:rPr>
                <w:rFonts w:hint="default" w:ascii="Arial" w:hAnsi="Arial" w:cs="Arial"/>
                <w:color w:val="000000"/>
                <w:sz w:val="20"/>
                <w:szCs w:val="20"/>
              </w:rPr>
            </w:pP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十二、农林水支出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rPr>
              <w:t xml:space="preserve"> </w:t>
            </w:r>
          </w:p>
        </w:tc>
      </w:tr>
      <w:tr>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rPr>
                <w:rFonts w:hint="default" w:cs="宋体"/>
                <w:color w:val="000000"/>
                <w:sz w:val="20"/>
                <w:szCs w:val="20"/>
              </w:rPr>
            </w:pP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rPr>
                <w:rFonts w:hint="default" w:cs="宋体"/>
                <w:color w:val="000000"/>
                <w:sz w:val="20"/>
                <w:szCs w:val="20"/>
              </w:rPr>
            </w:pP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十三、交通运输支出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rPr>
              <w:t xml:space="preserve"> </w:t>
            </w:r>
          </w:p>
        </w:tc>
      </w:tr>
      <w:tr>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rPr>
                <w:rFonts w:hint="default" w:cs="宋体"/>
                <w:color w:val="000000"/>
                <w:sz w:val="20"/>
                <w:szCs w:val="20"/>
              </w:rPr>
            </w:pP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rPr>
                <w:rFonts w:hint="default" w:cs="宋体"/>
                <w:color w:val="000000"/>
                <w:sz w:val="20"/>
                <w:szCs w:val="20"/>
              </w:rPr>
            </w:pP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十四、资源勘探工业信息等支出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rPr>
              <w:t xml:space="preserve"> </w:t>
            </w:r>
          </w:p>
        </w:tc>
      </w:tr>
      <w:tr>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rPr>
                <w:rFonts w:hint="default" w:cs="宋体"/>
                <w:color w:val="000000"/>
                <w:sz w:val="20"/>
                <w:szCs w:val="20"/>
              </w:rPr>
            </w:pP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rPr>
                <w:rFonts w:hint="default" w:cs="宋体"/>
                <w:color w:val="000000"/>
                <w:sz w:val="20"/>
                <w:szCs w:val="20"/>
              </w:rPr>
            </w:pP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十五、商业服务业等支出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rPr>
              <w:t xml:space="preserve"> </w:t>
            </w:r>
          </w:p>
        </w:tc>
      </w:tr>
      <w:tr>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rPr>
                <w:rFonts w:hint="default" w:cs="宋体"/>
                <w:color w:val="000000"/>
                <w:sz w:val="20"/>
                <w:szCs w:val="20"/>
              </w:rPr>
            </w:pP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rPr>
                <w:rFonts w:hint="default" w:cs="宋体"/>
                <w:color w:val="000000"/>
                <w:sz w:val="20"/>
                <w:szCs w:val="20"/>
              </w:rPr>
            </w:pP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十六、金融支出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rPr>
              <w:t xml:space="preserve"> </w:t>
            </w:r>
          </w:p>
        </w:tc>
      </w:tr>
      <w:tr>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rPr>
                <w:rFonts w:hint="default" w:cs="宋体"/>
                <w:color w:val="000000"/>
                <w:sz w:val="20"/>
                <w:szCs w:val="20"/>
              </w:rPr>
            </w:pP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rPr>
                <w:rFonts w:hint="default" w:cs="宋体"/>
                <w:color w:val="000000"/>
                <w:sz w:val="20"/>
                <w:szCs w:val="20"/>
              </w:rPr>
            </w:pP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十七、援助其他地区支出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rPr>
              <w:t xml:space="preserve"> </w:t>
            </w:r>
          </w:p>
        </w:tc>
      </w:tr>
      <w:tr>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rPr>
                <w:rFonts w:hint="default" w:cs="宋体"/>
                <w:color w:val="000000"/>
                <w:sz w:val="20"/>
                <w:szCs w:val="20"/>
              </w:rPr>
            </w:pP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rPr>
                <w:rFonts w:hint="default" w:cs="宋体"/>
                <w:color w:val="000000"/>
                <w:sz w:val="20"/>
                <w:szCs w:val="20"/>
              </w:rPr>
            </w:pP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十八、自然资源海洋气象等支出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rPr>
              <w:t xml:space="preserve"> </w:t>
            </w:r>
          </w:p>
        </w:tc>
      </w:tr>
      <w:tr>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rPr>
                <w:rFonts w:hint="default" w:cs="宋体"/>
                <w:color w:val="000000"/>
                <w:sz w:val="20"/>
                <w:szCs w:val="20"/>
              </w:rPr>
            </w:pP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rPr>
                <w:rFonts w:hint="default" w:cs="宋体"/>
                <w:color w:val="000000"/>
                <w:sz w:val="20"/>
                <w:szCs w:val="20"/>
              </w:rPr>
            </w:pP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十九、住房保障支出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rFonts w:cs="宋体"/>
                <w:color w:val="000000"/>
                <w:sz w:val="20"/>
                <w:szCs w:val="20"/>
              </w:rPr>
              <w:t>4.78</w:t>
            </w:r>
            <w:r>
              <w:rPr>
                <w:color w:val="000000"/>
                <w:sz w:val="20"/>
              </w:rPr>
              <w:t xml:space="preserve"> </w:t>
            </w:r>
          </w:p>
        </w:tc>
      </w:tr>
      <w:tr>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rPr>
                <w:rFonts w:hint="default" w:cs="宋体"/>
                <w:color w:val="000000"/>
                <w:sz w:val="20"/>
                <w:szCs w:val="20"/>
              </w:rPr>
            </w:pP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rPr>
                <w:rFonts w:hint="default" w:cs="宋体"/>
                <w:color w:val="000000"/>
                <w:sz w:val="20"/>
                <w:szCs w:val="20"/>
              </w:rPr>
            </w:pP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二十、粮油物资储备支出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rPr>
              <w:t xml:space="preserve"> </w:t>
            </w:r>
          </w:p>
        </w:tc>
      </w:tr>
      <w:tr>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rPr>
                <w:rFonts w:hint="default" w:cs="宋体"/>
                <w:color w:val="000000"/>
                <w:sz w:val="20"/>
                <w:szCs w:val="20"/>
              </w:rPr>
            </w:pP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rPr>
                <w:rFonts w:hint="default" w:cs="宋体"/>
                <w:color w:val="000000"/>
                <w:sz w:val="20"/>
                <w:szCs w:val="20"/>
              </w:rPr>
            </w:pP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二十一、国有资本经营预算支出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rPr>
              <w:t xml:space="preserve"> </w:t>
            </w:r>
          </w:p>
        </w:tc>
      </w:tr>
      <w:tr>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rPr>
                <w:rFonts w:hint="default" w:cs="宋体"/>
                <w:color w:val="000000"/>
                <w:sz w:val="20"/>
                <w:szCs w:val="20"/>
              </w:rPr>
            </w:pP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rPr>
                <w:rFonts w:hint="default" w:cs="宋体"/>
                <w:color w:val="000000"/>
                <w:sz w:val="20"/>
                <w:szCs w:val="20"/>
              </w:rPr>
            </w:pP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二十二、灾害防治及应急管理支出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rPr>
              <w:t xml:space="preserve"> </w:t>
            </w:r>
          </w:p>
        </w:tc>
      </w:tr>
      <w:tr>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rPr>
                <w:rFonts w:hint="default" w:cs="宋体"/>
                <w:color w:val="000000"/>
                <w:sz w:val="20"/>
                <w:szCs w:val="20"/>
              </w:rPr>
            </w:pP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rPr>
                <w:rFonts w:hint="default" w:cs="宋体"/>
                <w:color w:val="000000"/>
                <w:sz w:val="20"/>
                <w:szCs w:val="20"/>
              </w:rPr>
            </w:pP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二十三、其他支出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rPr>
              <w:t xml:space="preserve"> </w:t>
            </w:r>
          </w:p>
        </w:tc>
      </w:tr>
      <w:tr>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jc w:val="center"/>
              <w:rPr>
                <w:rFonts w:hint="default" w:cs="宋体"/>
                <w:b/>
                <w:color w:val="000000"/>
                <w:sz w:val="20"/>
                <w:szCs w:val="20"/>
              </w:rPr>
            </w:pP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rPr>
                <w:rFonts w:hint="default" w:cs="宋体"/>
                <w:color w:val="000000"/>
                <w:sz w:val="20"/>
                <w:szCs w:val="20"/>
              </w:rPr>
            </w:pP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二十四、债务还本支出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rPr>
              <w:t xml:space="preserve"> </w:t>
            </w:r>
          </w:p>
        </w:tc>
      </w:tr>
      <w:tr>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rPr>
                <w:rFonts w:hint="default" w:cs="宋体"/>
                <w:color w:val="000000"/>
                <w:sz w:val="20"/>
                <w:szCs w:val="20"/>
              </w:rPr>
            </w:pP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rPr>
                <w:rFonts w:hint="default" w:cs="宋体"/>
                <w:color w:val="000000"/>
                <w:sz w:val="20"/>
                <w:szCs w:val="20"/>
              </w:rPr>
            </w:pP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二十五、债务付息支出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rPr>
              <w:t xml:space="preserve"> </w:t>
            </w:r>
          </w:p>
        </w:tc>
      </w:tr>
      <w:tr>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rPr>
                <w:rFonts w:hint="default" w:cs="宋体"/>
                <w:color w:val="000000"/>
                <w:sz w:val="20"/>
                <w:szCs w:val="20"/>
              </w:rPr>
            </w:pP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rPr>
                <w:rFonts w:hint="default" w:cs="宋体"/>
                <w:color w:val="000000"/>
                <w:sz w:val="20"/>
                <w:szCs w:val="20"/>
              </w:rPr>
            </w:pP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二十六、抗疫特别国债安排的支出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rPr>
              <w:t xml:space="preserve"> </w:t>
            </w:r>
          </w:p>
        </w:tc>
      </w:tr>
      <w:tr>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本年收入合计</w:t>
            </w: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rFonts w:cs="宋体"/>
                <w:color w:val="000000"/>
                <w:sz w:val="20"/>
                <w:szCs w:val="20"/>
              </w:rPr>
              <w:t>261.75</w:t>
            </w:r>
            <w:r>
              <w:rPr>
                <w:color w:val="000000"/>
                <w:sz w:val="20"/>
              </w:rPr>
              <w:t xml:space="preserve"> </w:t>
            </w: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本年支出合计</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rFonts w:cs="宋体"/>
                <w:color w:val="000000"/>
                <w:sz w:val="20"/>
                <w:szCs w:val="20"/>
              </w:rPr>
              <w:t>335.49</w:t>
            </w:r>
            <w:r>
              <w:rPr>
                <w:color w:val="000000"/>
                <w:sz w:val="20"/>
              </w:rPr>
              <w:t xml:space="preserve"> </w:t>
            </w:r>
          </w:p>
        </w:tc>
      </w:tr>
      <w:tr>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使用非财政拨款结余和专用结余</w:t>
            </w: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rPr>
              <w:t xml:space="preserve"> </w:t>
            </w: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结余分配</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rPr>
              <w:t xml:space="preserve"> </w:t>
            </w:r>
          </w:p>
        </w:tc>
      </w:tr>
      <w:tr>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年初结转和结余</w:t>
            </w: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rFonts w:cs="宋体"/>
                <w:color w:val="000000"/>
                <w:sz w:val="20"/>
                <w:szCs w:val="20"/>
              </w:rPr>
              <w:t>111.79</w:t>
            </w:r>
            <w:r>
              <w:rPr>
                <w:color w:val="000000"/>
                <w:sz w:val="20"/>
              </w:rPr>
              <w:t xml:space="preserve"> </w:t>
            </w: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年末结转和结余</w:t>
            </w:r>
          </w:p>
        </w:tc>
        <w:tc>
          <w:tcPr>
            <w:tcW w:w="3442"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rFonts w:cs="宋体"/>
                <w:color w:val="000000"/>
                <w:sz w:val="20"/>
                <w:szCs w:val="20"/>
              </w:rPr>
              <w:t>38.05</w:t>
            </w:r>
            <w:r>
              <w:rPr>
                <w:color w:val="000000"/>
                <w:sz w:val="20"/>
              </w:rPr>
              <w:t xml:space="preserve"> </w:t>
            </w:r>
          </w:p>
        </w:tc>
      </w:tr>
      <w:tr>
        <w:tblPrEx>
          <w:tblCellMar>
            <w:top w:w="0" w:type="dxa"/>
            <w:left w:w="0" w:type="dxa"/>
            <w:bottom w:w="0" w:type="dxa"/>
            <w:right w:w="0" w:type="dxa"/>
          </w:tblCellMar>
        </w:tblPrEx>
        <w:trPr>
          <w:trHeight w:val="25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rFonts w:cs="宋体"/>
                <w:color w:val="000000"/>
                <w:sz w:val="20"/>
                <w:szCs w:val="20"/>
              </w:rPr>
              <w:t>373.54</w:t>
            </w:r>
            <w:r>
              <w:rPr>
                <w:color w:val="000000"/>
                <w:sz w:val="20"/>
              </w:rPr>
              <w:t xml:space="preserve"> </w:t>
            </w:r>
          </w:p>
        </w:tc>
        <w:tc>
          <w:tcPr>
            <w:tcW w:w="4809" w:type="dxa"/>
            <w:tcBorders>
              <w:top w:val="nil"/>
              <w:left w:val="nil"/>
              <w:bottom w:val="single" w:color="000000" w:sz="4" w:space="0"/>
              <w:right w:val="single" w:color="auto" w:sz="4" w:space="0"/>
            </w:tcBorders>
            <w:shd w:val="clear" w:color="FFFFFF" w:fill="C0C0C0"/>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44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rFonts w:cs="宋体"/>
                <w:color w:val="000000"/>
                <w:sz w:val="20"/>
                <w:szCs w:val="20"/>
              </w:rPr>
              <w:t>373.54</w:t>
            </w:r>
            <w:r>
              <w:rPr>
                <w:color w:val="000000"/>
                <w:sz w:val="20"/>
              </w:rPr>
              <w:t xml:space="preserve"> </w:t>
            </w:r>
          </w:p>
        </w:tc>
      </w:tr>
    </w:tbl>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5378" w:type="dxa"/>
        <w:tblInd w:w="0" w:type="dxa"/>
        <w:tblLayout w:type="fixed"/>
        <w:tblCellMar>
          <w:top w:w="0" w:type="dxa"/>
          <w:left w:w="0" w:type="dxa"/>
          <w:bottom w:w="0" w:type="dxa"/>
          <w:right w:w="0" w:type="dxa"/>
        </w:tblCellMar>
      </w:tblPr>
      <w:tblGrid>
        <w:gridCol w:w="1702"/>
        <w:gridCol w:w="3171"/>
        <w:gridCol w:w="1233"/>
        <w:gridCol w:w="1233"/>
        <w:gridCol w:w="1233"/>
        <w:gridCol w:w="1233"/>
        <w:gridCol w:w="1366"/>
        <w:gridCol w:w="1307"/>
        <w:gridCol w:w="1439"/>
        <w:gridCol w:w="1461"/>
      </w:tblGrid>
      <w:tr>
        <w:tblPrEx>
          <w:tblCellMar>
            <w:top w:w="0" w:type="dxa"/>
            <w:left w:w="0" w:type="dxa"/>
            <w:bottom w:w="0" w:type="dxa"/>
            <w:right w:w="0" w:type="dxa"/>
          </w:tblCellMar>
        </w:tblPrEx>
        <w:trPr>
          <w:trHeight w:val="641" w:hRule="atLeast"/>
        </w:trPr>
        <w:tc>
          <w:tcPr>
            <w:tcW w:w="15378"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6106"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公开单位：</w:t>
            </w:r>
            <w:r>
              <w:rPr>
                <w:sz w:val="20"/>
              </w:rPr>
              <w:t>重庆市丰都县水天坪幼儿园</w:t>
            </w:r>
          </w:p>
        </w:tc>
        <w:tc>
          <w:tcPr>
            <w:tcW w:w="123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3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3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6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3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6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公开02表</w:t>
            </w:r>
          </w:p>
        </w:tc>
      </w:tr>
      <w:tr>
        <w:tblPrEx>
          <w:tblCellMar>
            <w:top w:w="0" w:type="dxa"/>
            <w:left w:w="0" w:type="dxa"/>
            <w:bottom w:w="0" w:type="dxa"/>
            <w:right w:w="0" w:type="dxa"/>
          </w:tblCellMar>
        </w:tblPrEx>
        <w:trPr>
          <w:trHeight w:val="328" w:hRule="atLeast"/>
        </w:trPr>
        <w:tc>
          <w:tcPr>
            <w:tcW w:w="6106"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3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3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3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6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3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6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4873" w:type="dxa"/>
            <w:gridSpan w:val="2"/>
            <w:tcBorders>
              <w:top w:val="single" w:color="000000" w:sz="4" w:space="0"/>
              <w:left w:val="single" w:color="000000" w:sz="4" w:space="0"/>
              <w:bottom w:val="single" w:color="000000" w:sz="4" w:space="0"/>
              <w:right w:val="nil"/>
            </w:tcBorders>
            <w:shd w:val="clear" w:color="auto" w:fill="D0CECE"/>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23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23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3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599" w:type="dxa"/>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307"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461"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1702" w:type="dxa"/>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171" w:type="dxa"/>
            <w:vMerge w:val="restart"/>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23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366"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30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46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1702"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0"/>
                <w:szCs w:val="20"/>
              </w:rPr>
            </w:pPr>
          </w:p>
        </w:tc>
        <w:tc>
          <w:tcPr>
            <w:tcW w:w="3171"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cs="宋体"/>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30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46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1702"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0"/>
                <w:szCs w:val="20"/>
              </w:rPr>
            </w:pPr>
          </w:p>
        </w:tc>
        <w:tc>
          <w:tcPr>
            <w:tcW w:w="3171"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cs="宋体"/>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30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46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1702"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0"/>
                <w:szCs w:val="20"/>
              </w:rPr>
            </w:pPr>
          </w:p>
        </w:tc>
        <w:tc>
          <w:tcPr>
            <w:tcW w:w="3171"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cs="宋体"/>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30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46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873"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2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bCs/>
                <w:color w:val="000000"/>
                <w:sz w:val="20"/>
                <w:szCs w:val="20"/>
              </w:rPr>
              <w:t>261.75</w:t>
            </w:r>
            <w:r>
              <w:rPr>
                <w:b/>
                <w:color w:val="000000"/>
                <w:sz w:val="20"/>
              </w:rPr>
              <w:t xml:space="preserve"> </w:t>
            </w:r>
          </w:p>
        </w:tc>
        <w:tc>
          <w:tcPr>
            <w:tcW w:w="12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bCs/>
                <w:color w:val="000000"/>
                <w:sz w:val="20"/>
                <w:szCs w:val="20"/>
              </w:rPr>
              <w:t>154.19</w:t>
            </w:r>
            <w:r>
              <w:rPr>
                <w:b/>
                <w:color w:val="000000"/>
                <w:sz w:val="20"/>
              </w:rPr>
              <w:t xml:space="preserve"> </w:t>
            </w:r>
          </w:p>
        </w:tc>
        <w:tc>
          <w:tcPr>
            <w:tcW w:w="12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rPr>
              <w:t xml:space="preserve"> </w:t>
            </w:r>
          </w:p>
        </w:tc>
        <w:tc>
          <w:tcPr>
            <w:tcW w:w="12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bCs/>
                <w:color w:val="000000"/>
                <w:sz w:val="20"/>
                <w:szCs w:val="20"/>
              </w:rPr>
              <w:t>100.08</w:t>
            </w:r>
            <w:r>
              <w:rPr>
                <w:b/>
                <w:color w:val="000000"/>
                <w:sz w:val="20"/>
              </w:rPr>
              <w:t xml:space="preserve"> </w:t>
            </w:r>
          </w:p>
        </w:tc>
        <w:tc>
          <w:tcPr>
            <w:tcW w:w="13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bCs/>
                <w:color w:val="000000"/>
                <w:sz w:val="20"/>
                <w:szCs w:val="20"/>
              </w:rPr>
              <w:t>100.08</w:t>
            </w:r>
            <w:r>
              <w:rPr>
                <w:b/>
                <w:color w:val="000000"/>
                <w:sz w:val="20"/>
              </w:rPr>
              <w:t xml:space="preserve"> </w:t>
            </w:r>
          </w:p>
        </w:tc>
        <w:tc>
          <w:tcPr>
            <w:tcW w:w="13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rPr>
              <w:t xml:space="preserve"> </w:t>
            </w:r>
          </w:p>
        </w:tc>
        <w:tc>
          <w:tcPr>
            <w:tcW w:w="14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rPr>
              <w:t xml:space="preserve"> </w:t>
            </w:r>
          </w:p>
        </w:tc>
        <w:tc>
          <w:tcPr>
            <w:tcW w:w="14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bCs/>
                <w:color w:val="000000"/>
                <w:sz w:val="20"/>
                <w:szCs w:val="20"/>
              </w:rPr>
              <w:t>7.48</w:t>
            </w:r>
            <w:r>
              <w:rPr>
                <w:b/>
                <w:color w:val="000000"/>
                <w:sz w:val="20"/>
              </w:rPr>
              <w:t xml:space="preserve"> </w:t>
            </w:r>
          </w:p>
        </w:tc>
      </w:tr>
      <w:tr>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242.37</w:t>
            </w:r>
            <w:r>
              <w:rPr>
                <w:b/>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134.81</w:t>
            </w:r>
            <w:r>
              <w:rPr>
                <w:b/>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100.08</w:t>
            </w:r>
            <w:r>
              <w:rPr>
                <w:b/>
                <w:color w:val="000000"/>
                <w:sz w:val="20"/>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100.08</w:t>
            </w:r>
            <w:r>
              <w:rPr>
                <w:b/>
                <w:color w:val="000000"/>
                <w:sz w:val="20"/>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7.48</w:t>
            </w:r>
            <w:r>
              <w:rPr>
                <w:b/>
                <w:color w:val="000000"/>
                <w:sz w:val="20"/>
              </w:rPr>
              <w:t xml:space="preserve"> </w:t>
            </w:r>
          </w:p>
        </w:tc>
      </w:tr>
      <w:tr>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20502</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普通教育</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242.37</w:t>
            </w:r>
            <w:r>
              <w:rPr>
                <w:b/>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134.81</w:t>
            </w:r>
            <w:r>
              <w:rPr>
                <w:b/>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100.08</w:t>
            </w:r>
            <w:r>
              <w:rPr>
                <w:b/>
                <w:color w:val="000000"/>
                <w:sz w:val="20"/>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100.08</w:t>
            </w:r>
            <w:r>
              <w:rPr>
                <w:b/>
                <w:color w:val="000000"/>
                <w:sz w:val="20"/>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7.48</w:t>
            </w:r>
            <w:r>
              <w:rPr>
                <w:b/>
                <w:color w:val="000000"/>
                <w:sz w:val="20"/>
              </w:rPr>
              <w:t xml:space="preserve"> </w:t>
            </w:r>
          </w:p>
        </w:tc>
      </w:tr>
      <w:tr>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2050201</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学前教育</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242.37</w:t>
            </w:r>
            <w:r>
              <w:rPr>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134.81</w:t>
            </w:r>
            <w:r>
              <w:rPr>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100.08</w:t>
            </w:r>
            <w:r>
              <w:rPr>
                <w:color w:val="000000"/>
                <w:sz w:val="20"/>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100.08</w:t>
            </w:r>
            <w:r>
              <w:rPr>
                <w:color w:val="000000"/>
                <w:sz w:val="20"/>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7.48</w:t>
            </w:r>
            <w:r>
              <w:rPr>
                <w:color w:val="000000"/>
                <w:sz w:val="20"/>
              </w:rPr>
              <w:t xml:space="preserve"> </w:t>
            </w:r>
          </w:p>
        </w:tc>
      </w:tr>
      <w:tr>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9.66</w:t>
            </w:r>
            <w:r>
              <w:rPr>
                <w:b/>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9.66</w:t>
            </w:r>
            <w:r>
              <w:rPr>
                <w:b/>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r>
      <w:tr>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9.66</w:t>
            </w:r>
            <w:r>
              <w:rPr>
                <w:b/>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9.66</w:t>
            </w:r>
            <w:r>
              <w:rPr>
                <w:b/>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r>
      <w:tr>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6.44</w:t>
            </w:r>
            <w:r>
              <w:rPr>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6.44</w:t>
            </w:r>
            <w:r>
              <w:rPr>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r>
      <w:tr>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3.22</w:t>
            </w:r>
            <w:r>
              <w:rPr>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3.22</w:t>
            </w:r>
            <w:r>
              <w:rPr>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r>
      <w:tr>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4.95</w:t>
            </w:r>
            <w:r>
              <w:rPr>
                <w:b/>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4.95</w:t>
            </w:r>
            <w:r>
              <w:rPr>
                <w:b/>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r>
      <w:tr>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4.95</w:t>
            </w:r>
            <w:r>
              <w:rPr>
                <w:b/>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4.95</w:t>
            </w:r>
            <w:r>
              <w:rPr>
                <w:b/>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r>
      <w:tr>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3.22</w:t>
            </w:r>
            <w:r>
              <w:rPr>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3.22</w:t>
            </w:r>
            <w:r>
              <w:rPr>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r>
      <w:tr>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1.73</w:t>
            </w:r>
            <w:r>
              <w:rPr>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1.73</w:t>
            </w:r>
            <w:r>
              <w:rPr>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r>
      <w:tr>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4.78</w:t>
            </w:r>
            <w:r>
              <w:rPr>
                <w:b/>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4.78</w:t>
            </w:r>
            <w:r>
              <w:rPr>
                <w:b/>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r>
      <w:tr>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4.78</w:t>
            </w:r>
            <w:r>
              <w:rPr>
                <w:b/>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4.78</w:t>
            </w:r>
            <w:r>
              <w:rPr>
                <w:b/>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r>
      <w:tr>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4.78</w:t>
            </w:r>
            <w:r>
              <w:rPr>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4.78</w:t>
            </w:r>
            <w:r>
              <w:rPr>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7"/>
        <w:tblW w:w="15408" w:type="dxa"/>
        <w:tblInd w:w="0" w:type="dxa"/>
        <w:tblLayout w:type="fixed"/>
        <w:tblCellMar>
          <w:top w:w="0" w:type="dxa"/>
          <w:left w:w="0" w:type="dxa"/>
          <w:bottom w:w="0" w:type="dxa"/>
          <w:right w:w="0" w:type="dxa"/>
        </w:tblCellMar>
      </w:tblPr>
      <w:tblGrid>
        <w:gridCol w:w="1806"/>
        <w:gridCol w:w="3362"/>
        <w:gridCol w:w="1704"/>
        <w:gridCol w:w="1704"/>
        <w:gridCol w:w="1704"/>
        <w:gridCol w:w="1688"/>
        <w:gridCol w:w="1688"/>
        <w:gridCol w:w="1752"/>
      </w:tblGrid>
      <w:tr>
        <w:tblPrEx>
          <w:tblCellMar>
            <w:top w:w="0" w:type="dxa"/>
            <w:left w:w="0" w:type="dxa"/>
            <w:bottom w:w="0" w:type="dxa"/>
            <w:right w:w="0" w:type="dxa"/>
          </w:tblCellMar>
        </w:tblPrEx>
        <w:trPr>
          <w:trHeight w:val="636" w:hRule="atLeast"/>
        </w:trPr>
        <w:tc>
          <w:tcPr>
            <w:tcW w:w="15408"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32" w:hRule="atLeast"/>
        </w:trPr>
        <w:tc>
          <w:tcPr>
            <w:tcW w:w="687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公开单位</w:t>
            </w:r>
            <w:r>
              <w:rPr>
                <w:rFonts w:cs="宋体"/>
                <w:color w:val="000000"/>
                <w:sz w:val="20"/>
                <w:szCs w:val="20"/>
              </w:rPr>
              <w:t xml:space="preserve">： </w:t>
            </w:r>
            <w:r>
              <w:rPr>
                <w:color w:val="000000"/>
                <w:sz w:val="20"/>
              </w:rPr>
              <w:t xml:space="preserve">重庆市丰都县水天坪幼儿园 </w:t>
            </w:r>
          </w:p>
        </w:tc>
        <w:tc>
          <w:tcPr>
            <w:tcW w:w="170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8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8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50"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公开03表</w:t>
            </w:r>
          </w:p>
        </w:tc>
      </w:tr>
      <w:tr>
        <w:tblPrEx>
          <w:tblCellMar>
            <w:top w:w="0" w:type="dxa"/>
            <w:left w:w="0" w:type="dxa"/>
            <w:bottom w:w="0" w:type="dxa"/>
            <w:right w:w="0" w:type="dxa"/>
          </w:tblCellMar>
        </w:tblPrEx>
        <w:trPr>
          <w:trHeight w:val="332" w:hRule="atLeast"/>
        </w:trPr>
        <w:tc>
          <w:tcPr>
            <w:tcW w:w="687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8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8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50"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52" w:hRule="atLeast"/>
        </w:trPr>
        <w:tc>
          <w:tcPr>
            <w:tcW w:w="5168" w:type="dxa"/>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704"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04"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04"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688"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688"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75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28" w:hRule="atLeast"/>
        </w:trPr>
        <w:tc>
          <w:tcPr>
            <w:tcW w:w="1806" w:type="dxa"/>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361" w:type="dxa"/>
            <w:vMerge w:val="restart"/>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4"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704"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704"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688"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688"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75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8" w:hRule="atLeast"/>
        </w:trPr>
        <w:tc>
          <w:tcPr>
            <w:tcW w:w="1806"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0"/>
                <w:szCs w:val="20"/>
              </w:rPr>
            </w:pPr>
          </w:p>
        </w:tc>
        <w:tc>
          <w:tcPr>
            <w:tcW w:w="3361"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cs="宋体"/>
                <w:b/>
                <w:color w:val="000000"/>
                <w:sz w:val="20"/>
                <w:szCs w:val="20"/>
              </w:rPr>
            </w:pPr>
          </w:p>
        </w:tc>
        <w:tc>
          <w:tcPr>
            <w:tcW w:w="1704"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704"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704"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688"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688"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75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8" w:hRule="atLeast"/>
        </w:trPr>
        <w:tc>
          <w:tcPr>
            <w:tcW w:w="1806"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0"/>
                <w:szCs w:val="20"/>
              </w:rPr>
            </w:pPr>
          </w:p>
        </w:tc>
        <w:tc>
          <w:tcPr>
            <w:tcW w:w="3361"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cs="宋体"/>
                <w:b/>
                <w:color w:val="000000"/>
                <w:sz w:val="20"/>
                <w:szCs w:val="20"/>
              </w:rPr>
            </w:pPr>
          </w:p>
        </w:tc>
        <w:tc>
          <w:tcPr>
            <w:tcW w:w="1704"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704"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704"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688"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688"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75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8" w:hRule="atLeast"/>
        </w:trPr>
        <w:tc>
          <w:tcPr>
            <w:tcW w:w="1806"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0"/>
                <w:szCs w:val="20"/>
              </w:rPr>
            </w:pPr>
          </w:p>
        </w:tc>
        <w:tc>
          <w:tcPr>
            <w:tcW w:w="3361"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cs="宋体"/>
                <w:b/>
                <w:color w:val="000000"/>
                <w:sz w:val="20"/>
                <w:szCs w:val="20"/>
              </w:rPr>
            </w:pPr>
          </w:p>
        </w:tc>
        <w:tc>
          <w:tcPr>
            <w:tcW w:w="1704"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704"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704"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688"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688"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75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52" w:hRule="atLeast"/>
        </w:trPr>
        <w:tc>
          <w:tcPr>
            <w:tcW w:w="5168"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bCs/>
                <w:color w:val="000000"/>
                <w:sz w:val="20"/>
                <w:szCs w:val="20"/>
              </w:rPr>
              <w:t>335.49</w:t>
            </w:r>
            <w:r>
              <w:rPr>
                <w:b/>
                <w:color w:val="000000"/>
                <w:sz w:val="20"/>
              </w:rPr>
              <w:t xml:space="preserve"> </w:t>
            </w:r>
          </w:p>
        </w:tc>
        <w:tc>
          <w:tcPr>
            <w:tcW w:w="17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bCs/>
                <w:color w:val="000000"/>
                <w:sz w:val="20"/>
                <w:szCs w:val="20"/>
              </w:rPr>
              <w:t>223.07</w:t>
            </w:r>
            <w:r>
              <w:rPr>
                <w:b/>
                <w:color w:val="000000"/>
                <w:sz w:val="20"/>
              </w:rPr>
              <w:t xml:space="preserve"> </w:t>
            </w:r>
          </w:p>
        </w:tc>
        <w:tc>
          <w:tcPr>
            <w:tcW w:w="17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bCs/>
                <w:color w:val="000000"/>
                <w:sz w:val="20"/>
                <w:szCs w:val="20"/>
              </w:rPr>
              <w:t>112.42</w:t>
            </w:r>
            <w:r>
              <w:rPr>
                <w:b/>
                <w:color w:val="000000"/>
                <w:sz w:val="20"/>
              </w:rPr>
              <w:t xml:space="preserve"> </w:t>
            </w:r>
          </w:p>
        </w:tc>
        <w:tc>
          <w:tcPr>
            <w:tcW w:w="16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rPr>
              <w:t xml:space="preserve"> </w:t>
            </w:r>
          </w:p>
        </w:tc>
        <w:tc>
          <w:tcPr>
            <w:tcW w:w="16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rPr>
              <w:t xml:space="preserve"> </w:t>
            </w:r>
          </w:p>
        </w:tc>
        <w:tc>
          <w:tcPr>
            <w:tcW w:w="1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rPr>
              <w:t xml:space="preserve"> </w:t>
            </w:r>
          </w:p>
        </w:tc>
      </w:tr>
      <w:tr>
        <w:tblPrEx>
          <w:tblCellMar>
            <w:top w:w="0" w:type="dxa"/>
            <w:left w:w="0" w:type="dxa"/>
            <w:bottom w:w="0" w:type="dxa"/>
            <w:right w:w="0" w:type="dxa"/>
          </w:tblCellMar>
        </w:tblPrEx>
        <w:trPr>
          <w:trHeight w:val="371" w:hRule="atLeast"/>
        </w:trPr>
        <w:tc>
          <w:tcPr>
            <w:tcW w:w="18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3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316.11</w:t>
            </w:r>
            <w:r>
              <w:rPr>
                <w:b/>
                <w:color w:val="000000"/>
                <w:sz w:val="20"/>
              </w:rPr>
              <w:t xml:space="preserve"> </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203.68</w:t>
            </w:r>
            <w:r>
              <w:rPr>
                <w:b/>
                <w:color w:val="000000"/>
                <w:sz w:val="20"/>
              </w:rPr>
              <w:t xml:space="preserve"> </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112.42</w:t>
            </w:r>
            <w:r>
              <w:rPr>
                <w:b/>
                <w:color w:val="000000"/>
                <w:sz w:val="20"/>
              </w:rPr>
              <w:t xml:space="preserve"> </w:t>
            </w:r>
          </w:p>
        </w:tc>
        <w:tc>
          <w:tcPr>
            <w:tcW w:w="16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6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r>
      <w:tr>
        <w:tblPrEx>
          <w:tblCellMar>
            <w:top w:w="0" w:type="dxa"/>
            <w:left w:w="0" w:type="dxa"/>
            <w:bottom w:w="0" w:type="dxa"/>
            <w:right w:w="0" w:type="dxa"/>
          </w:tblCellMar>
        </w:tblPrEx>
        <w:trPr>
          <w:trHeight w:val="371" w:hRule="atLeast"/>
        </w:trPr>
        <w:tc>
          <w:tcPr>
            <w:tcW w:w="18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20502</w:t>
            </w:r>
          </w:p>
        </w:tc>
        <w:tc>
          <w:tcPr>
            <w:tcW w:w="33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普通教育</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316.11</w:t>
            </w:r>
            <w:r>
              <w:rPr>
                <w:b/>
                <w:color w:val="000000"/>
                <w:sz w:val="20"/>
              </w:rPr>
              <w:t xml:space="preserve"> </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203.68</w:t>
            </w:r>
            <w:r>
              <w:rPr>
                <w:b/>
                <w:color w:val="000000"/>
                <w:sz w:val="20"/>
              </w:rPr>
              <w:t xml:space="preserve"> </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112.42</w:t>
            </w:r>
            <w:r>
              <w:rPr>
                <w:b/>
                <w:color w:val="000000"/>
                <w:sz w:val="20"/>
              </w:rPr>
              <w:t xml:space="preserve"> </w:t>
            </w:r>
          </w:p>
        </w:tc>
        <w:tc>
          <w:tcPr>
            <w:tcW w:w="16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6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r>
      <w:tr>
        <w:tblPrEx>
          <w:tblCellMar>
            <w:top w:w="0" w:type="dxa"/>
            <w:left w:w="0" w:type="dxa"/>
            <w:bottom w:w="0" w:type="dxa"/>
            <w:right w:w="0" w:type="dxa"/>
          </w:tblCellMar>
        </w:tblPrEx>
        <w:trPr>
          <w:trHeight w:val="371" w:hRule="atLeast"/>
        </w:trPr>
        <w:tc>
          <w:tcPr>
            <w:tcW w:w="18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2050201</w:t>
            </w:r>
          </w:p>
        </w:tc>
        <w:tc>
          <w:tcPr>
            <w:tcW w:w="33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学前教育</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316.11</w:t>
            </w:r>
            <w:r>
              <w:rPr>
                <w:color w:val="000000"/>
                <w:sz w:val="20"/>
              </w:rPr>
              <w:t xml:space="preserve"> </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203.68</w:t>
            </w:r>
            <w:r>
              <w:rPr>
                <w:color w:val="000000"/>
                <w:sz w:val="20"/>
              </w:rPr>
              <w:t xml:space="preserve"> </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112.42</w:t>
            </w:r>
            <w:r>
              <w:rPr>
                <w:color w:val="000000"/>
                <w:sz w:val="20"/>
              </w:rPr>
              <w:t xml:space="preserve"> </w:t>
            </w:r>
          </w:p>
        </w:tc>
        <w:tc>
          <w:tcPr>
            <w:tcW w:w="16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6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r>
      <w:tr>
        <w:tblPrEx>
          <w:tblCellMar>
            <w:top w:w="0" w:type="dxa"/>
            <w:left w:w="0" w:type="dxa"/>
            <w:bottom w:w="0" w:type="dxa"/>
            <w:right w:w="0" w:type="dxa"/>
          </w:tblCellMar>
        </w:tblPrEx>
        <w:trPr>
          <w:trHeight w:val="371" w:hRule="atLeast"/>
        </w:trPr>
        <w:tc>
          <w:tcPr>
            <w:tcW w:w="18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3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9.66</w:t>
            </w:r>
            <w:r>
              <w:rPr>
                <w:b/>
                <w:color w:val="000000"/>
                <w:sz w:val="20"/>
              </w:rPr>
              <w:t xml:space="preserve"> </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9.66</w:t>
            </w:r>
            <w:r>
              <w:rPr>
                <w:b/>
                <w:color w:val="000000"/>
                <w:sz w:val="20"/>
              </w:rPr>
              <w:t xml:space="preserve"> </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6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6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r>
      <w:tr>
        <w:tblPrEx>
          <w:tblCellMar>
            <w:top w:w="0" w:type="dxa"/>
            <w:left w:w="0" w:type="dxa"/>
            <w:bottom w:w="0" w:type="dxa"/>
            <w:right w:w="0" w:type="dxa"/>
          </w:tblCellMar>
        </w:tblPrEx>
        <w:trPr>
          <w:trHeight w:val="371" w:hRule="atLeast"/>
        </w:trPr>
        <w:tc>
          <w:tcPr>
            <w:tcW w:w="18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3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9.66</w:t>
            </w:r>
            <w:r>
              <w:rPr>
                <w:b/>
                <w:color w:val="000000"/>
                <w:sz w:val="20"/>
              </w:rPr>
              <w:t xml:space="preserve"> </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9.66</w:t>
            </w:r>
            <w:r>
              <w:rPr>
                <w:b/>
                <w:color w:val="000000"/>
                <w:sz w:val="20"/>
              </w:rPr>
              <w:t xml:space="preserve"> </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6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6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r>
      <w:tr>
        <w:tblPrEx>
          <w:tblCellMar>
            <w:top w:w="0" w:type="dxa"/>
            <w:left w:w="0" w:type="dxa"/>
            <w:bottom w:w="0" w:type="dxa"/>
            <w:right w:w="0" w:type="dxa"/>
          </w:tblCellMar>
        </w:tblPrEx>
        <w:trPr>
          <w:trHeight w:val="371" w:hRule="atLeast"/>
        </w:trPr>
        <w:tc>
          <w:tcPr>
            <w:tcW w:w="18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3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6.44</w:t>
            </w:r>
            <w:r>
              <w:rPr>
                <w:color w:val="000000"/>
                <w:sz w:val="20"/>
              </w:rPr>
              <w:t xml:space="preserve"> </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6.44</w:t>
            </w:r>
            <w:r>
              <w:rPr>
                <w:color w:val="000000"/>
                <w:sz w:val="20"/>
              </w:rPr>
              <w:t xml:space="preserve"> </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6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6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r>
      <w:tr>
        <w:tblPrEx>
          <w:tblCellMar>
            <w:top w:w="0" w:type="dxa"/>
            <w:left w:w="0" w:type="dxa"/>
            <w:bottom w:w="0" w:type="dxa"/>
            <w:right w:w="0" w:type="dxa"/>
          </w:tblCellMar>
        </w:tblPrEx>
        <w:trPr>
          <w:trHeight w:val="371" w:hRule="atLeast"/>
        </w:trPr>
        <w:tc>
          <w:tcPr>
            <w:tcW w:w="18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3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3.22</w:t>
            </w:r>
            <w:r>
              <w:rPr>
                <w:color w:val="000000"/>
                <w:sz w:val="20"/>
              </w:rPr>
              <w:t xml:space="preserve"> </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3.22</w:t>
            </w:r>
            <w:r>
              <w:rPr>
                <w:color w:val="000000"/>
                <w:sz w:val="20"/>
              </w:rPr>
              <w:t xml:space="preserve"> </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6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6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r>
      <w:tr>
        <w:tblPrEx>
          <w:tblCellMar>
            <w:top w:w="0" w:type="dxa"/>
            <w:left w:w="0" w:type="dxa"/>
            <w:bottom w:w="0" w:type="dxa"/>
            <w:right w:w="0" w:type="dxa"/>
          </w:tblCellMar>
        </w:tblPrEx>
        <w:trPr>
          <w:trHeight w:val="371" w:hRule="atLeast"/>
        </w:trPr>
        <w:tc>
          <w:tcPr>
            <w:tcW w:w="18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3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4.95</w:t>
            </w:r>
            <w:r>
              <w:rPr>
                <w:b/>
                <w:color w:val="000000"/>
                <w:sz w:val="20"/>
              </w:rPr>
              <w:t xml:space="preserve"> </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4.95</w:t>
            </w:r>
            <w:r>
              <w:rPr>
                <w:b/>
                <w:color w:val="000000"/>
                <w:sz w:val="20"/>
              </w:rPr>
              <w:t xml:space="preserve"> </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6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6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r>
      <w:tr>
        <w:tblPrEx>
          <w:tblCellMar>
            <w:top w:w="0" w:type="dxa"/>
            <w:left w:w="0" w:type="dxa"/>
            <w:bottom w:w="0" w:type="dxa"/>
            <w:right w:w="0" w:type="dxa"/>
          </w:tblCellMar>
        </w:tblPrEx>
        <w:trPr>
          <w:trHeight w:val="371" w:hRule="atLeast"/>
        </w:trPr>
        <w:tc>
          <w:tcPr>
            <w:tcW w:w="18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3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4.95</w:t>
            </w:r>
            <w:r>
              <w:rPr>
                <w:b/>
                <w:color w:val="000000"/>
                <w:sz w:val="20"/>
              </w:rPr>
              <w:t xml:space="preserve"> </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4.95</w:t>
            </w:r>
            <w:r>
              <w:rPr>
                <w:b/>
                <w:color w:val="000000"/>
                <w:sz w:val="20"/>
              </w:rPr>
              <w:t xml:space="preserve"> </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6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6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r>
      <w:tr>
        <w:tblPrEx>
          <w:tblCellMar>
            <w:top w:w="0" w:type="dxa"/>
            <w:left w:w="0" w:type="dxa"/>
            <w:bottom w:w="0" w:type="dxa"/>
            <w:right w:w="0" w:type="dxa"/>
          </w:tblCellMar>
        </w:tblPrEx>
        <w:trPr>
          <w:trHeight w:val="371" w:hRule="atLeast"/>
        </w:trPr>
        <w:tc>
          <w:tcPr>
            <w:tcW w:w="18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3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3.22</w:t>
            </w:r>
            <w:r>
              <w:rPr>
                <w:color w:val="000000"/>
                <w:sz w:val="20"/>
              </w:rPr>
              <w:t xml:space="preserve"> </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3.22</w:t>
            </w:r>
            <w:r>
              <w:rPr>
                <w:color w:val="000000"/>
                <w:sz w:val="20"/>
              </w:rPr>
              <w:t xml:space="preserve"> </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6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6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r>
      <w:tr>
        <w:tblPrEx>
          <w:tblCellMar>
            <w:top w:w="0" w:type="dxa"/>
            <w:left w:w="0" w:type="dxa"/>
            <w:bottom w:w="0" w:type="dxa"/>
            <w:right w:w="0" w:type="dxa"/>
          </w:tblCellMar>
        </w:tblPrEx>
        <w:trPr>
          <w:trHeight w:val="371" w:hRule="atLeast"/>
        </w:trPr>
        <w:tc>
          <w:tcPr>
            <w:tcW w:w="18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3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1.73</w:t>
            </w:r>
            <w:r>
              <w:rPr>
                <w:color w:val="000000"/>
                <w:sz w:val="20"/>
              </w:rPr>
              <w:t xml:space="preserve"> </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1.73</w:t>
            </w:r>
            <w:r>
              <w:rPr>
                <w:color w:val="000000"/>
                <w:sz w:val="20"/>
              </w:rPr>
              <w:t xml:space="preserve"> </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6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6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r>
      <w:tr>
        <w:tblPrEx>
          <w:tblCellMar>
            <w:top w:w="0" w:type="dxa"/>
            <w:left w:w="0" w:type="dxa"/>
            <w:bottom w:w="0" w:type="dxa"/>
            <w:right w:w="0" w:type="dxa"/>
          </w:tblCellMar>
        </w:tblPrEx>
        <w:trPr>
          <w:trHeight w:val="371" w:hRule="atLeast"/>
        </w:trPr>
        <w:tc>
          <w:tcPr>
            <w:tcW w:w="18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3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4.78</w:t>
            </w:r>
            <w:r>
              <w:rPr>
                <w:b/>
                <w:color w:val="000000"/>
                <w:sz w:val="20"/>
              </w:rPr>
              <w:t xml:space="preserve"> </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4.78</w:t>
            </w:r>
            <w:r>
              <w:rPr>
                <w:b/>
                <w:color w:val="000000"/>
                <w:sz w:val="20"/>
              </w:rPr>
              <w:t xml:space="preserve"> </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6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6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r>
      <w:tr>
        <w:tblPrEx>
          <w:tblCellMar>
            <w:top w:w="0" w:type="dxa"/>
            <w:left w:w="0" w:type="dxa"/>
            <w:bottom w:w="0" w:type="dxa"/>
            <w:right w:w="0" w:type="dxa"/>
          </w:tblCellMar>
        </w:tblPrEx>
        <w:trPr>
          <w:trHeight w:val="371" w:hRule="atLeast"/>
        </w:trPr>
        <w:tc>
          <w:tcPr>
            <w:tcW w:w="18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3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4.78</w:t>
            </w:r>
            <w:r>
              <w:rPr>
                <w:b/>
                <w:color w:val="000000"/>
                <w:sz w:val="20"/>
              </w:rPr>
              <w:t xml:space="preserve"> </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4.78</w:t>
            </w:r>
            <w:r>
              <w:rPr>
                <w:b/>
                <w:color w:val="000000"/>
                <w:sz w:val="20"/>
              </w:rPr>
              <w:t xml:space="preserve"> </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6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6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r>
      <w:tr>
        <w:tblPrEx>
          <w:tblCellMar>
            <w:top w:w="0" w:type="dxa"/>
            <w:left w:w="0" w:type="dxa"/>
            <w:bottom w:w="0" w:type="dxa"/>
            <w:right w:w="0" w:type="dxa"/>
          </w:tblCellMar>
        </w:tblPrEx>
        <w:trPr>
          <w:trHeight w:val="371" w:hRule="atLeast"/>
        </w:trPr>
        <w:tc>
          <w:tcPr>
            <w:tcW w:w="18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3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4.78</w:t>
            </w:r>
            <w:r>
              <w:rPr>
                <w:color w:val="000000"/>
                <w:sz w:val="20"/>
              </w:rPr>
              <w:t xml:space="preserve"> </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4.78</w:t>
            </w:r>
            <w:r>
              <w:rPr>
                <w:color w:val="000000"/>
                <w:sz w:val="20"/>
              </w:rPr>
              <w:t xml:space="preserve"> </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6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6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7"/>
        <w:tblW w:w="14732" w:type="dxa"/>
        <w:tblInd w:w="0" w:type="dxa"/>
        <w:tblLayout w:type="fixed"/>
        <w:tblCellMar>
          <w:top w:w="0" w:type="dxa"/>
          <w:left w:w="0" w:type="dxa"/>
          <w:bottom w:w="0" w:type="dxa"/>
          <w:right w:w="0" w:type="dxa"/>
        </w:tblCellMar>
      </w:tblPr>
      <w:tblGrid>
        <w:gridCol w:w="2979"/>
        <w:gridCol w:w="1526"/>
        <w:gridCol w:w="3191"/>
        <w:gridCol w:w="1700"/>
        <w:gridCol w:w="1700"/>
        <w:gridCol w:w="1700"/>
        <w:gridCol w:w="1936"/>
      </w:tblGrid>
      <w:tr>
        <w:tblPrEx>
          <w:tblCellMar>
            <w:top w:w="0" w:type="dxa"/>
            <w:left w:w="0" w:type="dxa"/>
            <w:bottom w:w="0" w:type="dxa"/>
            <w:right w:w="0" w:type="dxa"/>
          </w:tblCellMar>
        </w:tblPrEx>
        <w:trPr>
          <w:trHeight w:val="90" w:hRule="atLeast"/>
        </w:trPr>
        <w:tc>
          <w:tcPr>
            <w:tcW w:w="14732"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7696" w:type="dxa"/>
            <w:gridSpan w:val="3"/>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公开单位</w:t>
            </w:r>
            <w:r>
              <w:rPr>
                <w:rFonts w:cs="宋体"/>
                <w:color w:val="000000"/>
                <w:sz w:val="20"/>
                <w:szCs w:val="20"/>
              </w:rPr>
              <w:t xml:space="preserve">： </w:t>
            </w:r>
            <w:r>
              <w:rPr>
                <w:color w:val="000000"/>
                <w:sz w:val="20"/>
              </w:rPr>
              <w:t>重庆市丰都县水天坪幼儿园</w:t>
            </w: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36" w:type="dxa"/>
            <w:tcBorders>
              <w:top w:val="nil"/>
              <w:left w:val="nil"/>
              <w:bottom w:val="nil"/>
              <w:right w:val="nil"/>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公开04表</w:t>
            </w:r>
          </w:p>
        </w:tc>
      </w:tr>
      <w:tr>
        <w:tblPrEx>
          <w:tblCellMar>
            <w:top w:w="0" w:type="dxa"/>
            <w:left w:w="0" w:type="dxa"/>
            <w:bottom w:w="0" w:type="dxa"/>
            <w:right w:w="0" w:type="dxa"/>
          </w:tblCellMar>
        </w:tblPrEx>
        <w:trPr>
          <w:trHeight w:val="90" w:hRule="atLeast"/>
        </w:trPr>
        <w:tc>
          <w:tcPr>
            <w:tcW w:w="7696"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36"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4505"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227" w:type="dxa"/>
            <w:gridSpan w:val="5"/>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297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6"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9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36" w:type="dxa"/>
            <w:gridSpan w:val="4"/>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297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cs="宋体"/>
                <w:b/>
                <w:color w:val="000000"/>
                <w:sz w:val="18"/>
                <w:szCs w:val="18"/>
              </w:rPr>
            </w:pPr>
          </w:p>
        </w:tc>
        <w:tc>
          <w:tcPr>
            <w:tcW w:w="152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cs="宋体"/>
                <w:b/>
                <w:color w:val="000000"/>
                <w:sz w:val="18"/>
                <w:szCs w:val="18"/>
              </w:rPr>
            </w:pPr>
          </w:p>
        </w:tc>
        <w:tc>
          <w:tcPr>
            <w:tcW w:w="319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70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70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一、一般公共预算财政拨款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154.19</w:t>
            </w:r>
            <w:r>
              <w:rPr>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一、一般公共服务支出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二、政府性基金预算财政拨款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二、外交支出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三、国有资本经营预算财政拨款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三、国防支出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四、公共安全支出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五、教育支出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216.90</w:t>
            </w:r>
            <w:r>
              <w:rPr>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216.90</w:t>
            </w:r>
            <w:r>
              <w:rPr>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六、科学技术支出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七、文化旅游体育与传媒支出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八、社会保障和就业支出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9.66</w:t>
            </w:r>
            <w:r>
              <w:rPr>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9.66</w:t>
            </w:r>
            <w:r>
              <w:rPr>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九、卫生健康支出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4.95</w:t>
            </w:r>
            <w:r>
              <w:rPr>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4.95</w:t>
            </w:r>
            <w:r>
              <w:rPr>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十、节能环保支出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十一、城乡社区支出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十二、农林水支出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十三、交通运输支出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十四、资源勘探工业信息等支出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十五、商业服务业等支出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十六、金融支出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十七、援助其他地区支出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十八、自然资源海洋气象等支出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十九、住房保障支出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4.78</w:t>
            </w:r>
            <w:r>
              <w:rPr>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4.78</w:t>
            </w:r>
            <w:r>
              <w:rPr>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二十、粮油物资储备支出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二十一、国有资本经营预算支出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二十二、灾害防治及应急管理支出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二十三、其他支出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spacing w:line="200" w:lineRule="exact"/>
              <w:rPr>
                <w:rFonts w:hint="default"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二十四、债务还本支出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spacing w:line="200" w:lineRule="exact"/>
              <w:rPr>
                <w:rFonts w:hint="default"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二十五、债务付息支出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spacing w:line="200" w:lineRule="exact"/>
              <w:rPr>
                <w:rFonts w:hint="default"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二十六、抗疫特别国债安排的支出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本年收入合计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154.19</w:t>
            </w:r>
            <w:r>
              <w:rPr>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本年支出合计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236.28</w:t>
            </w:r>
            <w:r>
              <w:rPr>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236.28</w:t>
            </w:r>
            <w:r>
              <w:rPr>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年初财政拨款结转和结余</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82.09</w:t>
            </w:r>
            <w:r>
              <w:rPr>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年末财政拨款结转和结余</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82.09</w:t>
            </w:r>
            <w:r>
              <w:rPr>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236.28</w:t>
            </w:r>
            <w:r>
              <w:rPr>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236.28</w:t>
            </w:r>
            <w:r>
              <w:rPr>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236.28</w:t>
            </w:r>
            <w:r>
              <w:rPr>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1857"/>
        <w:gridCol w:w="3549"/>
        <w:gridCol w:w="3319"/>
        <w:gridCol w:w="3319"/>
        <w:gridCol w:w="3334"/>
      </w:tblGrid>
      <w:tr>
        <w:tblPrEx>
          <w:tblCellMar>
            <w:top w:w="0" w:type="dxa"/>
            <w:left w:w="0" w:type="dxa"/>
            <w:bottom w:w="0" w:type="dxa"/>
            <w:right w:w="0" w:type="dxa"/>
          </w:tblCellMar>
        </w:tblPrEx>
        <w:trPr>
          <w:trHeight w:val="510" w:hRule="atLeast"/>
        </w:trPr>
        <w:tc>
          <w:tcPr>
            <w:tcW w:w="15378"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8725"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公开单位</w:t>
            </w:r>
            <w:r>
              <w:rPr>
                <w:rFonts w:cs="宋体"/>
                <w:color w:val="000000"/>
                <w:sz w:val="20"/>
                <w:szCs w:val="20"/>
              </w:rPr>
              <w:t xml:space="preserve">： </w:t>
            </w:r>
            <w:r>
              <w:rPr>
                <w:color w:val="000000"/>
                <w:sz w:val="20"/>
              </w:rPr>
              <w:t>重庆市丰都县水天坪幼儿园</w:t>
            </w:r>
          </w:p>
        </w:tc>
        <w:tc>
          <w:tcPr>
            <w:tcW w:w="331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3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公开05表</w:t>
            </w:r>
          </w:p>
        </w:tc>
      </w:tr>
      <w:tr>
        <w:tblPrEx>
          <w:tblCellMar>
            <w:top w:w="0" w:type="dxa"/>
            <w:left w:w="0" w:type="dxa"/>
            <w:bottom w:w="0" w:type="dxa"/>
            <w:right w:w="0" w:type="dxa"/>
          </w:tblCellMar>
        </w:tblPrEx>
        <w:trPr>
          <w:trHeight w:val="285" w:hRule="atLeast"/>
        </w:trPr>
        <w:tc>
          <w:tcPr>
            <w:tcW w:w="8725"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1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3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5406"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72"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1857"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49"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19"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19"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34"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1857"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354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331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331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3334"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1857"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354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331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331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3334"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5406"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bCs/>
                <w:color w:val="000000"/>
                <w:sz w:val="20"/>
                <w:szCs w:val="20"/>
              </w:rPr>
              <w:t>236.28</w:t>
            </w:r>
            <w:r>
              <w:rPr>
                <w:b/>
                <w:color w:val="000000"/>
                <w:sz w:val="20"/>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bCs/>
                <w:color w:val="000000"/>
                <w:sz w:val="20"/>
                <w:szCs w:val="20"/>
              </w:rPr>
              <w:t>123.86</w:t>
            </w:r>
            <w:r>
              <w:rPr>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bCs/>
                <w:color w:val="000000"/>
                <w:sz w:val="20"/>
                <w:szCs w:val="20"/>
              </w:rPr>
              <w:t>112.42</w:t>
            </w:r>
            <w:r>
              <w:rPr>
                <w:b/>
                <w:color w:val="000000"/>
                <w:sz w:val="20"/>
              </w:rPr>
              <w:t xml:space="preserve"> </w:t>
            </w:r>
          </w:p>
        </w:tc>
      </w:tr>
      <w:tr>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216.90</w:t>
            </w:r>
            <w:r>
              <w:rPr>
                <w:b/>
                <w:color w:val="000000"/>
                <w:sz w:val="20"/>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104.47</w:t>
            </w:r>
            <w:r>
              <w:rPr>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112.42</w:t>
            </w:r>
            <w:r>
              <w:rPr>
                <w:b/>
                <w:color w:val="000000"/>
                <w:sz w:val="20"/>
              </w:rPr>
              <w:t xml:space="preserve"> </w:t>
            </w:r>
          </w:p>
        </w:tc>
      </w:tr>
      <w:tr>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20502</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普通教育</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216.90</w:t>
            </w:r>
            <w:r>
              <w:rPr>
                <w:b/>
                <w:color w:val="000000"/>
                <w:sz w:val="20"/>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104.47</w:t>
            </w:r>
            <w:r>
              <w:rPr>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112.42</w:t>
            </w:r>
            <w:r>
              <w:rPr>
                <w:b/>
                <w:color w:val="000000"/>
                <w:sz w:val="20"/>
              </w:rPr>
              <w:t xml:space="preserve"> </w:t>
            </w:r>
          </w:p>
        </w:tc>
      </w:tr>
      <w:tr>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2050201</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学前教育</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216.90</w:t>
            </w:r>
            <w:r>
              <w:rPr>
                <w:color w:val="000000"/>
                <w:sz w:val="20"/>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104.47</w:t>
            </w:r>
            <w:r>
              <w:rPr>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112.42</w:t>
            </w:r>
            <w:r>
              <w:rPr>
                <w:color w:val="000000"/>
                <w:sz w:val="20"/>
              </w:rPr>
              <w:t xml:space="preserve"> </w:t>
            </w:r>
          </w:p>
        </w:tc>
      </w:tr>
      <w:tr>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9.66</w:t>
            </w:r>
            <w:r>
              <w:rPr>
                <w:b/>
                <w:color w:val="000000"/>
                <w:sz w:val="20"/>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9.66</w:t>
            </w:r>
            <w:r>
              <w:rPr>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rPr>
              <w:t xml:space="preserve"> </w:t>
            </w:r>
          </w:p>
        </w:tc>
      </w:tr>
      <w:tr>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9.66</w:t>
            </w:r>
            <w:r>
              <w:rPr>
                <w:b/>
                <w:color w:val="000000"/>
                <w:sz w:val="20"/>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9.66</w:t>
            </w:r>
            <w:r>
              <w:rPr>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rPr>
              <w:t xml:space="preserve"> </w:t>
            </w:r>
          </w:p>
        </w:tc>
      </w:tr>
      <w:tr>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6.44</w:t>
            </w:r>
            <w:r>
              <w:rPr>
                <w:color w:val="000000"/>
                <w:sz w:val="20"/>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6.44</w:t>
            </w:r>
            <w:r>
              <w:rPr>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rPr>
              <w:t xml:space="preserve"> </w:t>
            </w:r>
          </w:p>
        </w:tc>
      </w:tr>
      <w:tr>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3.22</w:t>
            </w:r>
            <w:r>
              <w:rPr>
                <w:color w:val="000000"/>
                <w:sz w:val="20"/>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3.22</w:t>
            </w:r>
            <w:r>
              <w:rPr>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rPr>
              <w:t xml:space="preserve"> </w:t>
            </w:r>
          </w:p>
        </w:tc>
      </w:tr>
      <w:tr>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4.95</w:t>
            </w:r>
            <w:r>
              <w:rPr>
                <w:b/>
                <w:color w:val="000000"/>
                <w:sz w:val="20"/>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4.95</w:t>
            </w:r>
            <w:r>
              <w:rPr>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rPr>
              <w:t xml:space="preserve"> </w:t>
            </w:r>
          </w:p>
        </w:tc>
      </w:tr>
      <w:tr>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4.95</w:t>
            </w:r>
            <w:r>
              <w:rPr>
                <w:b/>
                <w:color w:val="000000"/>
                <w:sz w:val="20"/>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4.95</w:t>
            </w:r>
            <w:r>
              <w:rPr>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rPr>
              <w:t xml:space="preserve"> </w:t>
            </w:r>
          </w:p>
        </w:tc>
      </w:tr>
      <w:tr>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3.22</w:t>
            </w:r>
            <w:r>
              <w:rPr>
                <w:color w:val="000000"/>
                <w:sz w:val="20"/>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3.22</w:t>
            </w:r>
            <w:r>
              <w:rPr>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rPr>
              <w:t xml:space="preserve"> </w:t>
            </w:r>
          </w:p>
        </w:tc>
      </w:tr>
      <w:tr>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1.73</w:t>
            </w:r>
            <w:r>
              <w:rPr>
                <w:color w:val="000000"/>
                <w:sz w:val="20"/>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1.73</w:t>
            </w:r>
            <w:r>
              <w:rPr>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rPr>
              <w:t xml:space="preserve"> </w:t>
            </w:r>
          </w:p>
        </w:tc>
      </w:tr>
      <w:tr>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4.78</w:t>
            </w:r>
            <w:r>
              <w:rPr>
                <w:b/>
                <w:color w:val="000000"/>
                <w:sz w:val="20"/>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4.78</w:t>
            </w:r>
            <w:r>
              <w:rPr>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rPr>
              <w:t xml:space="preserve"> </w:t>
            </w:r>
          </w:p>
        </w:tc>
      </w:tr>
      <w:tr>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4.78</w:t>
            </w:r>
            <w:r>
              <w:rPr>
                <w:b/>
                <w:color w:val="000000"/>
                <w:sz w:val="20"/>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4.78</w:t>
            </w:r>
            <w:r>
              <w:rPr>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rPr>
              <w:t xml:space="preserve"> </w:t>
            </w:r>
          </w:p>
        </w:tc>
      </w:tr>
      <w:tr>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4.78</w:t>
            </w:r>
            <w:r>
              <w:rPr>
                <w:color w:val="000000"/>
                <w:sz w:val="20"/>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4.78</w:t>
            </w:r>
            <w:r>
              <w:rPr>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7"/>
        <w:tblW w:w="15360" w:type="dxa"/>
        <w:tblInd w:w="0" w:type="dxa"/>
        <w:tblLayout w:type="fixed"/>
        <w:tblCellMar>
          <w:top w:w="0" w:type="dxa"/>
          <w:left w:w="0" w:type="dxa"/>
          <w:bottom w:w="0" w:type="dxa"/>
          <w:right w:w="0" w:type="dxa"/>
        </w:tblCellMar>
      </w:tblPr>
      <w:tblGrid>
        <w:gridCol w:w="605"/>
        <w:gridCol w:w="2740"/>
        <w:gridCol w:w="1376"/>
        <w:gridCol w:w="836"/>
        <w:gridCol w:w="1923"/>
        <w:gridCol w:w="1656"/>
        <w:gridCol w:w="808"/>
        <w:gridCol w:w="3527"/>
        <w:gridCol w:w="1889"/>
      </w:tblGrid>
      <w:tr>
        <w:tblPrEx>
          <w:tblCellMar>
            <w:top w:w="0" w:type="dxa"/>
            <w:left w:w="0" w:type="dxa"/>
            <w:bottom w:w="0" w:type="dxa"/>
            <w:right w:w="0" w:type="dxa"/>
          </w:tblCellMar>
        </w:tblPrEx>
        <w:trPr>
          <w:trHeight w:val="90" w:hRule="atLeast"/>
        </w:trPr>
        <w:tc>
          <w:tcPr>
            <w:tcW w:w="15360" w:type="dxa"/>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90" w:hRule="atLeast"/>
        </w:trPr>
        <w:tc>
          <w:tcPr>
            <w:tcW w:w="5557" w:type="dxa"/>
            <w:gridSpan w:val="4"/>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公开单位</w:t>
            </w:r>
            <w:r>
              <w:rPr>
                <w:rFonts w:cs="宋体"/>
                <w:color w:val="000000"/>
                <w:sz w:val="20"/>
                <w:szCs w:val="20"/>
              </w:rPr>
              <w:t xml:space="preserve">： </w:t>
            </w:r>
            <w:r>
              <w:rPr>
                <w:color w:val="000000"/>
                <w:sz w:val="20"/>
              </w:rPr>
              <w:t>重庆市丰都县水天坪幼儿园</w:t>
            </w:r>
          </w:p>
        </w:tc>
        <w:tc>
          <w:tcPr>
            <w:tcW w:w="1923"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56"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08"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52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88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公开06表</w:t>
            </w:r>
          </w:p>
        </w:tc>
      </w:tr>
      <w:tr>
        <w:tblPrEx>
          <w:tblCellMar>
            <w:top w:w="0" w:type="dxa"/>
            <w:left w:w="0" w:type="dxa"/>
            <w:bottom w:w="0" w:type="dxa"/>
            <w:right w:w="0" w:type="dxa"/>
          </w:tblCellMar>
        </w:tblPrEx>
        <w:trPr>
          <w:trHeight w:val="90" w:hRule="atLeast"/>
        </w:trPr>
        <w:tc>
          <w:tcPr>
            <w:tcW w:w="5557" w:type="dxa"/>
            <w:gridSpan w:val="4"/>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3"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56"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08"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52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88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4721" w:type="dxa"/>
            <w:gridSpan w:val="3"/>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10639" w:type="dxa"/>
            <w:gridSpan w:val="6"/>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605"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4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eastAsia="zh-CN"/>
              </w:rPr>
              <w:t>经济</w:t>
            </w:r>
            <w:r>
              <w:rPr>
                <w:rFonts w:cs="宋体"/>
                <w:b/>
                <w:color w:val="000000"/>
                <w:sz w:val="18"/>
                <w:szCs w:val="18"/>
              </w:rPr>
              <w:t>分类科目）</w:t>
            </w:r>
          </w:p>
        </w:tc>
        <w:tc>
          <w:tcPr>
            <w:tcW w:w="1376"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36"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92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eastAsia="zh-CN"/>
              </w:rPr>
              <w:t>经济</w:t>
            </w:r>
            <w:r>
              <w:rPr>
                <w:rFonts w:cs="宋体"/>
                <w:b/>
                <w:color w:val="000000"/>
                <w:sz w:val="18"/>
                <w:szCs w:val="18"/>
              </w:rPr>
              <w:t>分类科目）</w:t>
            </w:r>
          </w:p>
        </w:tc>
        <w:tc>
          <w:tcPr>
            <w:tcW w:w="1656"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08"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52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eastAsia="zh-CN"/>
              </w:rPr>
              <w:t>经济</w:t>
            </w:r>
            <w:bookmarkStart w:id="0" w:name="_GoBack"/>
            <w:bookmarkEnd w:id="0"/>
            <w:r>
              <w:rPr>
                <w:rFonts w:cs="宋体"/>
                <w:b/>
                <w:color w:val="000000"/>
                <w:sz w:val="18"/>
                <w:szCs w:val="18"/>
              </w:rPr>
              <w:t>分类科目）</w:t>
            </w:r>
          </w:p>
        </w:tc>
        <w:tc>
          <w:tcPr>
            <w:tcW w:w="1889"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605"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cs="宋体"/>
                <w:b/>
                <w:color w:val="000000"/>
                <w:sz w:val="18"/>
                <w:szCs w:val="18"/>
              </w:rPr>
            </w:pPr>
          </w:p>
        </w:tc>
        <w:tc>
          <w:tcPr>
            <w:tcW w:w="274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cs="宋体"/>
                <w:b/>
                <w:color w:val="000000"/>
                <w:sz w:val="18"/>
                <w:szCs w:val="18"/>
              </w:rPr>
            </w:pPr>
          </w:p>
        </w:tc>
        <w:tc>
          <w:tcPr>
            <w:tcW w:w="1376"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cs="宋体"/>
                <w:b/>
                <w:color w:val="000000"/>
                <w:sz w:val="18"/>
                <w:szCs w:val="18"/>
              </w:rPr>
            </w:pPr>
          </w:p>
        </w:tc>
        <w:tc>
          <w:tcPr>
            <w:tcW w:w="83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cs="宋体"/>
                <w:b/>
                <w:color w:val="000000"/>
                <w:sz w:val="18"/>
                <w:szCs w:val="18"/>
              </w:rPr>
            </w:pPr>
          </w:p>
        </w:tc>
        <w:tc>
          <w:tcPr>
            <w:tcW w:w="192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cs="宋体"/>
                <w:b/>
                <w:color w:val="000000"/>
                <w:sz w:val="18"/>
                <w:szCs w:val="18"/>
              </w:rPr>
            </w:pPr>
          </w:p>
        </w:tc>
        <w:tc>
          <w:tcPr>
            <w:tcW w:w="1656"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cs="宋体"/>
                <w:b/>
                <w:color w:val="000000"/>
                <w:sz w:val="18"/>
                <w:szCs w:val="18"/>
              </w:rPr>
            </w:pPr>
          </w:p>
        </w:tc>
        <w:tc>
          <w:tcPr>
            <w:tcW w:w="808"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cs="宋体"/>
                <w:b/>
                <w:color w:val="000000"/>
                <w:sz w:val="18"/>
                <w:szCs w:val="18"/>
              </w:rPr>
            </w:pPr>
          </w:p>
        </w:tc>
        <w:tc>
          <w:tcPr>
            <w:tcW w:w="352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cs="宋体"/>
                <w:b/>
                <w:color w:val="000000"/>
                <w:sz w:val="18"/>
                <w:szCs w:val="18"/>
              </w:rPr>
            </w:pPr>
          </w:p>
        </w:tc>
        <w:tc>
          <w:tcPr>
            <w:tcW w:w="188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工资福利支出</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111.44</w:t>
            </w:r>
            <w:r>
              <w:rPr>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商品和服务支出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12.42</w:t>
            </w:r>
            <w:r>
              <w:rPr>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资本性支出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30101</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22.43</w:t>
            </w:r>
            <w:r>
              <w:rPr>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30201</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5.76</w:t>
            </w:r>
            <w:r>
              <w:rPr>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31001</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30102</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5.31</w:t>
            </w:r>
            <w:r>
              <w:rPr>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30202</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1.22</w:t>
            </w:r>
            <w:r>
              <w:rPr>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31002</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30103</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30203</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31003</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30106</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30204</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31005</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30107</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56.73</w:t>
            </w:r>
            <w:r>
              <w:rPr>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30205</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0.10</w:t>
            </w:r>
            <w:r>
              <w:rPr>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31006</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30108</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6.44</w:t>
            </w:r>
            <w:r>
              <w:rPr>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30206</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31007</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30109</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3.22</w:t>
            </w:r>
            <w:r>
              <w:rPr>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30207</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0.17</w:t>
            </w:r>
            <w:r>
              <w:rPr>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31008</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30110</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3.22</w:t>
            </w:r>
            <w:r>
              <w:rPr>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30208</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31009</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30111</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30209</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0.24</w:t>
            </w:r>
            <w:r>
              <w:rPr>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31010</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30112</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0.93</w:t>
            </w:r>
            <w:r>
              <w:rPr>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30211</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0.04</w:t>
            </w:r>
            <w:r>
              <w:rPr>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31011</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30113</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4.78</w:t>
            </w:r>
            <w:r>
              <w:rPr>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30212</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31012</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30114</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0.80</w:t>
            </w:r>
            <w:r>
              <w:rPr>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30213</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0.72</w:t>
            </w:r>
            <w:r>
              <w:rPr>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31013</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30199</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7.58</w:t>
            </w:r>
            <w:r>
              <w:rPr>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30214</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0.40</w:t>
            </w:r>
            <w:r>
              <w:rPr>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31019</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对个人和家庭的补助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30215</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31021</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30301</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30216</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1.91</w:t>
            </w:r>
            <w:r>
              <w:rPr>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31022</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30302</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30217</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31099</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30303</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30218</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对企业补助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30304</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30224</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31201</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30305</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30225</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31203</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30306</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30226</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0.32</w:t>
            </w:r>
            <w:r>
              <w:rPr>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31204</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30307</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30227</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31205</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30308</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30228</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0.80</w:t>
            </w:r>
            <w:r>
              <w:rPr>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31299</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30309</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30229</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其他支出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30310</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30231</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39907</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30311</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30239</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39908</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30399</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30240</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39909</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30299</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0.74</w:t>
            </w:r>
            <w:r>
              <w:rPr>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39910</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债务利息及费用支出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39999</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30701</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30702</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30703</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30704</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r>
      <w:tr>
        <w:tblPrEx>
          <w:tblCellMar>
            <w:top w:w="0" w:type="dxa"/>
            <w:left w:w="0" w:type="dxa"/>
            <w:bottom w:w="0" w:type="dxa"/>
            <w:right w:w="0" w:type="dxa"/>
          </w:tblCellMar>
        </w:tblPrEx>
        <w:trPr>
          <w:trHeight w:val="90" w:hRule="atLeast"/>
        </w:trPr>
        <w:tc>
          <w:tcPr>
            <w:tcW w:w="3345" w:type="dxa"/>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13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bottom"/>
              <w:rPr>
                <w:rFonts w:hint="default" w:cs="宋体"/>
                <w:color w:val="000000"/>
                <w:sz w:val="18"/>
                <w:szCs w:val="18"/>
              </w:rPr>
            </w:pPr>
            <w:r>
              <w:rPr>
                <w:rFonts w:cs="宋体"/>
                <w:color w:val="000000"/>
                <w:sz w:val="18"/>
                <w:szCs w:val="18"/>
              </w:rPr>
              <w:t>111.44</w:t>
            </w:r>
            <w:r>
              <w:rPr>
                <w:color w:val="000000"/>
                <w:sz w:val="18"/>
              </w:rPr>
              <w:t xml:space="preserve"> </w:t>
            </w:r>
          </w:p>
        </w:tc>
        <w:tc>
          <w:tcPr>
            <w:tcW w:w="8750" w:type="dxa"/>
            <w:gridSpan w:val="5"/>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18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12.42</w:t>
            </w:r>
            <w:r>
              <w:rPr>
                <w:color w:val="000000"/>
                <w:sz w:val="18"/>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1854"/>
        <w:gridCol w:w="3088"/>
        <w:gridCol w:w="1707"/>
        <w:gridCol w:w="1707"/>
        <w:gridCol w:w="1707"/>
        <w:gridCol w:w="1707"/>
        <w:gridCol w:w="1772"/>
        <w:gridCol w:w="1836"/>
      </w:tblGrid>
      <w:tr>
        <w:tblPrEx>
          <w:tblCellMar>
            <w:top w:w="0" w:type="dxa"/>
            <w:left w:w="0" w:type="dxa"/>
            <w:bottom w:w="0" w:type="dxa"/>
            <w:right w:w="0" w:type="dxa"/>
          </w:tblCellMar>
        </w:tblPrEx>
        <w:trPr>
          <w:trHeight w:val="644" w:hRule="atLeast"/>
        </w:trPr>
        <w:tc>
          <w:tcPr>
            <w:tcW w:w="15378"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6649"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公开单位</w:t>
            </w:r>
            <w:r>
              <w:rPr>
                <w:rFonts w:cs="宋体"/>
                <w:color w:val="000000"/>
                <w:sz w:val="20"/>
                <w:szCs w:val="20"/>
              </w:rPr>
              <w:t xml:space="preserve">： </w:t>
            </w:r>
            <w:r>
              <w:rPr>
                <w:color w:val="000000"/>
                <w:sz w:val="20"/>
              </w:rPr>
              <w:t>重庆市丰都县水天坪幼儿园</w:t>
            </w: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7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公开07表</w:t>
            </w:r>
          </w:p>
        </w:tc>
      </w:tr>
      <w:tr>
        <w:tblPrEx>
          <w:tblCellMar>
            <w:top w:w="0" w:type="dxa"/>
            <w:left w:w="0" w:type="dxa"/>
            <w:bottom w:w="0" w:type="dxa"/>
            <w:right w:w="0" w:type="dxa"/>
          </w:tblCellMar>
        </w:tblPrEx>
        <w:trPr>
          <w:trHeight w:val="329" w:hRule="atLeast"/>
        </w:trPr>
        <w:tc>
          <w:tcPr>
            <w:tcW w:w="6649"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7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4942"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7"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7"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86"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6"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1854"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088"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7"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70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72"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1854"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3088"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77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8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1854"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3088"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77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8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4942"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rPr>
              <w:t xml:space="preserve"> </w:t>
            </w:r>
          </w:p>
        </w:tc>
        <w:tc>
          <w:tcPr>
            <w:tcW w:w="1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rPr>
              <w:t xml:space="preserve"> </w:t>
            </w:r>
          </w:p>
        </w:tc>
        <w:tc>
          <w:tcPr>
            <w:tcW w:w="18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rPr>
              <w:t xml:space="preserve"> </w:t>
            </w:r>
          </w:p>
        </w:tc>
      </w:tr>
    </w:tbl>
    <w:p>
      <w:pPr>
        <w:rPr>
          <w:rFonts w:hint="default" w:cs="宋体"/>
          <w:sz w:val="21"/>
          <w:szCs w:val="21"/>
        </w:rPr>
      </w:pPr>
      <w:r>
        <w:rPr>
          <w:rFonts w:cs="宋体"/>
          <w:sz w:val="20"/>
          <w:szCs w:val="20"/>
        </w:rPr>
        <w:t>备注：本单位无政府性基金收支，故本表无数据。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1882"/>
        <w:gridCol w:w="3060"/>
        <w:gridCol w:w="3276"/>
        <w:gridCol w:w="200"/>
        <w:gridCol w:w="3475"/>
        <w:gridCol w:w="77"/>
        <w:gridCol w:w="3408"/>
      </w:tblGrid>
      <w:tr>
        <w:tblPrEx>
          <w:tblCellMar>
            <w:top w:w="0" w:type="dxa"/>
            <w:left w:w="0" w:type="dxa"/>
            <w:bottom w:w="0" w:type="dxa"/>
            <w:right w:w="0" w:type="dxa"/>
          </w:tblCellMar>
        </w:tblPrEx>
        <w:trPr>
          <w:trHeight w:val="650" w:hRule="atLeast"/>
        </w:trPr>
        <w:tc>
          <w:tcPr>
            <w:tcW w:w="15378"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8218"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公开单位</w:t>
            </w:r>
            <w:r>
              <w:rPr>
                <w:rFonts w:cs="宋体"/>
                <w:color w:val="000000"/>
                <w:sz w:val="20"/>
                <w:szCs w:val="20"/>
              </w:rPr>
              <w:t xml:space="preserve">： </w:t>
            </w:r>
            <w:r>
              <w:rPr>
                <w:color w:val="000000"/>
                <w:sz w:val="20"/>
              </w:rPr>
              <w:t>重庆市丰都县水天坪幼儿园</w:t>
            </w:r>
          </w:p>
        </w:tc>
        <w:tc>
          <w:tcPr>
            <w:tcW w:w="3752"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8"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公开08表</w:t>
            </w:r>
          </w:p>
        </w:tc>
      </w:tr>
      <w:tr>
        <w:tblPrEx>
          <w:tblCellMar>
            <w:top w:w="0" w:type="dxa"/>
            <w:left w:w="0" w:type="dxa"/>
            <w:bottom w:w="0" w:type="dxa"/>
            <w:right w:w="0" w:type="dxa"/>
          </w:tblCellMar>
        </w:tblPrEx>
        <w:trPr>
          <w:trHeight w:val="332" w:hRule="atLeast"/>
        </w:trPr>
        <w:tc>
          <w:tcPr>
            <w:tcW w:w="8218"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752"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8"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4942" w:type="dxa"/>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36" w:type="dxa"/>
            <w:gridSpan w:val="5"/>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1882"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06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76" w:type="dxa"/>
            <w:gridSpan w:val="2"/>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7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85" w:type="dxa"/>
            <w:gridSpan w:val="2"/>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188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306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3485" w:type="dxa"/>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188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306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3485" w:type="dxa"/>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188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306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3485" w:type="dxa"/>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4942"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rPr>
              <w:t xml:space="preserve"> </w:t>
            </w:r>
          </w:p>
        </w:tc>
        <w:tc>
          <w:tcPr>
            <w:tcW w:w="3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b/>
                <w:color w:val="000000"/>
                <w:sz w:val="20"/>
                <w:szCs w:val="20"/>
              </w:rPr>
            </w:pPr>
          </w:p>
        </w:tc>
        <w:tc>
          <w:tcPr>
            <w:tcW w:w="348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rPr>
              <w:t xml:space="preserve"> </w:t>
            </w:r>
          </w:p>
        </w:tc>
      </w:tr>
    </w:tbl>
    <w:p>
      <w:pPr>
        <w:rPr>
          <w:rFonts w:hint="default" w:cs="宋体"/>
          <w:sz w:val="21"/>
          <w:szCs w:val="21"/>
        </w:rPr>
      </w:pPr>
      <w:r>
        <w:rPr>
          <w:rFonts w:cs="宋体"/>
          <w:sz w:val="20"/>
          <w:szCs w:val="20"/>
        </w:rPr>
        <w:t>备注：本单位无国有资本经营收支，故本表无数据。</w:t>
      </w:r>
      <w:r>
        <w:rPr>
          <w:rFonts w:cs="宋体"/>
          <w:sz w:val="20"/>
          <w:szCs w:val="20"/>
        </w:rPr>
        <w:br w:type="textWrapping"/>
      </w:r>
      <w:r>
        <w:rPr>
          <w:rFonts w:cs="宋体"/>
          <w:sz w:val="20"/>
          <w:szCs w:val="20"/>
        </w:rPr>
        <w:br w:type="textWrapping"/>
      </w:r>
      <w:r>
        <w:rPr>
          <w:rFonts w:hint="default" w:cs="宋体"/>
          <w:sz w:val="21"/>
          <w:szCs w:val="21"/>
        </w:rPr>
        <w:br w:type="page"/>
      </w:r>
    </w:p>
    <w:tbl>
      <w:tblPr>
        <w:tblStyle w:val="7"/>
        <w:tblW w:w="15000" w:type="dxa"/>
        <w:tblInd w:w="0" w:type="dxa"/>
        <w:tblLayout w:type="fixed"/>
        <w:tblCellMar>
          <w:top w:w="0" w:type="dxa"/>
          <w:left w:w="170" w:type="dxa"/>
          <w:bottom w:w="0" w:type="dxa"/>
          <w:right w:w="170" w:type="dxa"/>
        </w:tblCellMar>
      </w:tblPr>
      <w:tblGrid>
        <w:gridCol w:w="4041"/>
        <w:gridCol w:w="2166"/>
        <w:gridCol w:w="2115"/>
        <w:gridCol w:w="4524"/>
        <w:gridCol w:w="2154"/>
      </w:tblGrid>
      <w:tr>
        <w:tblPrEx>
          <w:tblCellMar>
            <w:top w:w="0" w:type="dxa"/>
            <w:left w:w="170" w:type="dxa"/>
            <w:bottom w:w="0" w:type="dxa"/>
            <w:right w:w="170" w:type="dxa"/>
          </w:tblCellMar>
        </w:tblPrEx>
        <w:trPr>
          <w:trHeight w:val="343" w:hRule="atLeast"/>
        </w:trPr>
        <w:tc>
          <w:tcPr>
            <w:tcW w:w="15000" w:type="dxa"/>
            <w:gridSpan w:val="5"/>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机构运行信息表</w:t>
            </w:r>
          </w:p>
        </w:tc>
      </w:tr>
      <w:tr>
        <w:tblPrEx>
          <w:tblCellMar>
            <w:top w:w="0" w:type="dxa"/>
            <w:left w:w="170" w:type="dxa"/>
            <w:bottom w:w="0" w:type="dxa"/>
            <w:right w:w="170" w:type="dxa"/>
          </w:tblCellMar>
        </w:tblPrEx>
        <w:trPr>
          <w:trHeight w:val="244" w:hRule="atLeast"/>
        </w:trPr>
        <w:tc>
          <w:tcPr>
            <w:tcW w:w="4041" w:type="dxa"/>
            <w:tcBorders>
              <w:top w:val="nil"/>
              <w:left w:val="nil"/>
              <w:bottom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p>
        </w:tc>
        <w:tc>
          <w:tcPr>
            <w:tcW w:w="2166"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center"/>
              <w:rPr>
                <w:rFonts w:hint="default" w:cs="宋体"/>
                <w:color w:val="000000"/>
                <w:sz w:val="20"/>
                <w:szCs w:val="20"/>
              </w:rPr>
            </w:pPr>
          </w:p>
        </w:tc>
        <w:tc>
          <w:tcPr>
            <w:tcW w:w="2115"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sz w:val="20"/>
                <w:szCs w:val="20"/>
              </w:rPr>
            </w:pPr>
          </w:p>
        </w:tc>
        <w:tc>
          <w:tcPr>
            <w:tcW w:w="4524" w:type="dxa"/>
            <w:tcBorders>
              <w:top w:val="nil"/>
              <w:left w:val="nil"/>
              <w:bottom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p>
        </w:tc>
        <w:tc>
          <w:tcPr>
            <w:tcW w:w="2154"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公开09表</w:t>
            </w:r>
          </w:p>
        </w:tc>
      </w:tr>
      <w:tr>
        <w:tblPrEx>
          <w:tblCellMar>
            <w:top w:w="0" w:type="dxa"/>
            <w:left w:w="170" w:type="dxa"/>
            <w:bottom w:w="0" w:type="dxa"/>
            <w:right w:w="170" w:type="dxa"/>
          </w:tblCellMar>
        </w:tblPrEx>
        <w:trPr>
          <w:trHeight w:val="244" w:hRule="atLeast"/>
        </w:trPr>
        <w:tc>
          <w:tcPr>
            <w:tcW w:w="6207"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公开单位</w:t>
            </w:r>
            <w:r>
              <w:rPr>
                <w:rFonts w:cs="宋体"/>
                <w:color w:val="000000"/>
                <w:sz w:val="20"/>
                <w:szCs w:val="20"/>
              </w:rPr>
              <w:t xml:space="preserve">： </w:t>
            </w:r>
            <w:r>
              <w:rPr>
                <w:color w:val="000000"/>
                <w:sz w:val="20"/>
              </w:rPr>
              <w:t>重庆市丰都县水天坪幼儿园</w:t>
            </w:r>
          </w:p>
        </w:tc>
        <w:tc>
          <w:tcPr>
            <w:tcW w:w="2115"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sz w:val="20"/>
                <w:szCs w:val="20"/>
              </w:rPr>
            </w:pPr>
          </w:p>
        </w:tc>
        <w:tc>
          <w:tcPr>
            <w:tcW w:w="4524"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p>
        </w:tc>
        <w:tc>
          <w:tcPr>
            <w:tcW w:w="2154"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170" w:type="dxa"/>
            <w:bottom w:w="0" w:type="dxa"/>
            <w:right w:w="170" w:type="dxa"/>
          </w:tblCellMar>
        </w:tblPrEx>
        <w:trPr>
          <w:trHeight w:val="282"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00" w:lineRule="exact"/>
              <w:jc w:val="center"/>
              <w:textAlignment w:val="center"/>
              <w:rPr>
                <w:rFonts w:hint="default" w:cs="宋体"/>
                <w:b/>
                <w:color w:val="000000"/>
                <w:sz w:val="16"/>
                <w:szCs w:val="16"/>
              </w:rPr>
            </w:pPr>
            <w:r>
              <w:rPr>
                <w:rFonts w:cs="宋体"/>
                <w:b/>
                <w:color w:val="000000"/>
                <w:sz w:val="16"/>
                <w:szCs w:val="16"/>
              </w:rPr>
              <w:t>项  目</w:t>
            </w:r>
          </w:p>
        </w:tc>
        <w:tc>
          <w:tcPr>
            <w:tcW w:w="2166"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00" w:lineRule="exact"/>
              <w:jc w:val="center"/>
              <w:textAlignment w:val="center"/>
              <w:rPr>
                <w:rFonts w:hint="default" w:cs="宋体"/>
                <w:b/>
                <w:color w:val="000000"/>
                <w:sz w:val="16"/>
                <w:szCs w:val="16"/>
              </w:rPr>
            </w:pPr>
            <w:r>
              <w:rPr>
                <w:rFonts w:cs="宋体"/>
                <w:b/>
                <w:color w:val="000000"/>
                <w:sz w:val="16"/>
                <w:szCs w:val="16"/>
              </w:rPr>
              <w:t>预算数</w:t>
            </w:r>
          </w:p>
        </w:tc>
        <w:tc>
          <w:tcPr>
            <w:tcW w:w="2115"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00" w:lineRule="exact"/>
              <w:jc w:val="center"/>
              <w:textAlignment w:val="center"/>
              <w:rPr>
                <w:rFonts w:hint="default" w:cs="宋体"/>
                <w:b/>
                <w:color w:val="000000"/>
                <w:sz w:val="16"/>
                <w:szCs w:val="16"/>
              </w:rPr>
            </w:pPr>
            <w:r>
              <w:rPr>
                <w:rFonts w:cs="宋体"/>
                <w:b/>
                <w:color w:val="000000"/>
                <w:sz w:val="16"/>
                <w:szCs w:val="16"/>
              </w:rPr>
              <w:t>决算数</w:t>
            </w:r>
          </w:p>
        </w:tc>
        <w:tc>
          <w:tcPr>
            <w:tcW w:w="4524"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00" w:lineRule="exact"/>
              <w:jc w:val="center"/>
              <w:textAlignment w:val="center"/>
              <w:rPr>
                <w:rFonts w:hint="default" w:cs="宋体"/>
                <w:b/>
                <w:color w:val="000000"/>
                <w:sz w:val="16"/>
                <w:szCs w:val="16"/>
              </w:rPr>
            </w:pPr>
            <w:r>
              <w:rPr>
                <w:rFonts w:cs="宋体"/>
                <w:b/>
                <w:color w:val="000000"/>
                <w:sz w:val="16"/>
                <w:szCs w:val="16"/>
              </w:rPr>
              <w:t>项  目</w:t>
            </w:r>
          </w:p>
        </w:tc>
        <w:tc>
          <w:tcPr>
            <w:tcW w:w="2154"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00" w:lineRule="exact"/>
              <w:jc w:val="center"/>
              <w:textAlignment w:val="center"/>
              <w:rPr>
                <w:rFonts w:hint="default" w:cs="宋体"/>
                <w:b/>
                <w:color w:val="000000"/>
                <w:sz w:val="16"/>
                <w:szCs w:val="16"/>
              </w:rPr>
            </w:pPr>
            <w:r>
              <w:rPr>
                <w:rFonts w:cs="宋体"/>
                <w:b/>
                <w:color w:val="000000"/>
                <w:sz w:val="16"/>
                <w:szCs w:val="16"/>
              </w:rPr>
              <w:t>决算数</w:t>
            </w:r>
          </w:p>
        </w:tc>
      </w:tr>
      <w:tr>
        <w:tblPrEx>
          <w:tblCellMar>
            <w:top w:w="0" w:type="dxa"/>
            <w:left w:w="170" w:type="dxa"/>
            <w:bottom w:w="0" w:type="dxa"/>
            <w:right w:w="170" w:type="dxa"/>
          </w:tblCellMar>
        </w:tblPrEx>
        <w:trPr>
          <w:trHeight w:val="282"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一、“三公”经费支出</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color w:val="000000"/>
                <w:sz w:val="16"/>
                <w:szCs w:val="16"/>
              </w:rPr>
            </w:pPr>
            <w:r>
              <w:rPr>
                <w:rFonts w:cs="宋体"/>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color w:val="000000"/>
                <w:sz w:val="16"/>
                <w:szCs w:val="16"/>
              </w:rPr>
            </w:pPr>
            <w:r>
              <w:rPr>
                <w:rFonts w:cs="宋体"/>
                <w:color w:val="000000"/>
                <w:sz w:val="16"/>
                <w:szCs w:val="16"/>
              </w:rPr>
              <w:t>—</w:t>
            </w:r>
          </w:p>
        </w:tc>
        <w:tc>
          <w:tcPr>
            <w:tcW w:w="4524"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四、机关运行经费</w:t>
            </w: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sz w:val="16"/>
                <w:szCs w:val="16"/>
              </w:rPr>
            </w:pPr>
            <w:r>
              <w:rPr>
                <w:color w:val="000000"/>
                <w:sz w:val="16"/>
              </w:rPr>
              <w:t xml:space="preserve"> </w:t>
            </w:r>
          </w:p>
        </w:tc>
      </w:tr>
      <w:tr>
        <w:tblPrEx>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 xml:space="preserve">  （一）支出合计</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sz w:val="16"/>
                <w:szCs w:val="16"/>
              </w:rPr>
            </w:pPr>
            <w:r>
              <w:rPr>
                <w:color w:val="000000"/>
                <w:sz w:val="16"/>
              </w:rPr>
              <w:t xml:space="preserve"> </w:t>
            </w:r>
          </w:p>
        </w:tc>
        <w:tc>
          <w:tcPr>
            <w:tcW w:w="21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sz w:val="16"/>
                <w:szCs w:val="16"/>
              </w:rPr>
            </w:pPr>
            <w:r>
              <w:rPr>
                <w:color w:val="000000"/>
                <w:sz w:val="16"/>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 xml:space="preserve">  （一）行政单位</w:t>
            </w: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sz w:val="16"/>
                <w:szCs w:val="16"/>
              </w:rPr>
            </w:pPr>
            <w:r>
              <w:rPr>
                <w:color w:val="000000"/>
                <w:sz w:val="16"/>
              </w:rPr>
              <w:t xml:space="preserve"> </w:t>
            </w:r>
          </w:p>
        </w:tc>
      </w:tr>
      <w:tr>
        <w:tblPrEx>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 xml:space="preserve">     1．因公出国（境）费</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sz w:val="16"/>
                <w:szCs w:val="16"/>
              </w:rPr>
            </w:pPr>
            <w:r>
              <w:rPr>
                <w:color w:val="000000"/>
                <w:sz w:val="16"/>
              </w:rPr>
              <w:t xml:space="preserve"> </w:t>
            </w:r>
          </w:p>
        </w:tc>
        <w:tc>
          <w:tcPr>
            <w:tcW w:w="21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sz w:val="16"/>
                <w:szCs w:val="16"/>
              </w:rPr>
            </w:pPr>
            <w:r>
              <w:rPr>
                <w:color w:val="000000"/>
                <w:sz w:val="16"/>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 xml:space="preserve">  （二）参照公务员法管理事业单位</w:t>
            </w: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sz w:val="16"/>
                <w:szCs w:val="16"/>
              </w:rPr>
            </w:pPr>
            <w:r>
              <w:rPr>
                <w:color w:val="000000"/>
                <w:sz w:val="16"/>
              </w:rPr>
              <w:t xml:space="preserve"> </w:t>
            </w:r>
          </w:p>
        </w:tc>
      </w:tr>
      <w:tr>
        <w:tblPrEx>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 xml:space="preserve">     2．公务用车购置及运行维护费</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sz w:val="16"/>
                <w:szCs w:val="16"/>
              </w:rPr>
            </w:pPr>
            <w:r>
              <w:rPr>
                <w:color w:val="000000"/>
                <w:sz w:val="16"/>
              </w:rPr>
              <w:t xml:space="preserve"> </w:t>
            </w:r>
          </w:p>
        </w:tc>
        <w:tc>
          <w:tcPr>
            <w:tcW w:w="21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sz w:val="16"/>
                <w:szCs w:val="16"/>
              </w:rPr>
            </w:pPr>
            <w:r>
              <w:rPr>
                <w:color w:val="000000"/>
                <w:sz w:val="16"/>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五、资产信息</w:t>
            </w: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color w:val="000000"/>
                <w:sz w:val="16"/>
                <w:szCs w:val="16"/>
              </w:rPr>
            </w:pPr>
            <w:r>
              <w:rPr>
                <w:rFonts w:cs="宋体"/>
                <w:color w:val="000000"/>
                <w:sz w:val="16"/>
                <w:szCs w:val="16"/>
              </w:rPr>
              <w:t>—</w:t>
            </w:r>
          </w:p>
        </w:tc>
      </w:tr>
      <w:tr>
        <w:tblPrEx>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 xml:space="preserve">      （1）公务用车购置费</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sz w:val="16"/>
                <w:szCs w:val="16"/>
              </w:rPr>
            </w:pPr>
            <w:r>
              <w:rPr>
                <w:color w:val="000000"/>
                <w:sz w:val="16"/>
              </w:rPr>
              <w:t xml:space="preserve"> </w:t>
            </w:r>
          </w:p>
        </w:tc>
        <w:tc>
          <w:tcPr>
            <w:tcW w:w="21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sz w:val="16"/>
                <w:szCs w:val="16"/>
              </w:rPr>
            </w:pPr>
            <w:r>
              <w:rPr>
                <w:color w:val="000000"/>
                <w:sz w:val="16"/>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 xml:space="preserve">  （一）车辆数合计（辆）</w:t>
            </w: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sz w:val="16"/>
                <w:szCs w:val="16"/>
              </w:rPr>
            </w:pPr>
            <w:r>
              <w:rPr>
                <w:rFonts w:cs="宋体"/>
                <w:color w:val="000000"/>
                <w:sz w:val="16"/>
                <w:szCs w:val="16"/>
              </w:rPr>
              <w:t xml:space="preserve">   </w:t>
            </w:r>
          </w:p>
        </w:tc>
      </w:tr>
      <w:tr>
        <w:tblPrEx>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 xml:space="preserve">      （2）公务用车运行维护费</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sz w:val="16"/>
                <w:szCs w:val="16"/>
              </w:rPr>
            </w:pPr>
            <w:r>
              <w:rPr>
                <w:color w:val="000000"/>
                <w:sz w:val="16"/>
              </w:rPr>
              <w:t xml:space="preserve"> </w:t>
            </w:r>
          </w:p>
        </w:tc>
        <w:tc>
          <w:tcPr>
            <w:tcW w:w="21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sz w:val="16"/>
                <w:szCs w:val="16"/>
              </w:rPr>
            </w:pPr>
            <w:r>
              <w:rPr>
                <w:color w:val="000000"/>
                <w:sz w:val="16"/>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 xml:space="preserve">     1．副部（省）级及以上领导用车</w:t>
            </w: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sz w:val="16"/>
                <w:szCs w:val="16"/>
              </w:rPr>
            </w:pPr>
            <w:r>
              <w:rPr>
                <w:color w:val="000000"/>
                <w:sz w:val="16"/>
              </w:rPr>
              <w:t xml:space="preserve"> </w:t>
            </w:r>
          </w:p>
        </w:tc>
      </w:tr>
      <w:tr>
        <w:tblPrEx>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 xml:space="preserve">     3．公务接待费</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sz w:val="16"/>
                <w:szCs w:val="16"/>
              </w:rPr>
            </w:pPr>
            <w:r>
              <w:rPr>
                <w:color w:val="000000"/>
                <w:sz w:val="16"/>
              </w:rPr>
              <w:t xml:space="preserve"> </w:t>
            </w:r>
          </w:p>
        </w:tc>
        <w:tc>
          <w:tcPr>
            <w:tcW w:w="21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sz w:val="16"/>
                <w:szCs w:val="16"/>
              </w:rPr>
            </w:pPr>
            <w:r>
              <w:rPr>
                <w:color w:val="000000"/>
                <w:sz w:val="16"/>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 xml:space="preserve">     2．主要领导干部用车</w:t>
            </w: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sz w:val="16"/>
                <w:szCs w:val="16"/>
              </w:rPr>
            </w:pPr>
            <w:r>
              <w:rPr>
                <w:color w:val="000000"/>
                <w:sz w:val="16"/>
              </w:rPr>
              <w:t xml:space="preserve"> </w:t>
            </w:r>
          </w:p>
        </w:tc>
      </w:tr>
      <w:tr>
        <w:tblPrEx>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 xml:space="preserve">      （1）国内接待费</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color w:val="000000"/>
                <w:sz w:val="16"/>
                <w:szCs w:val="16"/>
              </w:rPr>
            </w:pPr>
            <w:r>
              <w:rPr>
                <w:rFonts w:cs="宋体"/>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sz w:val="16"/>
                <w:szCs w:val="16"/>
              </w:rPr>
            </w:pPr>
            <w:r>
              <w:rPr>
                <w:color w:val="000000"/>
                <w:sz w:val="16"/>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 xml:space="preserve">     3．机要通信用车</w:t>
            </w: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sz w:val="16"/>
                <w:szCs w:val="16"/>
              </w:rPr>
            </w:pPr>
            <w:r>
              <w:rPr>
                <w:color w:val="000000"/>
                <w:sz w:val="16"/>
              </w:rPr>
              <w:t xml:space="preserve"> </w:t>
            </w:r>
          </w:p>
        </w:tc>
      </w:tr>
      <w:tr>
        <w:tblPrEx>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 xml:space="preserve">           其中：外事接待费</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color w:val="000000"/>
                <w:sz w:val="16"/>
                <w:szCs w:val="16"/>
              </w:rPr>
            </w:pPr>
            <w:r>
              <w:rPr>
                <w:rFonts w:cs="宋体"/>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sz w:val="16"/>
                <w:szCs w:val="16"/>
              </w:rPr>
            </w:pPr>
            <w:r>
              <w:rPr>
                <w:color w:val="000000"/>
                <w:sz w:val="16"/>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 xml:space="preserve">     4．应急保障用车</w:t>
            </w: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sz w:val="16"/>
                <w:szCs w:val="16"/>
              </w:rPr>
            </w:pPr>
            <w:r>
              <w:rPr>
                <w:color w:val="000000"/>
                <w:sz w:val="16"/>
              </w:rPr>
              <w:t xml:space="preserve"> </w:t>
            </w:r>
          </w:p>
        </w:tc>
      </w:tr>
      <w:tr>
        <w:tblPrEx>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 xml:space="preserve">      （2）国（境）外接待费</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color w:val="000000"/>
                <w:sz w:val="16"/>
                <w:szCs w:val="16"/>
              </w:rPr>
            </w:pPr>
            <w:r>
              <w:rPr>
                <w:rFonts w:cs="宋体"/>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sz w:val="16"/>
                <w:szCs w:val="16"/>
              </w:rPr>
            </w:pPr>
            <w:r>
              <w:rPr>
                <w:color w:val="000000"/>
                <w:sz w:val="16"/>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 xml:space="preserve">     5．执法执勤用车</w:t>
            </w: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sz w:val="16"/>
                <w:szCs w:val="16"/>
              </w:rPr>
            </w:pPr>
            <w:r>
              <w:rPr>
                <w:color w:val="000000"/>
                <w:sz w:val="16"/>
              </w:rPr>
              <w:t xml:space="preserve"> </w:t>
            </w:r>
          </w:p>
        </w:tc>
      </w:tr>
      <w:tr>
        <w:tblPrEx>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 xml:space="preserve">  （二）相关统计数</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color w:val="000000"/>
                <w:sz w:val="16"/>
                <w:szCs w:val="16"/>
              </w:rPr>
            </w:pPr>
            <w:r>
              <w:rPr>
                <w:rFonts w:cs="宋体"/>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color w:val="000000"/>
                <w:sz w:val="16"/>
                <w:szCs w:val="16"/>
              </w:rPr>
            </w:pPr>
            <w:r>
              <w:rPr>
                <w:rFonts w:cs="宋体"/>
                <w:color w:val="000000"/>
                <w:sz w:val="16"/>
                <w:szCs w:val="16"/>
              </w:rPr>
              <w:t>—</w:t>
            </w:r>
          </w:p>
        </w:tc>
        <w:tc>
          <w:tcPr>
            <w:tcW w:w="4524"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 xml:space="preserve">     6．特种专业技术用车</w:t>
            </w: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sz w:val="16"/>
                <w:szCs w:val="16"/>
              </w:rPr>
            </w:pPr>
            <w:r>
              <w:rPr>
                <w:color w:val="000000"/>
                <w:sz w:val="16"/>
              </w:rPr>
              <w:t xml:space="preserve"> </w:t>
            </w:r>
          </w:p>
        </w:tc>
      </w:tr>
      <w:tr>
        <w:tblPrEx>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 xml:space="preserve">     1．因公出国（境）团组数（个）</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color w:val="000000"/>
                <w:sz w:val="16"/>
                <w:szCs w:val="16"/>
              </w:rPr>
            </w:pPr>
            <w:r>
              <w:rPr>
                <w:rFonts w:cs="宋体"/>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pPr>
              <w:spacing w:line="200" w:lineRule="exact"/>
              <w:jc w:val="right"/>
              <w:textAlignment w:val="bottom"/>
              <w:rPr>
                <w:rFonts w:hint="default" w:cs="宋体"/>
                <w:color w:val="000000"/>
                <w:sz w:val="16"/>
                <w:szCs w:val="16"/>
              </w:rPr>
            </w:pPr>
            <w:r>
              <w:rPr>
                <w:color w:val="000000"/>
                <w:sz w:val="16"/>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 xml:space="preserve">     7．离退休干部用车</w:t>
            </w: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sz w:val="16"/>
                <w:szCs w:val="16"/>
              </w:rPr>
            </w:pPr>
            <w:r>
              <w:rPr>
                <w:color w:val="000000"/>
                <w:sz w:val="16"/>
              </w:rPr>
              <w:t xml:space="preserve"> </w:t>
            </w:r>
          </w:p>
        </w:tc>
      </w:tr>
      <w:tr>
        <w:tblPrEx>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 xml:space="preserve">     2．因公出国（境）人次数（人）</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color w:val="000000"/>
                <w:sz w:val="16"/>
                <w:szCs w:val="16"/>
              </w:rPr>
            </w:pPr>
            <w:r>
              <w:rPr>
                <w:rFonts w:cs="宋体"/>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pPr>
              <w:spacing w:line="200" w:lineRule="exact"/>
              <w:jc w:val="right"/>
              <w:textAlignment w:val="bottom"/>
              <w:rPr>
                <w:rFonts w:hint="default" w:cs="宋体"/>
                <w:color w:val="000000"/>
                <w:sz w:val="16"/>
                <w:szCs w:val="16"/>
              </w:rPr>
            </w:pPr>
            <w:r>
              <w:rPr>
                <w:color w:val="000000"/>
                <w:sz w:val="16"/>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 xml:space="preserve">     8．其他用车</w:t>
            </w: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sz w:val="16"/>
                <w:szCs w:val="16"/>
              </w:rPr>
            </w:pPr>
            <w:r>
              <w:rPr>
                <w:color w:val="000000"/>
                <w:sz w:val="16"/>
              </w:rPr>
              <w:t xml:space="preserve"> </w:t>
            </w:r>
          </w:p>
        </w:tc>
      </w:tr>
      <w:tr>
        <w:tblPrEx>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 xml:space="preserve">     3．公务用车购置数（辆）</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color w:val="000000"/>
                <w:sz w:val="16"/>
                <w:szCs w:val="16"/>
              </w:rPr>
            </w:pPr>
            <w:r>
              <w:rPr>
                <w:rFonts w:cs="宋体"/>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pPr>
              <w:spacing w:line="200" w:lineRule="exact"/>
              <w:jc w:val="right"/>
              <w:textAlignment w:val="bottom"/>
              <w:rPr>
                <w:rFonts w:hint="default" w:cs="宋体"/>
                <w:color w:val="000000"/>
                <w:sz w:val="16"/>
                <w:szCs w:val="16"/>
              </w:rPr>
            </w:pPr>
            <w:r>
              <w:rPr>
                <w:color w:val="000000"/>
                <w:sz w:val="16"/>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 xml:space="preserve">  （二）单价100万元（含）以上设备（不含车辆）</w:t>
            </w: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sz w:val="16"/>
                <w:szCs w:val="16"/>
              </w:rPr>
            </w:pPr>
            <w:r>
              <w:rPr>
                <w:color w:val="000000"/>
                <w:sz w:val="16"/>
              </w:rPr>
              <w:t xml:space="preserve"> </w:t>
            </w:r>
          </w:p>
        </w:tc>
      </w:tr>
      <w:tr>
        <w:tblPrEx>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 xml:space="preserve">     4．公务用车保有量（辆）</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color w:val="000000"/>
                <w:sz w:val="16"/>
                <w:szCs w:val="16"/>
              </w:rPr>
            </w:pPr>
            <w:r>
              <w:rPr>
                <w:rFonts w:cs="宋体"/>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pPr>
              <w:spacing w:line="200" w:lineRule="exact"/>
              <w:jc w:val="right"/>
              <w:textAlignment w:val="bottom"/>
              <w:rPr>
                <w:rFonts w:hint="default" w:cs="宋体"/>
                <w:color w:val="000000"/>
                <w:sz w:val="16"/>
                <w:szCs w:val="16"/>
              </w:rPr>
            </w:pPr>
            <w:r>
              <w:rPr>
                <w:color w:val="000000"/>
                <w:sz w:val="16"/>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六、政府采购支出信息</w:t>
            </w: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color w:val="000000"/>
                <w:sz w:val="16"/>
                <w:szCs w:val="16"/>
              </w:rPr>
            </w:pPr>
            <w:r>
              <w:rPr>
                <w:rFonts w:cs="宋体"/>
                <w:color w:val="000000"/>
                <w:sz w:val="16"/>
                <w:szCs w:val="16"/>
              </w:rPr>
              <w:t>—</w:t>
            </w:r>
          </w:p>
        </w:tc>
      </w:tr>
      <w:tr>
        <w:tblPrEx>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 xml:space="preserve">     5．国内公务接待批次（个）</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color w:val="000000"/>
                <w:sz w:val="16"/>
                <w:szCs w:val="16"/>
              </w:rPr>
            </w:pPr>
            <w:r>
              <w:rPr>
                <w:rFonts w:cs="宋体"/>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pPr>
              <w:spacing w:line="200" w:lineRule="exact"/>
              <w:jc w:val="right"/>
              <w:textAlignment w:val="bottom"/>
              <w:rPr>
                <w:rFonts w:hint="default" w:cs="宋体"/>
                <w:color w:val="000000"/>
                <w:sz w:val="16"/>
                <w:szCs w:val="16"/>
              </w:rPr>
            </w:pPr>
            <w:r>
              <w:rPr>
                <w:color w:val="000000"/>
                <w:sz w:val="16"/>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 xml:space="preserve">  （一）政府采购支出合计</w:t>
            </w: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sz w:val="16"/>
                <w:szCs w:val="16"/>
              </w:rPr>
            </w:pPr>
            <w:r>
              <w:rPr>
                <w:color w:val="000000"/>
                <w:sz w:val="16"/>
              </w:rPr>
              <w:t xml:space="preserve"> </w:t>
            </w:r>
          </w:p>
        </w:tc>
      </w:tr>
      <w:tr>
        <w:tblPrEx>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 xml:space="preserve">        其中：外事接待批次（个）</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color w:val="000000"/>
                <w:sz w:val="16"/>
                <w:szCs w:val="16"/>
              </w:rPr>
            </w:pPr>
            <w:r>
              <w:rPr>
                <w:rFonts w:cs="宋体"/>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pPr>
              <w:spacing w:line="200" w:lineRule="exact"/>
              <w:jc w:val="right"/>
              <w:textAlignment w:val="bottom"/>
              <w:rPr>
                <w:rFonts w:hint="default" w:cs="宋体"/>
                <w:color w:val="000000"/>
                <w:sz w:val="16"/>
                <w:szCs w:val="16"/>
              </w:rPr>
            </w:pPr>
            <w:r>
              <w:rPr>
                <w:color w:val="000000"/>
                <w:sz w:val="16"/>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 xml:space="preserve">     1．政府采购货物支出</w:t>
            </w: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sz w:val="16"/>
                <w:szCs w:val="16"/>
              </w:rPr>
            </w:pPr>
            <w:r>
              <w:rPr>
                <w:color w:val="000000"/>
                <w:sz w:val="16"/>
              </w:rPr>
              <w:t xml:space="preserve"> </w:t>
            </w:r>
          </w:p>
        </w:tc>
      </w:tr>
      <w:tr>
        <w:tblPrEx>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 xml:space="preserve">     6．国内公务接待人次（人）</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color w:val="000000"/>
                <w:sz w:val="16"/>
                <w:szCs w:val="16"/>
              </w:rPr>
            </w:pPr>
            <w:r>
              <w:rPr>
                <w:rFonts w:cs="宋体"/>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pPr>
              <w:spacing w:line="200" w:lineRule="exact"/>
              <w:jc w:val="right"/>
              <w:textAlignment w:val="bottom"/>
              <w:rPr>
                <w:rFonts w:hint="default" w:cs="宋体"/>
                <w:color w:val="000000"/>
                <w:sz w:val="16"/>
                <w:szCs w:val="16"/>
              </w:rPr>
            </w:pPr>
            <w:r>
              <w:rPr>
                <w:color w:val="000000"/>
                <w:sz w:val="16"/>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 xml:space="preserve">     2．政府采购工程支出</w:t>
            </w: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sz w:val="16"/>
                <w:szCs w:val="16"/>
              </w:rPr>
            </w:pPr>
            <w:r>
              <w:rPr>
                <w:color w:val="000000"/>
                <w:sz w:val="16"/>
              </w:rPr>
              <w:t xml:space="preserve"> </w:t>
            </w:r>
          </w:p>
        </w:tc>
      </w:tr>
      <w:tr>
        <w:tblPrEx>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 xml:space="preserve">        其中：外事接待人次（人）</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color w:val="000000"/>
                <w:sz w:val="16"/>
                <w:szCs w:val="16"/>
              </w:rPr>
            </w:pPr>
            <w:r>
              <w:rPr>
                <w:rFonts w:cs="宋体"/>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pPr>
              <w:spacing w:line="200" w:lineRule="exact"/>
              <w:jc w:val="right"/>
              <w:textAlignment w:val="bottom"/>
              <w:rPr>
                <w:rFonts w:hint="default" w:cs="宋体"/>
                <w:color w:val="000000"/>
                <w:sz w:val="16"/>
                <w:szCs w:val="16"/>
              </w:rPr>
            </w:pPr>
            <w:r>
              <w:rPr>
                <w:color w:val="000000"/>
                <w:sz w:val="16"/>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 xml:space="preserve">     3．政府采购服务支出</w:t>
            </w: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sz w:val="16"/>
                <w:szCs w:val="16"/>
              </w:rPr>
            </w:pPr>
            <w:r>
              <w:rPr>
                <w:color w:val="000000"/>
                <w:sz w:val="16"/>
              </w:rPr>
              <w:t xml:space="preserve"> </w:t>
            </w:r>
          </w:p>
        </w:tc>
      </w:tr>
      <w:tr>
        <w:tblPrEx>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 xml:space="preserve">     7．国（境）外公务接待批次（个）</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color w:val="000000"/>
                <w:sz w:val="16"/>
                <w:szCs w:val="16"/>
              </w:rPr>
            </w:pPr>
            <w:r>
              <w:rPr>
                <w:rFonts w:cs="宋体"/>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pPr>
              <w:spacing w:line="200" w:lineRule="exact"/>
              <w:jc w:val="right"/>
              <w:textAlignment w:val="bottom"/>
              <w:rPr>
                <w:rFonts w:hint="default" w:cs="宋体"/>
                <w:color w:val="000000"/>
                <w:sz w:val="16"/>
                <w:szCs w:val="16"/>
              </w:rPr>
            </w:pPr>
            <w:r>
              <w:rPr>
                <w:color w:val="000000"/>
                <w:sz w:val="16"/>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 xml:space="preserve">  （二）政府采购授予中小企业合同金额</w:t>
            </w: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sz w:val="16"/>
                <w:szCs w:val="16"/>
              </w:rPr>
            </w:pPr>
            <w:r>
              <w:rPr>
                <w:color w:val="000000"/>
                <w:sz w:val="16"/>
              </w:rPr>
              <w:t xml:space="preserve"> </w:t>
            </w:r>
          </w:p>
        </w:tc>
      </w:tr>
      <w:tr>
        <w:tblPrEx>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 xml:space="preserve">     8．国（境）外公务接待人次（人）</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color w:val="000000"/>
                <w:sz w:val="16"/>
                <w:szCs w:val="16"/>
              </w:rPr>
            </w:pPr>
            <w:r>
              <w:rPr>
                <w:rFonts w:cs="宋体"/>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pPr>
              <w:spacing w:line="200" w:lineRule="exact"/>
              <w:jc w:val="right"/>
              <w:textAlignment w:val="bottom"/>
              <w:rPr>
                <w:rFonts w:hint="default" w:cs="宋体"/>
                <w:color w:val="000000"/>
                <w:sz w:val="16"/>
                <w:szCs w:val="16"/>
              </w:rPr>
            </w:pPr>
            <w:r>
              <w:rPr>
                <w:color w:val="000000"/>
                <w:sz w:val="16"/>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 xml:space="preserve">        其中：授予小微企业合同金额</w:t>
            </w: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sz w:val="16"/>
                <w:szCs w:val="16"/>
              </w:rPr>
            </w:pPr>
            <w:r>
              <w:rPr>
                <w:color w:val="000000"/>
                <w:sz w:val="16"/>
              </w:rPr>
              <w:t xml:space="preserve"> </w:t>
            </w:r>
          </w:p>
        </w:tc>
      </w:tr>
      <w:tr>
        <w:tblPrEx>
          <w:tblCellMar>
            <w:top w:w="0" w:type="dxa"/>
            <w:left w:w="170" w:type="dxa"/>
            <w:bottom w:w="0" w:type="dxa"/>
            <w:right w:w="170" w:type="dxa"/>
          </w:tblCellMar>
        </w:tblPrEx>
        <w:trPr>
          <w:trHeight w:val="286"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二、会议费</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color w:val="000000"/>
                <w:sz w:val="16"/>
                <w:szCs w:val="16"/>
              </w:rPr>
            </w:pPr>
            <w:r>
              <w:rPr>
                <w:rFonts w:cs="宋体"/>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sz w:val="16"/>
                <w:szCs w:val="16"/>
              </w:rPr>
            </w:pPr>
            <w:r>
              <w:rPr>
                <w:color w:val="000000"/>
                <w:sz w:val="16"/>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00" w:lineRule="exact"/>
              <w:rPr>
                <w:rFonts w:hint="default" w:cs="宋体"/>
                <w:color w:val="000000"/>
                <w:sz w:val="16"/>
                <w:szCs w:val="16"/>
              </w:rPr>
            </w:pP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rPr>
                <w:rFonts w:hint="default" w:cs="宋体"/>
                <w:color w:val="000000"/>
                <w:sz w:val="16"/>
                <w:szCs w:val="16"/>
              </w:rPr>
            </w:pPr>
          </w:p>
        </w:tc>
      </w:tr>
      <w:tr>
        <w:tblPrEx>
          <w:tblCellMar>
            <w:top w:w="0" w:type="dxa"/>
            <w:left w:w="170" w:type="dxa"/>
            <w:bottom w:w="0" w:type="dxa"/>
            <w:right w:w="170" w:type="dxa"/>
          </w:tblCellMar>
        </w:tblPrEx>
        <w:trPr>
          <w:trHeight w:val="389"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三、培训费</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color w:val="000000"/>
                <w:sz w:val="16"/>
                <w:szCs w:val="16"/>
              </w:rPr>
            </w:pPr>
            <w:r>
              <w:rPr>
                <w:rFonts w:cs="宋体"/>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sz w:val="16"/>
                <w:szCs w:val="16"/>
              </w:rPr>
            </w:pPr>
            <w:r>
              <w:rPr>
                <w:rFonts w:cs="宋体"/>
                <w:color w:val="000000"/>
                <w:sz w:val="16"/>
                <w:szCs w:val="16"/>
              </w:rPr>
              <w:t>1.91</w:t>
            </w:r>
            <w:r>
              <w:rPr>
                <w:color w:val="000000"/>
                <w:sz w:val="16"/>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00" w:lineRule="exact"/>
              <w:rPr>
                <w:rFonts w:hint="default" w:cs="宋体"/>
                <w:color w:val="000000"/>
                <w:sz w:val="16"/>
                <w:szCs w:val="16"/>
              </w:rPr>
            </w:pP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rPr>
                <w:rFonts w:hint="default" w:cs="宋体"/>
                <w:color w:val="000000"/>
                <w:sz w:val="16"/>
                <w:szCs w:val="16"/>
              </w:rPr>
            </w:pPr>
          </w:p>
        </w:tc>
      </w:tr>
    </w:tbl>
    <w:p>
      <w:pPr>
        <w:rPr>
          <w:rFonts w:hint="default" w:cs="宋体"/>
          <w:sz w:val="20"/>
          <w:szCs w:val="20"/>
        </w:rPr>
      </w:pPr>
      <w:r>
        <w:rPr>
          <w:rFonts w:cs="宋体"/>
          <w:sz w:val="20"/>
          <w:szCs w:val="20"/>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20"/>
          <w:szCs w:val="20"/>
        </w:rPr>
        <w:br w:type="textWrapping"/>
      </w:r>
      <w:r>
        <w:rPr>
          <w:rFonts w:cs="宋体"/>
          <w:sz w:val="20"/>
          <w:szCs w:val="20"/>
        </w:rPr>
        <w:t xml:space="preserve">      2.本套报表金额单位转换时可能存在尾数误差。</w:t>
      </w:r>
    </w:p>
    <w:p>
      <w:pPr>
        <w:rPr>
          <w:rFonts w:hint="default" w:cs="宋体"/>
          <w:sz w:val="20"/>
          <w:szCs w:val="20"/>
        </w:rPr>
      </w:pPr>
    </w:p>
    <w:p>
      <w:pPr>
        <w:rPr>
          <w:rFonts w:hint="default" w:cs="宋体"/>
          <w:sz w:val="20"/>
          <w:szCs w:val="20"/>
        </w:rPr>
      </w:pPr>
    </w:p>
    <w:p>
      <w:pPr>
        <w:rPr>
          <w:rFonts w:hint="default"/>
        </w:rPr>
      </w:pPr>
      <w:r>
        <w:drawing>
          <wp:inline distT="0" distB="0" distL="114300" distR="114300">
            <wp:extent cx="9737725" cy="4739005"/>
            <wp:effectExtent l="0" t="0" r="15875" b="444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7"/>
                    <a:stretch>
                      <a:fillRect/>
                    </a:stretch>
                  </pic:blipFill>
                  <pic:spPr>
                    <a:xfrm>
                      <a:off x="0" y="0"/>
                      <a:ext cx="9737725" cy="4739005"/>
                    </a:xfrm>
                    <a:prstGeom prst="rect">
                      <a:avLst/>
                    </a:prstGeom>
                    <a:noFill/>
                    <a:ln>
                      <a:noFill/>
                    </a:ln>
                  </pic:spPr>
                </pic:pic>
              </a:graphicData>
            </a:graphic>
          </wp:inline>
        </w:drawing>
      </w:r>
    </w:p>
    <w:p>
      <w:pPr>
        <w:rPr>
          <w:rFonts w:hint="default"/>
        </w:rPr>
      </w:pPr>
    </w:p>
    <w:p>
      <w:pPr>
        <w:rPr>
          <w:rFonts w:hint="default"/>
        </w:rPr>
      </w:pPr>
      <w:r>
        <w:drawing>
          <wp:inline distT="0" distB="0" distL="114300" distR="114300">
            <wp:extent cx="9737725" cy="4739005"/>
            <wp:effectExtent l="0" t="0" r="15875" b="444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8"/>
                    <a:stretch>
                      <a:fillRect/>
                    </a:stretch>
                  </pic:blipFill>
                  <pic:spPr>
                    <a:xfrm>
                      <a:off x="0" y="0"/>
                      <a:ext cx="9737725" cy="4739005"/>
                    </a:xfrm>
                    <a:prstGeom prst="rect">
                      <a:avLst/>
                    </a:prstGeom>
                    <a:noFill/>
                    <a:ln>
                      <a:noFill/>
                    </a:ln>
                  </pic:spPr>
                </pic:pic>
              </a:graphicData>
            </a:graphic>
          </wp:inline>
        </w:drawing>
      </w:r>
    </w:p>
    <w:p>
      <w:pPr>
        <w:rPr>
          <w:rFonts w:hint="default"/>
        </w:rPr>
      </w:pPr>
    </w:p>
    <w:p>
      <w:pPr>
        <w:rPr>
          <w:rFonts w:hint="default"/>
        </w:rPr>
      </w:pPr>
      <w:r>
        <w:drawing>
          <wp:inline distT="0" distB="0" distL="114300" distR="114300">
            <wp:extent cx="9737725" cy="4970145"/>
            <wp:effectExtent l="0" t="0" r="15875" b="1905"/>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9"/>
                    <a:stretch>
                      <a:fillRect/>
                    </a:stretch>
                  </pic:blipFill>
                  <pic:spPr>
                    <a:xfrm>
                      <a:off x="0" y="0"/>
                      <a:ext cx="9737725" cy="4970145"/>
                    </a:xfrm>
                    <a:prstGeom prst="rect">
                      <a:avLst/>
                    </a:prstGeom>
                    <a:noFill/>
                    <a:ln>
                      <a:noFill/>
                    </a:ln>
                  </pic:spPr>
                </pic:pic>
              </a:graphicData>
            </a:graphic>
          </wp:inline>
        </w:drawing>
      </w:r>
    </w:p>
    <w:p>
      <w:pPr>
        <w:rPr>
          <w:rFonts w:hint="default"/>
        </w:rPr>
      </w:pPr>
    </w:p>
    <w:p>
      <w:pPr>
        <w:rPr>
          <w:rFonts w:hint="default"/>
        </w:rPr>
      </w:pPr>
      <w:r>
        <w:drawing>
          <wp:inline distT="0" distB="0" distL="114300" distR="114300">
            <wp:extent cx="9737725" cy="4970145"/>
            <wp:effectExtent l="0" t="0" r="15875" b="1905"/>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10"/>
                    <a:stretch>
                      <a:fillRect/>
                    </a:stretch>
                  </pic:blipFill>
                  <pic:spPr>
                    <a:xfrm>
                      <a:off x="0" y="0"/>
                      <a:ext cx="9737725" cy="4970145"/>
                    </a:xfrm>
                    <a:prstGeom prst="rect">
                      <a:avLst/>
                    </a:prstGeom>
                    <a:noFill/>
                    <a:ln>
                      <a:noFill/>
                    </a:ln>
                  </pic:spPr>
                </pic:pic>
              </a:graphicData>
            </a:graphic>
          </wp:inline>
        </w:drawing>
      </w:r>
    </w:p>
    <w:p>
      <w:pPr>
        <w:rPr>
          <w:rFonts w:hint="default"/>
        </w:rPr>
      </w:pPr>
    </w:p>
    <w:p>
      <w:pPr>
        <w:rPr>
          <w:rFonts w:hint="default"/>
        </w:rPr>
      </w:pPr>
      <w:r>
        <w:drawing>
          <wp:inline distT="0" distB="0" distL="114300" distR="114300">
            <wp:extent cx="9737725" cy="4970145"/>
            <wp:effectExtent l="0" t="0" r="15875" b="1905"/>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11"/>
                    <a:stretch>
                      <a:fillRect/>
                    </a:stretch>
                  </pic:blipFill>
                  <pic:spPr>
                    <a:xfrm>
                      <a:off x="0" y="0"/>
                      <a:ext cx="9737725" cy="4970145"/>
                    </a:xfrm>
                    <a:prstGeom prst="rect">
                      <a:avLst/>
                    </a:prstGeom>
                    <a:noFill/>
                    <a:ln>
                      <a:noFill/>
                    </a:ln>
                  </pic:spPr>
                </pic:pic>
              </a:graphicData>
            </a:graphic>
          </wp:inline>
        </w:drawing>
      </w:r>
    </w:p>
    <w:p>
      <w:pPr>
        <w:rPr>
          <w:rFonts w:hint="default"/>
        </w:rPr>
      </w:pPr>
    </w:p>
    <w:p>
      <w:pPr>
        <w:rPr>
          <w:rFonts w:hint="default"/>
        </w:rPr>
      </w:pPr>
      <w:r>
        <w:drawing>
          <wp:inline distT="0" distB="0" distL="114300" distR="114300">
            <wp:extent cx="9737725" cy="4970145"/>
            <wp:effectExtent l="0" t="0" r="15875" b="1905"/>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pic:cNvPicPr>
                  </pic:nvPicPr>
                  <pic:blipFill>
                    <a:blip r:embed="rId12"/>
                    <a:stretch>
                      <a:fillRect/>
                    </a:stretch>
                  </pic:blipFill>
                  <pic:spPr>
                    <a:xfrm>
                      <a:off x="0" y="0"/>
                      <a:ext cx="9737725" cy="4970145"/>
                    </a:xfrm>
                    <a:prstGeom prst="rect">
                      <a:avLst/>
                    </a:prstGeom>
                    <a:noFill/>
                    <a:ln>
                      <a:noFill/>
                    </a:ln>
                  </pic:spPr>
                </pic:pic>
              </a:graphicData>
            </a:graphic>
          </wp:inline>
        </w:drawing>
      </w:r>
    </w:p>
    <w:p>
      <w:pPr>
        <w:rPr>
          <w:rFonts w:hint="default"/>
        </w:rPr>
      </w:pPr>
    </w:p>
    <w:p>
      <w:pPr>
        <w:rPr>
          <w:rFonts w:hint="default"/>
        </w:rPr>
      </w:pPr>
      <w:r>
        <w:drawing>
          <wp:inline distT="0" distB="0" distL="114300" distR="114300">
            <wp:extent cx="9737725" cy="4739005"/>
            <wp:effectExtent l="0" t="0" r="15875" b="4445"/>
            <wp:docPr id="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pic:cNvPicPr>
                      <a:picLocks noChangeAspect="1"/>
                    </pic:cNvPicPr>
                  </pic:nvPicPr>
                  <pic:blipFill>
                    <a:blip r:embed="rId13"/>
                    <a:stretch>
                      <a:fillRect/>
                    </a:stretch>
                  </pic:blipFill>
                  <pic:spPr>
                    <a:xfrm>
                      <a:off x="0" y="0"/>
                      <a:ext cx="9737725" cy="4739005"/>
                    </a:xfrm>
                    <a:prstGeom prst="rect">
                      <a:avLst/>
                    </a:prstGeom>
                    <a:noFill/>
                    <a:ln>
                      <a:noFill/>
                    </a:ln>
                  </pic:spPr>
                </pic:pic>
              </a:graphicData>
            </a:graphic>
          </wp:inline>
        </w:drawing>
      </w:r>
    </w:p>
    <w:p>
      <w:pPr>
        <w:rPr>
          <w:rFonts w:hint="default"/>
        </w:rPr>
      </w:pPr>
    </w:p>
    <w:p>
      <w:pPr>
        <w:rPr>
          <w:rFonts w:hint="default" w:cs="宋体"/>
          <w:sz w:val="21"/>
          <w:szCs w:val="21"/>
        </w:rPr>
      </w:pPr>
      <w:r>
        <w:drawing>
          <wp:inline distT="0" distB="0" distL="114300" distR="114300">
            <wp:extent cx="9737725" cy="4739005"/>
            <wp:effectExtent l="0" t="0" r="15875" b="4445"/>
            <wp:docPr id="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pic:cNvPicPr>
                      <a:picLocks noChangeAspect="1"/>
                    </pic:cNvPicPr>
                  </pic:nvPicPr>
                  <pic:blipFill>
                    <a:blip r:embed="rId14"/>
                    <a:stretch>
                      <a:fillRect/>
                    </a:stretch>
                  </pic:blipFill>
                  <pic:spPr>
                    <a:xfrm>
                      <a:off x="0" y="0"/>
                      <a:ext cx="9737725" cy="4739005"/>
                    </a:xfrm>
                    <a:prstGeom prst="rect">
                      <a:avLst/>
                    </a:prstGeom>
                    <a:noFill/>
                    <a:ln>
                      <a:noFill/>
                    </a:ln>
                  </pic:spPr>
                </pic:pic>
              </a:graphicData>
            </a:graphic>
          </wp:inline>
        </w:drawing>
      </w:r>
      <w:r>
        <w:rPr>
          <w:rFonts w:cs="宋体"/>
          <w:sz w:val="20"/>
          <w:szCs w:val="20"/>
        </w:rPr>
        <w:br w:type="textWrapping"/>
      </w:r>
    </w:p>
    <w:sectPr>
      <w:headerReference r:id="rId4" w:type="default"/>
      <w:footerReference r:id="rId5" w:type="default"/>
      <w:pgSz w:w="16839" w:h="11907"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简体">
    <w:altName w:val="Arial Unicode MS"/>
    <w:panose1 w:val="02010601030101010101"/>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fldChar w:fldCharType="begin"/>
                          </w:r>
                          <w:r>
                            <w:instrText xml:space="preserve"> PAGE  \* MERGEFORMAT </w:instrText>
                          </w:r>
                          <w:r>
                            <w:fldChar w:fldCharType="separate"/>
                          </w:r>
                          <w:r>
                            <w:rPr>
                              <w:rFonts w:hint="default"/>
                            </w:rPr>
                            <w:t>- 10 -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- 10 -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19 -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19 -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339A02"/>
    <w:multiLevelType w:val="singleLevel"/>
    <w:tmpl w:val="C5339A02"/>
    <w:lvl w:ilvl="0" w:tentative="0">
      <w:start w:val="5"/>
      <w:numFmt w:val="chineseCounting"/>
      <w:suff w:val="nothing"/>
      <w:lvlText w:val="%1、"/>
      <w:lvlJc w:val="left"/>
      <w:rPr>
        <w:rFonts w:hint="eastAsia"/>
      </w:rPr>
    </w:lvl>
  </w:abstractNum>
  <w:abstractNum w:abstractNumId="1">
    <w:nsid w:val="D473D8EB"/>
    <w:multiLevelType w:val="singleLevel"/>
    <w:tmpl w:val="D473D8EB"/>
    <w:lvl w:ilvl="0" w:tentative="0">
      <w:start w:val="4"/>
      <w:numFmt w:val="chineseCounting"/>
      <w:suff w:val="nothing"/>
      <w:lvlText w:val="（%1）"/>
      <w:lvlJc w:val="left"/>
      <w:rPr>
        <w:rFonts w:hint="eastAsia"/>
      </w:rPr>
    </w:lvl>
  </w:abstractNum>
  <w:abstractNum w:abstractNumId="2">
    <w:nsid w:val="0EEFC15C"/>
    <w:multiLevelType w:val="singleLevel"/>
    <w:tmpl w:val="0EEFC15C"/>
    <w:lvl w:ilvl="0" w:tentative="0">
      <w:start w:val="3"/>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5ZjA4MmFkODMzZWExNmM3NDA4MGM4MjBiMzVjMTgifQ=="/>
    <w:docVar w:name="KSO_WPS_MARK_KEY" w:val="4ce7e8c6-a98e-406b-b456-d31891572927"/>
  </w:docVars>
  <w:rsids>
    <w:rsidRoot w:val="00B03CCD"/>
    <w:rsid w:val="000550D9"/>
    <w:rsid w:val="001D3BB7"/>
    <w:rsid w:val="002964A6"/>
    <w:rsid w:val="002B254B"/>
    <w:rsid w:val="00466C9B"/>
    <w:rsid w:val="00550ABE"/>
    <w:rsid w:val="00770383"/>
    <w:rsid w:val="007819D4"/>
    <w:rsid w:val="007B419D"/>
    <w:rsid w:val="007B7C4B"/>
    <w:rsid w:val="007D3D39"/>
    <w:rsid w:val="00994AF7"/>
    <w:rsid w:val="009B67B8"/>
    <w:rsid w:val="009D2B67"/>
    <w:rsid w:val="00A539F5"/>
    <w:rsid w:val="00A566F9"/>
    <w:rsid w:val="00AF2751"/>
    <w:rsid w:val="00B03CCD"/>
    <w:rsid w:val="00BE2B89"/>
    <w:rsid w:val="00C10E9E"/>
    <w:rsid w:val="00C20C3E"/>
    <w:rsid w:val="00F73F90"/>
    <w:rsid w:val="01474EBF"/>
    <w:rsid w:val="01F3521E"/>
    <w:rsid w:val="03B87EA0"/>
    <w:rsid w:val="03E3214F"/>
    <w:rsid w:val="044C50BA"/>
    <w:rsid w:val="05BC6D49"/>
    <w:rsid w:val="06194FF1"/>
    <w:rsid w:val="06A2550B"/>
    <w:rsid w:val="06F80EE2"/>
    <w:rsid w:val="07001CCA"/>
    <w:rsid w:val="075678DB"/>
    <w:rsid w:val="079D7CC7"/>
    <w:rsid w:val="08051BCA"/>
    <w:rsid w:val="086C12F4"/>
    <w:rsid w:val="08705944"/>
    <w:rsid w:val="08BA052C"/>
    <w:rsid w:val="08DB07BA"/>
    <w:rsid w:val="0969353F"/>
    <w:rsid w:val="098305D0"/>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73708E3"/>
    <w:rsid w:val="17C374FC"/>
    <w:rsid w:val="182E4AB6"/>
    <w:rsid w:val="189079DC"/>
    <w:rsid w:val="189B0D0B"/>
    <w:rsid w:val="18B43F7C"/>
    <w:rsid w:val="19075546"/>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4B92327"/>
    <w:rsid w:val="24C14514"/>
    <w:rsid w:val="2533755C"/>
    <w:rsid w:val="25791755"/>
    <w:rsid w:val="26396DF4"/>
    <w:rsid w:val="27167136"/>
    <w:rsid w:val="271B442C"/>
    <w:rsid w:val="27B23302"/>
    <w:rsid w:val="29310A5F"/>
    <w:rsid w:val="29C37A35"/>
    <w:rsid w:val="2A076083"/>
    <w:rsid w:val="2A73162E"/>
    <w:rsid w:val="2B167953"/>
    <w:rsid w:val="2B200583"/>
    <w:rsid w:val="2B8209DE"/>
    <w:rsid w:val="2C636760"/>
    <w:rsid w:val="2C6762A3"/>
    <w:rsid w:val="2FCA4B37"/>
    <w:rsid w:val="2FE029D7"/>
    <w:rsid w:val="2FF06E00"/>
    <w:rsid w:val="30586FEC"/>
    <w:rsid w:val="315F0B22"/>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DD7F09"/>
    <w:rsid w:val="3B1705E5"/>
    <w:rsid w:val="3B18334B"/>
    <w:rsid w:val="3B36794F"/>
    <w:rsid w:val="3B6F6EE0"/>
    <w:rsid w:val="3C566AD6"/>
    <w:rsid w:val="3C594871"/>
    <w:rsid w:val="3C6A5B02"/>
    <w:rsid w:val="3D2757A1"/>
    <w:rsid w:val="3D3D4FC4"/>
    <w:rsid w:val="3DDF3AB1"/>
    <w:rsid w:val="3E1D0952"/>
    <w:rsid w:val="3E42660A"/>
    <w:rsid w:val="3E7555B1"/>
    <w:rsid w:val="3E787ED9"/>
    <w:rsid w:val="3F032E93"/>
    <w:rsid w:val="3F0527E5"/>
    <w:rsid w:val="3F694D83"/>
    <w:rsid w:val="3F885DCC"/>
    <w:rsid w:val="3FCD675E"/>
    <w:rsid w:val="4004000C"/>
    <w:rsid w:val="40BD5482"/>
    <w:rsid w:val="411B6CE5"/>
    <w:rsid w:val="412070D7"/>
    <w:rsid w:val="41314E40"/>
    <w:rsid w:val="41E0734B"/>
    <w:rsid w:val="426C1EA8"/>
    <w:rsid w:val="42736402"/>
    <w:rsid w:val="42E86A87"/>
    <w:rsid w:val="43307B09"/>
    <w:rsid w:val="439A3EB9"/>
    <w:rsid w:val="43BB152F"/>
    <w:rsid w:val="44C37687"/>
    <w:rsid w:val="45CB699A"/>
    <w:rsid w:val="465B470D"/>
    <w:rsid w:val="469D6AD4"/>
    <w:rsid w:val="471E6C84"/>
    <w:rsid w:val="4748792B"/>
    <w:rsid w:val="475D719D"/>
    <w:rsid w:val="47674801"/>
    <w:rsid w:val="48225EF7"/>
    <w:rsid w:val="488F422B"/>
    <w:rsid w:val="48E36915"/>
    <w:rsid w:val="48EB6572"/>
    <w:rsid w:val="495C4A24"/>
    <w:rsid w:val="497135DF"/>
    <w:rsid w:val="4A263DF2"/>
    <w:rsid w:val="4A6F6675"/>
    <w:rsid w:val="4B135857"/>
    <w:rsid w:val="4B7951CB"/>
    <w:rsid w:val="4B7C315C"/>
    <w:rsid w:val="4DAC4ACA"/>
    <w:rsid w:val="4DBE01D2"/>
    <w:rsid w:val="4F0C6BA3"/>
    <w:rsid w:val="4F186D58"/>
    <w:rsid w:val="50F06B6E"/>
    <w:rsid w:val="51D21804"/>
    <w:rsid w:val="52234D33"/>
    <w:rsid w:val="522F6E0C"/>
    <w:rsid w:val="52463BA1"/>
    <w:rsid w:val="52F163D4"/>
    <w:rsid w:val="531A2DB4"/>
    <w:rsid w:val="53542CAB"/>
    <w:rsid w:val="53C0244D"/>
    <w:rsid w:val="53DD4D4E"/>
    <w:rsid w:val="53E578CE"/>
    <w:rsid w:val="541330F0"/>
    <w:rsid w:val="54272666"/>
    <w:rsid w:val="543B029D"/>
    <w:rsid w:val="54861779"/>
    <w:rsid w:val="552256E1"/>
    <w:rsid w:val="554E5773"/>
    <w:rsid w:val="555829E0"/>
    <w:rsid w:val="555A3CBC"/>
    <w:rsid w:val="5582012B"/>
    <w:rsid w:val="558E4E05"/>
    <w:rsid w:val="55BE2E85"/>
    <w:rsid w:val="56530F5D"/>
    <w:rsid w:val="567700D3"/>
    <w:rsid w:val="56FF7E9E"/>
    <w:rsid w:val="578867FC"/>
    <w:rsid w:val="5842572D"/>
    <w:rsid w:val="5A3B59D6"/>
    <w:rsid w:val="5AD134D8"/>
    <w:rsid w:val="5C263CE4"/>
    <w:rsid w:val="5C5D2777"/>
    <w:rsid w:val="5CF66BF3"/>
    <w:rsid w:val="5D290C69"/>
    <w:rsid w:val="5F2D4A41"/>
    <w:rsid w:val="60C74F6C"/>
    <w:rsid w:val="61025A59"/>
    <w:rsid w:val="613D5BBC"/>
    <w:rsid w:val="61536C39"/>
    <w:rsid w:val="62662A7E"/>
    <w:rsid w:val="62944DD7"/>
    <w:rsid w:val="6319381F"/>
    <w:rsid w:val="63C25DC5"/>
    <w:rsid w:val="63C62057"/>
    <w:rsid w:val="64571EF5"/>
    <w:rsid w:val="64FB113D"/>
    <w:rsid w:val="656152C6"/>
    <w:rsid w:val="6587477F"/>
    <w:rsid w:val="658C3A08"/>
    <w:rsid w:val="65C031CA"/>
    <w:rsid w:val="65CE6852"/>
    <w:rsid w:val="66267C04"/>
    <w:rsid w:val="663F505A"/>
    <w:rsid w:val="6695622F"/>
    <w:rsid w:val="66EE5541"/>
    <w:rsid w:val="67924660"/>
    <w:rsid w:val="68407834"/>
    <w:rsid w:val="6883293E"/>
    <w:rsid w:val="688412AD"/>
    <w:rsid w:val="68EB1B71"/>
    <w:rsid w:val="6A6C7940"/>
    <w:rsid w:val="6AAD2300"/>
    <w:rsid w:val="6B474EF5"/>
    <w:rsid w:val="6C0A5AC5"/>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934AD2"/>
    <w:rsid w:val="73D01C95"/>
    <w:rsid w:val="750837F0"/>
    <w:rsid w:val="754758CF"/>
    <w:rsid w:val="764F62AB"/>
    <w:rsid w:val="765C45EC"/>
    <w:rsid w:val="768A7619"/>
    <w:rsid w:val="772E1EBA"/>
    <w:rsid w:val="781926BC"/>
    <w:rsid w:val="796D60A4"/>
    <w:rsid w:val="79A031D5"/>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字符"/>
    <w:basedOn w:val="9"/>
    <w:link w:val="2"/>
    <w:qFormat/>
    <w:uiPriority w:val="0"/>
    <w:rPr>
      <w:rFonts w:ascii="宋体" w:hAnsi="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26</Pages>
  <Words>7371</Words>
  <Characters>8947</Characters>
  <Lines>83</Lines>
  <Paragraphs>23</Paragraphs>
  <TotalTime>7</TotalTime>
  <ScaleCrop>false</ScaleCrop>
  <LinksUpToDate>false</LinksUpToDate>
  <CharactersWithSpaces>9962</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2024-09-27T08:15:02Z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BB46EABDBB2749749395447164B066B3_12</vt:lpwstr>
  </property>
</Properties>
</file>