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520"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重庆市丰都县中小学教师发展中心</w:t>
      </w:r>
    </w:p>
    <w:p>
      <w:pPr>
        <w:pStyle w:val="6"/>
        <w:spacing w:before="0" w:beforeAutospacing="0" w:line="520"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w:t>
      </w:r>
      <w:r>
        <w:rPr>
          <w:rFonts w:hint="default" w:ascii="方正仿宋_GBK" w:hAnsi="方正仿宋_GBK" w:eastAsia="方正仿宋_GBK" w:cs="方正仿宋_GBK"/>
          <w:sz w:val="32"/>
          <w:szCs w:val="32"/>
          <w:shd w:val="clear" w:color="auto" w:fill="FFFFFF"/>
        </w:rPr>
        <w:t>:促进教师干部专业发展,提高基础教育教学质量。</w:t>
      </w:r>
    </w:p>
    <w:p>
      <w:pPr>
        <w:pStyle w:val="6"/>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主要职责任务</w:t>
      </w:r>
      <w:r>
        <w:rPr>
          <w:rFonts w:hint="default" w:ascii="方正仿宋_GBK" w:hAnsi="方正仿宋_GBK" w:eastAsia="方正仿宋_GBK" w:cs="方正仿宋_GBK"/>
          <w:sz w:val="32"/>
          <w:szCs w:val="32"/>
          <w:shd w:val="clear" w:color="auto" w:fill="FFFFFF"/>
        </w:rPr>
        <w:t>:贯彻落实中市县教育行政部门教师继续教育、教育教学研究等政策法规,研制实施中小学、幼儿园及职教机构教师继续教育、教学研究与学科教学信息化、电大成人本专科学历教育等中长期规划和年度计划,为丰都教育持续发展提供智力支持。</w:t>
      </w:r>
    </w:p>
    <w:p>
      <w:pPr>
        <w:pStyle w:val="6"/>
        <w:shd w:val="clear" w:color="auto" w:fill="FFFFFF"/>
        <w:ind w:firstLine="736" w:firstLineChars="23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具体职责任务</w:t>
      </w:r>
      <w:r>
        <w:rPr>
          <w:rFonts w:hint="default" w:ascii="方正仿宋_GBK" w:hAnsi="方正仿宋_GBK" w:eastAsia="方正仿宋_GBK" w:cs="方正仿宋_GBK"/>
          <w:sz w:val="32"/>
          <w:szCs w:val="32"/>
          <w:shd w:val="clear" w:color="auto" w:fill="FFFFFF"/>
        </w:rPr>
        <w:t>:</w:t>
      </w:r>
    </w:p>
    <w:p>
      <w:pPr>
        <w:pStyle w:val="6"/>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1.承担中市县教育行政部门有关中小学、幼儿园及职教机构教师干部继续教育任务,组织实施教师干部继续教育工作,开展新教师入职资格培训、新干部任职资格培训,促进教师干部专业发展。</w:t>
      </w:r>
    </w:p>
    <w:p>
      <w:pPr>
        <w:pStyle w:val="6"/>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承担中市县教育行政部门有关中小学、幼儿园及职教机构课程建设与管理、教育教学研究与服务,组织实施课程改革管理与研究、学科教师培训与指导、学校教学管理与研究,开展学校教育教学质量监测、研究与指导,实现教育教学政策、理论与技术向学校和教师实践转化,提高教育教学质量效益。</w:t>
      </w:r>
    </w:p>
    <w:p>
      <w:pPr>
        <w:pStyle w:val="6"/>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3.承担中市县教育行政部门有关中小学、幼儿园及职教机构教师干部信息技术应用能力提升、教学资源信息化与学校管理信息化支持平台管理等任务,负责电大成人本专科学历教育等工作。</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以上具体职责任务属基本公益服务。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根据以上职责任务</w:t>
      </w:r>
      <w:r>
        <w:rPr>
          <w:rFonts w:hint="default" w:ascii="方正仿宋_GBK" w:hAnsi="方正仿宋_GBK" w:eastAsia="方正仿宋_GBK" w:cs="方正仿宋_GBK"/>
          <w:sz w:val="32"/>
          <w:szCs w:val="32"/>
          <w:shd w:val="clear" w:color="auto" w:fill="FFFFFF"/>
        </w:rPr>
        <w:t>,设办公室、教育培训处、教育科研处、电大与网络教育处、总务处5个内设机构。</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办公室。负责上传下达、政务公开、新闻发布等日常工作,按照规定办理来文来电收发、登记、传递、督办、建档、存查及机要、保密、档案等事务,组织中心会议、起草修改文件报告以及完成领导安排的其他工作等。</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教育培训处。负责组织实施教师干部继续教育“国培计划”、“市培计划”及县级培训计划项目,管理、指导、研究、考核镇乡街道和学校教师干部继续教育工作,开展新入职教师和新任职干部岗前培训、教师资格培训及相关教师资格审核认证颁证工作等。</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教育科研处。负责组织实施中小学教育、幼儿教育及职业教育课程改革与研究、德育与学科教学研究,管理、指导学校教学与教研、教学质量监测,管理、指导、研究、考核中小学、幼儿园等县级学科“教师工作坊”及学科教学信息化应用推广,组织、指导中小学音乐、体育、美术、信息技术、通用技术、综合实践、心理健康教育与咨询辅导、国家通用语言文字推广等活动,组织开展中小学生劳动教育、生涯规划教育、职业技术教育,组织和管理国家、市级、县级教育科研课题研究及县教育学会与学科专业委员会工作等。</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4.电大与网络教育处。负责中小学幼儿园教师干部网络教育与信息技术应用能力提升培训研修与测评考试,组织管理学科教学资源信息化与学校管理信息化支持平台,负责实施电大成人本专科学历教育。</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5.总务处。负责中小学幼儿园教育教学研究与教师干部继续教育培训等方面经费的使用管理、校舍场地与设施设备等固定资产的维护维修、安全保卫及其他后勤服务工作等。</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2023年度收入总计2512.85万元，支出总计</w:t>
      </w:r>
      <w:r>
        <w:rPr>
          <w:rFonts w:ascii="方正仿宋_GBK" w:hAnsi="方正仿宋_GBK" w:eastAsia="方正仿宋_GBK" w:cs="方正仿宋_GBK"/>
          <w:sz w:val="32"/>
          <w:szCs w:val="32"/>
        </w:rPr>
        <w:t>2512.85</w:t>
      </w:r>
      <w:r>
        <w:rPr>
          <w:rFonts w:ascii="方正仿宋_GBK" w:hAnsi="方正仿宋_GBK" w:eastAsia="方正仿宋_GBK" w:cs="方正仿宋_GBK"/>
          <w:sz w:val="32"/>
          <w:szCs w:val="32"/>
          <w:shd w:val="clear" w:color="auto" w:fill="FFFFFF"/>
        </w:rPr>
        <w:t>万元。收支较上年决算数减少97.25万元，下降3.73%，主要原因是本年度县级培训费减少，电大学员招生人数减少、学费收入减少，单位日常办公业务费支出减少。</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2023年度收入合计2144.78万元，较上年决算数减少142.41万元，下降6.23%，主要原因是本年度县级培训费减少，电大学员招生人数减少、学费收入减少。其中：财政拨款收入</w:t>
      </w:r>
      <w:r>
        <w:rPr>
          <w:rFonts w:ascii="方正仿宋_GBK" w:hAnsi="方正仿宋_GBK" w:eastAsia="方正仿宋_GBK" w:cs="方正仿宋_GBK"/>
          <w:sz w:val="32"/>
          <w:szCs w:val="32"/>
        </w:rPr>
        <w:t>1938.70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90.39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206.07</w:t>
      </w:r>
      <w:r>
        <w:rPr>
          <w:rFonts w:ascii="方正仿宋_GBK" w:hAnsi="方正仿宋_GBK" w:eastAsia="方正仿宋_GBK" w:cs="方正仿宋_GBK"/>
          <w:sz w:val="32"/>
          <w:szCs w:val="32"/>
          <w:shd w:val="clear" w:color="auto" w:fill="FFFFFF"/>
        </w:rPr>
        <w:t>万元，占9.61%；经营收入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368.08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2248.51</w:t>
      </w:r>
      <w:r>
        <w:rPr>
          <w:rFonts w:ascii="方正仿宋_GBK" w:hAnsi="方正仿宋_GBK" w:eastAsia="方正仿宋_GBK" w:cs="方正仿宋_GBK"/>
          <w:sz w:val="32"/>
          <w:szCs w:val="32"/>
          <w:shd w:val="clear" w:color="auto" w:fill="FFFFFF"/>
        </w:rPr>
        <w:t>万元，较上年决算数增加3.85万元，增长0.17%，主要原因是人员增资、五险调标、对</w:t>
      </w:r>
      <w:r>
        <w:rPr>
          <w:rFonts w:hint="default" w:ascii="方正仿宋_GBK" w:hAnsi="方正仿宋_GBK" w:eastAsia="方正仿宋_GBK" w:cs="方正仿宋_GBK"/>
          <w:sz w:val="32"/>
          <w:szCs w:val="32"/>
          <w:shd w:val="clear" w:color="auto" w:fill="FFFFFF"/>
        </w:rPr>
        <w:t>2021年的超额绩效进行清算兑现。</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1913.97</w:t>
      </w:r>
      <w:r>
        <w:rPr>
          <w:rFonts w:ascii="方正仿宋_GBK" w:hAnsi="方正仿宋_GBK" w:eastAsia="方正仿宋_GBK" w:cs="方正仿宋_GBK"/>
          <w:sz w:val="32"/>
          <w:szCs w:val="32"/>
          <w:shd w:val="clear" w:color="auto" w:fill="FFFFFF"/>
        </w:rPr>
        <w:t>万元，占85.12%；项目支出</w:t>
      </w:r>
      <w:r>
        <w:rPr>
          <w:rFonts w:ascii="方正仿宋_GBK" w:hAnsi="方正仿宋_GBK" w:eastAsia="方正仿宋_GBK" w:cs="方正仿宋_GBK"/>
          <w:sz w:val="32"/>
          <w:szCs w:val="32"/>
        </w:rPr>
        <w:t>334.55</w:t>
      </w:r>
      <w:r>
        <w:rPr>
          <w:rFonts w:ascii="方正仿宋_GBK" w:hAnsi="方正仿宋_GBK" w:eastAsia="方正仿宋_GBK" w:cs="方正仿宋_GBK"/>
          <w:sz w:val="32"/>
          <w:szCs w:val="32"/>
          <w:shd w:val="clear" w:color="auto" w:fill="FFFFFF"/>
        </w:rPr>
        <w:t>万元，占14.88%；经营支出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264.34</w:t>
      </w:r>
      <w:r>
        <w:rPr>
          <w:rFonts w:ascii="方正仿宋_GBK" w:hAnsi="方正仿宋_GBK" w:eastAsia="方正仿宋_GBK" w:cs="方正仿宋_GBK"/>
          <w:sz w:val="32"/>
          <w:szCs w:val="32"/>
          <w:shd w:val="clear" w:color="auto" w:fill="FFFFFF"/>
        </w:rPr>
        <w:t>万元，较上年决算数减少101.10万元，下降27.67%，主要原因是代管的国培训经费由2022年结转到2023年支付，电大上交的事业费结转本年支付。</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2023年度财政拨款收、支总计1941.34万元。与2022年相比，财政拨款收、支总计各增加27.55万元，增长1.44%。主要原因是人员增资、五险调标、对</w:t>
      </w:r>
      <w:r>
        <w:rPr>
          <w:rFonts w:hint="default" w:ascii="方正仿宋_GBK" w:hAnsi="方正仿宋_GBK" w:eastAsia="方正仿宋_GBK" w:cs="方正仿宋_GBK"/>
          <w:sz w:val="32"/>
          <w:szCs w:val="32"/>
          <w:shd w:val="clear" w:color="auto" w:fill="FFFFFF"/>
        </w:rPr>
        <w:t>2021年的超额绩效进行清算兑现。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1938.70</w:t>
      </w:r>
      <w:r>
        <w:rPr>
          <w:rFonts w:ascii="方正仿宋_GBK" w:hAnsi="方正仿宋_GBK" w:eastAsia="方正仿宋_GBK" w:cs="方正仿宋_GBK"/>
          <w:sz w:val="32"/>
          <w:szCs w:val="32"/>
          <w:shd w:val="clear" w:color="auto" w:fill="FFFFFF"/>
        </w:rPr>
        <w:t>万元，较上年决算数增加24.91万元，增长1.30%。主要原因是人员增资、五险调标、对</w:t>
      </w:r>
      <w:r>
        <w:rPr>
          <w:rFonts w:hint="default" w:ascii="方正仿宋_GBK" w:hAnsi="方正仿宋_GBK" w:eastAsia="方正仿宋_GBK" w:cs="方正仿宋_GBK"/>
          <w:sz w:val="32"/>
          <w:szCs w:val="32"/>
          <w:shd w:val="clear" w:color="auto" w:fill="FFFFFF"/>
        </w:rPr>
        <w:t>2021年的超额绩效进行清算兑现。</w:t>
      </w:r>
      <w:r>
        <w:rPr>
          <w:rFonts w:ascii="方正仿宋_GBK" w:hAnsi="方正仿宋_GBK" w:eastAsia="方正仿宋_GBK" w:cs="方正仿宋_GBK"/>
          <w:sz w:val="32"/>
          <w:szCs w:val="32"/>
          <w:shd w:val="clear" w:color="auto" w:fill="FFFFFF"/>
        </w:rPr>
        <w:t>较年初预算数增加517.71万元，增长36.43%。主要原因是人员增资、五险调标、对</w:t>
      </w:r>
      <w:r>
        <w:rPr>
          <w:rFonts w:hint="default" w:ascii="方正仿宋_GBK" w:hAnsi="方正仿宋_GBK" w:eastAsia="方正仿宋_GBK" w:cs="方正仿宋_GBK"/>
          <w:sz w:val="32"/>
          <w:szCs w:val="32"/>
          <w:shd w:val="clear" w:color="auto" w:fill="FFFFFF"/>
        </w:rPr>
        <w:t>2021年的超额绩效进行清算兑现</w:t>
      </w:r>
      <w:r>
        <w:rPr>
          <w:rFonts w:ascii="方正仿宋_GBK" w:hAnsi="方正仿宋_GBK" w:eastAsia="方正仿宋_GBK" w:cs="方正仿宋_GBK"/>
          <w:sz w:val="32"/>
          <w:szCs w:val="32"/>
          <w:shd w:val="clear" w:color="auto" w:fill="FFFFFF"/>
        </w:rPr>
        <w:t>，预算后调剂增加培训及教研专项经费增加</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1941.34</w:t>
      </w:r>
      <w:r>
        <w:rPr>
          <w:rFonts w:ascii="方正仿宋_GBK" w:hAnsi="方正仿宋_GBK" w:eastAsia="方正仿宋_GBK" w:cs="方正仿宋_GBK"/>
          <w:sz w:val="32"/>
          <w:szCs w:val="32"/>
          <w:shd w:val="clear" w:color="auto" w:fill="FFFFFF"/>
        </w:rPr>
        <w:t>万元，较上年决算数增加27.55万元，增长1.44%。主要原因是人员增资、五险调标、对</w:t>
      </w:r>
      <w:r>
        <w:rPr>
          <w:rFonts w:hint="default" w:ascii="方正仿宋_GBK" w:hAnsi="方正仿宋_GBK" w:eastAsia="方正仿宋_GBK" w:cs="方正仿宋_GBK"/>
          <w:sz w:val="32"/>
          <w:szCs w:val="32"/>
          <w:shd w:val="clear" w:color="auto" w:fill="FFFFFF"/>
        </w:rPr>
        <w:t>2021年的超额绩效进行清算兑现。</w:t>
      </w:r>
      <w:r>
        <w:rPr>
          <w:rFonts w:ascii="方正仿宋_GBK" w:hAnsi="方正仿宋_GBK" w:eastAsia="方正仿宋_GBK" w:cs="方正仿宋_GBK"/>
          <w:sz w:val="32"/>
          <w:szCs w:val="32"/>
          <w:shd w:val="clear" w:color="auto" w:fill="FFFFFF"/>
        </w:rPr>
        <w:t>较年初预算数增加520.35万元，增长36.62%。主要原因是人员增资、五险调标、对</w:t>
      </w:r>
      <w:r>
        <w:rPr>
          <w:rFonts w:hint="default" w:ascii="方正仿宋_GBK" w:hAnsi="方正仿宋_GBK" w:eastAsia="方正仿宋_GBK" w:cs="方正仿宋_GBK"/>
          <w:sz w:val="32"/>
          <w:szCs w:val="32"/>
          <w:shd w:val="clear" w:color="auto" w:fill="FFFFFF"/>
        </w:rPr>
        <w:t>2021年的超额绩效进行清算兑现</w:t>
      </w:r>
      <w:r>
        <w:rPr>
          <w:rFonts w:ascii="方正仿宋_GBK" w:hAnsi="方正仿宋_GBK" w:eastAsia="方正仿宋_GBK" w:cs="方正仿宋_GBK"/>
          <w:sz w:val="32"/>
          <w:szCs w:val="32"/>
          <w:shd w:val="clear" w:color="auto" w:fill="FFFFFF"/>
        </w:rPr>
        <w:t>，预算后调剂增加培训及教研专项经费增加</w:t>
      </w:r>
      <w:r>
        <w:rPr>
          <w:rFonts w:hint="default"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1510.18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77.79</w:t>
      </w:r>
      <w:r>
        <w:rPr>
          <w:rFonts w:ascii="方正仿宋_GBK" w:hAnsi="方正仿宋_GBK" w:eastAsia="方正仿宋_GBK" w:cs="方正仿宋_GBK"/>
          <w:sz w:val="32"/>
          <w:szCs w:val="32"/>
          <w:shd w:val="clear" w:color="auto" w:fill="FFFFFF"/>
        </w:rPr>
        <w:t>%，较年初预算数增加506.51万元，增长50.47%，主要原因是人员增资、五险调标、对</w:t>
      </w:r>
      <w:r>
        <w:rPr>
          <w:rFonts w:hint="default" w:ascii="方正仿宋_GBK" w:hAnsi="方正仿宋_GBK" w:eastAsia="方正仿宋_GBK" w:cs="方正仿宋_GBK"/>
          <w:sz w:val="32"/>
          <w:szCs w:val="32"/>
          <w:shd w:val="clear" w:color="auto" w:fill="FFFFFF"/>
        </w:rPr>
        <w:t>2021年的超额绩效进行清算兑现</w:t>
      </w:r>
      <w:r>
        <w:rPr>
          <w:rFonts w:ascii="方正仿宋_GBK" w:hAnsi="方正仿宋_GBK" w:eastAsia="方正仿宋_GBK" w:cs="方正仿宋_GBK"/>
          <w:sz w:val="32"/>
          <w:szCs w:val="32"/>
          <w:shd w:val="clear" w:color="auto" w:fill="FFFFFF"/>
        </w:rPr>
        <w:t>，预算后调剂增加培训及教研专项经费增加</w:t>
      </w:r>
      <w:r>
        <w:rPr>
          <w:rFonts w:hint="default"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292.34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15.06</w:t>
      </w:r>
      <w:r>
        <w:rPr>
          <w:rFonts w:ascii="方正仿宋_GBK" w:hAnsi="方正仿宋_GBK" w:eastAsia="方正仿宋_GBK" w:cs="方正仿宋_GBK"/>
          <w:sz w:val="32"/>
          <w:szCs w:val="32"/>
          <w:shd w:val="clear" w:color="auto" w:fill="FFFFFF"/>
        </w:rPr>
        <w:t>%，较年初预算数增加23.94万元，增长8.92%，主要原因是在职退休人员变动，人员增资、五险调标增减变化增加。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76.95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%，较年初预算数减少2.59万元，下降3.26%，主要原因是在职退休人员变动，人员增资、五险调标增减变化减少。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住房保障支出61.87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3.19</w:t>
      </w:r>
      <w:r>
        <w:rPr>
          <w:rFonts w:ascii="方正仿宋_GBK" w:hAnsi="方正仿宋_GBK" w:eastAsia="方正仿宋_GBK" w:cs="方正仿宋_GBK"/>
          <w:sz w:val="32"/>
          <w:szCs w:val="32"/>
          <w:shd w:val="clear" w:color="auto" w:fill="FFFFFF"/>
        </w:rPr>
        <w:t>%，较年初预算数减少7.50万元，下降10.81%，主要原因是在职退休人员变动，人员增资、五险调标增减变化减少。</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1606.80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1464.04</w:t>
      </w:r>
      <w:r>
        <w:rPr>
          <w:rFonts w:ascii="方正仿宋_GBK" w:hAnsi="方正仿宋_GBK" w:eastAsia="方正仿宋_GBK" w:cs="方正仿宋_GBK"/>
          <w:sz w:val="32"/>
          <w:szCs w:val="32"/>
          <w:shd w:val="clear" w:color="auto" w:fill="FFFFFF"/>
        </w:rPr>
        <w:t>万元，较上年决算数增加74.02万元，增长5.33%，主要原因是人员增资、五险调标、对</w:t>
      </w:r>
      <w:r>
        <w:rPr>
          <w:rFonts w:hint="default" w:ascii="方正仿宋_GBK" w:hAnsi="方正仿宋_GBK" w:eastAsia="方正仿宋_GBK" w:cs="方正仿宋_GBK"/>
          <w:sz w:val="32"/>
          <w:szCs w:val="32"/>
          <w:shd w:val="clear" w:color="auto" w:fill="FFFFFF"/>
        </w:rPr>
        <w:t>2021年的超额绩效进行清算兑现</w:t>
      </w:r>
      <w:r>
        <w:rPr>
          <w:rFonts w:ascii="方正仿宋_GBK" w:hAnsi="方正仿宋_GBK" w:eastAsia="方正仿宋_GBK" w:cs="方正仿宋_GBK"/>
          <w:sz w:val="32"/>
          <w:szCs w:val="32"/>
          <w:shd w:val="clear" w:color="auto" w:fill="FFFFFF"/>
        </w:rPr>
        <w:t>。人员经费用途主要包括人员经费用途主要包括基本工资、津贴补贴、绩效、社会保障缴费、住房公积金等支出。公用经费</w:t>
      </w:r>
      <w:r>
        <w:rPr>
          <w:rFonts w:ascii="方正仿宋_GBK" w:hAnsi="方正仿宋_GBK" w:eastAsia="方正仿宋_GBK" w:cs="方正仿宋_GBK"/>
          <w:sz w:val="32"/>
          <w:szCs w:val="32"/>
        </w:rPr>
        <w:t>142.76</w:t>
      </w:r>
      <w:r>
        <w:rPr>
          <w:rFonts w:ascii="方正仿宋_GBK" w:hAnsi="方正仿宋_GBK" w:eastAsia="方正仿宋_GBK" w:cs="方正仿宋_GBK"/>
          <w:sz w:val="32"/>
          <w:szCs w:val="32"/>
          <w:shd w:val="clear" w:color="auto" w:fill="FFFFFF"/>
        </w:rPr>
        <w:t>万元，较上年决算数增加21.24万元，增长17.48%，主要原因是代管的国培训经费由</w:t>
      </w:r>
      <w:r>
        <w:rPr>
          <w:rFonts w:hint="default" w:ascii="方正仿宋_GBK" w:hAnsi="方正仿宋_GBK" w:eastAsia="方正仿宋_GBK" w:cs="方正仿宋_GBK"/>
          <w:sz w:val="32"/>
          <w:szCs w:val="32"/>
          <w:shd w:val="clear" w:color="auto" w:fill="FFFFFF"/>
        </w:rPr>
        <w:t>2022年结转到2023年支付，电大上交的事业费结转本年支付。</w:t>
      </w:r>
      <w:r>
        <w:rPr>
          <w:rFonts w:ascii="方正仿宋_GBK" w:hAnsi="方正仿宋_GBK" w:eastAsia="方正仿宋_GBK" w:cs="方正仿宋_GBK"/>
          <w:sz w:val="32"/>
          <w:szCs w:val="32"/>
          <w:shd w:val="clear" w:color="auto" w:fill="FFFFFF"/>
        </w:rPr>
        <w:t>公用经费用途主要包括办公费、邮电费、工会会员活动费、水费、电费、差旅费、培训费、维修维护费、公务用车维护等支出。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left="641" w:leftChars="267"/>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6"/>
        <w:snapToGrid w:val="0"/>
        <w:spacing w:before="0" w:beforeAutospacing="0" w:after="0" w:afterAutospacing="0" w:line="600" w:lineRule="exact"/>
        <w:ind w:firstLine="639" w:firstLineChars="199"/>
        <w:jc w:val="both"/>
        <w:rPr>
          <w:rStyle w:val="10"/>
          <w:rFonts w:hint="default" w:ascii="方正仿宋_GBK" w:hAnsi="方正仿宋_GBK" w:eastAsia="方正仿宋_GBK" w:cs="方正仿宋_GBK"/>
          <w:b w:val="0"/>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万元，较年初预算数无增减。较上年支出数减少0.95万元，下降24.05%，主要原因是按各级要求严控公务接待事宜，严控公务接待费开支，只按预算支出公务车运行费。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万元，主要用于单位公务车保险、维修、油费、过路过桥费用支出。费用支出较年初预算数无增减。较上年支出数减少0.89万元，下降22.88%，主要原因是公务车运行维护费各级要求降低预算支出，由4.00万元降到</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万元。费用支出较年初预算数无增减。较上年支出数减少0.06万元，下降100.00%，主要原因是按各级要求严控公务接待事宜，严控公务接待费开支。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302.77</w:t>
      </w:r>
      <w:r>
        <w:rPr>
          <w:rFonts w:ascii="方正仿宋_GBK" w:hAnsi="方正仿宋_GBK" w:eastAsia="方正仿宋_GBK" w:cs="方正仿宋_GBK"/>
          <w:sz w:val="32"/>
          <w:szCs w:val="32"/>
          <w:shd w:val="clear" w:color="auto" w:fill="FFFFFF"/>
        </w:rPr>
        <w:t>万元，较上年决算数减少20.92万元，下降6.46%，主要原因是县级培训专项目经费减少。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numPr>
          <w:ilvl w:val="0"/>
          <w:numId w:val="1"/>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b w:val="0"/>
          <w:color w:val="FF0000"/>
          <w:sz w:val="32"/>
          <w:szCs w:val="32"/>
          <w:shd w:val="clear" w:color="auto" w:fill="FFFFFF"/>
        </w:rPr>
      </w:pPr>
      <w:r>
        <w:rPr>
          <w:rStyle w:val="10"/>
          <w:rFonts w:ascii="黑体" w:hAnsi="黑体" w:eastAsia="黑体" w:cs="黑体"/>
          <w:sz w:val="32"/>
          <w:szCs w:val="32"/>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0"/>
        <w:rPr>
          <w:rFonts w:ascii="楷体" w:hAnsi="楷体" w:eastAsia="方正仿宋_GBK"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根据预算绩效管理要求，我单位对部门整体0个一级项目、6个二级项目开展了绩效自评，涉及项目支出资金69.56万元。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市财政局未委托第三方对我单位开展绩效评价。</w:t>
      </w:r>
    </w:p>
    <w:p>
      <w:pPr>
        <w:pStyle w:val="6"/>
        <w:shd w:val="clear" w:color="auto" w:fill="FFFFFF"/>
        <w:ind w:firstLine="707" w:firstLineChars="220"/>
        <w:rPr>
          <w:rFonts w:hint="default" w:ascii="方正仿宋_GBK" w:hAnsi="方正仿宋_GBK" w:eastAsia="方正仿宋_GBK" w:cs="方正仿宋_GBK"/>
          <w:b/>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321" w:firstLineChars="1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569" w:firstLineChars="177"/>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default" w:ascii="方正仿宋_GBK" w:hAnsi="方正仿宋_GBK" w:eastAsia="方正仿宋_GBK" w:cs="方正仿宋_GBK"/>
          <w:sz w:val="32"/>
          <w:szCs w:val="32"/>
          <w:shd w:val="clear" w:color="auto" w:fill="FFFFFF"/>
        </w:rPr>
        <w:t>:王勇刚023-70711236。</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重庆市丰都县中小学教师发展中心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1,938.70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206.07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1,817.35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292.34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76.95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61.87</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2,144.78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2,248.51</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368.08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264.34</w:t>
            </w: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2,512.85</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2,512.85</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260" w:type="dxa"/>
        <w:tblInd w:w="0" w:type="dxa"/>
        <w:tblLayout w:type="fixed"/>
        <w:tblCellMar>
          <w:top w:w="0" w:type="dxa"/>
          <w:left w:w="0" w:type="dxa"/>
          <w:bottom w:w="0" w:type="dxa"/>
          <w:right w:w="0" w:type="dxa"/>
        </w:tblCellMar>
      </w:tblPr>
      <w:tblGrid>
        <w:gridCol w:w="1688"/>
        <w:gridCol w:w="3147"/>
        <w:gridCol w:w="1223"/>
        <w:gridCol w:w="1224"/>
        <w:gridCol w:w="1223"/>
        <w:gridCol w:w="1224"/>
        <w:gridCol w:w="1356"/>
        <w:gridCol w:w="1297"/>
        <w:gridCol w:w="1428"/>
        <w:gridCol w:w="1450"/>
      </w:tblGrid>
      <w:tr>
        <w:tblPrEx>
          <w:tblCellMar>
            <w:top w:w="0" w:type="dxa"/>
            <w:left w:w="0" w:type="dxa"/>
            <w:bottom w:w="0" w:type="dxa"/>
            <w:right w:w="0" w:type="dxa"/>
          </w:tblCellMar>
        </w:tblPrEx>
        <w:trPr>
          <w:trHeight w:val="652" w:hRule="atLeast"/>
        </w:trPr>
        <w:tc>
          <w:tcPr>
            <w:tcW w:w="1526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35" w:hRule="atLeast"/>
        </w:trPr>
        <w:tc>
          <w:tcPr>
            <w:tcW w:w="60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重庆市丰都县中小学教师发展中心</w:t>
            </w: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35" w:hRule="atLeast"/>
        </w:trPr>
        <w:tc>
          <w:tcPr>
            <w:tcW w:w="60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46" w:hRule="atLeast"/>
        </w:trPr>
        <w:tc>
          <w:tcPr>
            <w:tcW w:w="4836"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51" w:hRule="atLeast"/>
        </w:trPr>
        <w:tc>
          <w:tcPr>
            <w:tcW w:w="1689"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4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51"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51"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55" w:hRule="atLeast"/>
        </w:trPr>
        <w:tc>
          <w:tcPr>
            <w:tcW w:w="483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2,144.78</w:t>
            </w:r>
            <w:r>
              <w:rPr>
                <w:b/>
                <w:color w:val="000000"/>
                <w:sz w:val="20"/>
              </w:rPr>
              <w:t xml:space="preserve"> </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1,938.70</w:t>
            </w:r>
            <w:r>
              <w:rPr>
                <w:b/>
                <w:color w:val="000000"/>
                <w:sz w:val="20"/>
              </w:rPr>
              <w:t xml:space="preserve"> </w:t>
            </w:r>
          </w:p>
        </w:tc>
        <w:tc>
          <w:tcPr>
            <w:tcW w:w="12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206.07</w:t>
            </w:r>
            <w:r>
              <w:rPr>
                <w:b/>
                <w:color w:val="000000"/>
                <w:sz w:val="20"/>
              </w:rPr>
              <w:t xml:space="preserve"> </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206.07</w:t>
            </w:r>
            <w:r>
              <w:rPr>
                <w:b/>
                <w:color w:val="000000"/>
                <w:sz w:val="20"/>
              </w:rPr>
              <w:t xml:space="preserve"> </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1,713.61</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1,507.54</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206.07</w:t>
            </w:r>
            <w:r>
              <w:rPr>
                <w:b/>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206.07</w:t>
            </w:r>
            <w:r>
              <w:rPr>
                <w:b/>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1,713.61</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1,507.54</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206.07</w:t>
            </w:r>
            <w:r>
              <w:rPr>
                <w:b/>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206.07</w:t>
            </w:r>
            <w:r>
              <w:rPr>
                <w:b/>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1,713.61</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1,507.54</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206.07</w:t>
            </w: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206.07</w:t>
            </w: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292.34</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292.34</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292.34</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292.34</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661"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87.84</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87.84</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59.14</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59.14</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145.36</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145.36</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76.95</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76.95</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76.95</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76.95</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44.25</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44.25</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32.70</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32.70</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61.87</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61.87</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65"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61.87</w:t>
            </w:r>
            <w:r>
              <w:rPr>
                <w:b/>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61.87</w:t>
            </w:r>
            <w:r>
              <w:rPr>
                <w:b/>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53" w:hRule="atLeast"/>
        </w:trPr>
        <w:tc>
          <w:tcPr>
            <w:tcW w:w="16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61.87</w:t>
            </w:r>
            <w:r>
              <w:rPr>
                <w:color w:val="000000"/>
                <w:sz w:val="20"/>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61.87</w:t>
            </w: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重庆市丰都县中小学教师发展中心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2,248.51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1,913.97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334.55</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1,817.35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1,482.80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334.55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1,817.35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1,482.80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334.55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1,817.35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1,482.80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334.55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145.36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145.36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重庆市丰都县中小学教师发展中心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1,938.70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1,510.18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1,510.18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1,938.70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1,941.34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重庆市丰都县中小学教师发展中心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1,941.34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1,606.80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334.55</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1,510.18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1,175.63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334.55</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1,510.18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1,175.63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334.55</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1,510.18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1,175.63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334.55</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292.34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292.34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87.84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87.84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145.36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145.36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44.25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44.25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重庆市丰都县中小学教师发展中心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0" w:name="_GoBack"/>
            <w:bookmarkEnd w:id="0"/>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1,304.83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134.39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669.50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87.84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135.73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1,464.04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142.76</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重庆市丰都县中小学教师发展中心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重庆市丰都县中小学教师发展中心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重庆市丰都县中小学教师发展中心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302.77</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0"/>
          <w:szCs w:val="20"/>
        </w:rPr>
      </w:pPr>
    </w:p>
    <w:p>
      <w:pPr>
        <w:widowControl w:val="0"/>
        <w:jc w:val="both"/>
        <w:rPr>
          <w:rFonts w:hint="default" w:ascii="Calibri" w:hAnsi="Calibri"/>
          <w:kern w:val="2"/>
          <w:sz w:val="21"/>
        </w:rPr>
      </w:pPr>
      <w:r>
        <w:rPr>
          <w:rFonts w:hint="default" w:ascii="Calibri" w:hAnsi="Calibri"/>
          <w:kern w:val="2"/>
          <w:sz w:val="21"/>
        </w:rPr>
        <w:drawing>
          <wp:inline distT="0" distB="0" distL="114300" distR="114300">
            <wp:extent cx="9688195" cy="6655435"/>
            <wp:effectExtent l="0" t="0" r="825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688195" cy="6655435"/>
                    </a:xfrm>
                    <a:prstGeom prst="rect">
                      <a:avLst/>
                    </a:prstGeom>
                    <a:noFill/>
                    <a:ln>
                      <a:noFill/>
                    </a:ln>
                  </pic:spPr>
                </pic:pic>
              </a:graphicData>
            </a:graphic>
          </wp:inline>
        </w:drawing>
      </w:r>
    </w:p>
    <w:p>
      <w:pPr>
        <w:widowControl w:val="0"/>
        <w:jc w:val="both"/>
        <w:rPr>
          <w:rFonts w:hint="default" w:ascii="Calibri" w:hAnsi="Calibri"/>
          <w:kern w:val="2"/>
          <w:sz w:val="21"/>
        </w:rPr>
      </w:pPr>
      <w:r>
        <w:rPr>
          <w:rFonts w:hint="default" w:ascii="Calibri" w:hAnsi="Calibri"/>
          <w:kern w:val="2"/>
          <w:sz w:val="21"/>
        </w:rPr>
        <w:drawing>
          <wp:inline distT="0" distB="0" distL="114300" distR="114300">
            <wp:extent cx="9679305" cy="6678930"/>
            <wp:effectExtent l="0" t="0" r="171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679305" cy="6678930"/>
                    </a:xfrm>
                    <a:prstGeom prst="rect">
                      <a:avLst/>
                    </a:prstGeom>
                    <a:noFill/>
                    <a:ln>
                      <a:noFill/>
                    </a:ln>
                  </pic:spPr>
                </pic:pic>
              </a:graphicData>
            </a:graphic>
          </wp:inline>
        </w:drawing>
      </w:r>
    </w:p>
    <w:p>
      <w:pPr>
        <w:widowControl w:val="0"/>
        <w:jc w:val="both"/>
        <w:rPr>
          <w:rFonts w:hint="default" w:ascii="Calibri" w:hAnsi="Calibri"/>
          <w:kern w:val="2"/>
          <w:sz w:val="21"/>
        </w:rPr>
      </w:pPr>
      <w:r>
        <w:rPr>
          <w:rFonts w:hint="default" w:ascii="Calibri" w:hAnsi="Calibri"/>
          <w:kern w:val="2"/>
          <w:sz w:val="21"/>
        </w:rPr>
        <w:drawing>
          <wp:inline distT="0" distB="0" distL="114300" distR="114300">
            <wp:extent cx="9775190" cy="6755130"/>
            <wp:effectExtent l="0" t="0" r="1651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775190" cy="6755130"/>
                    </a:xfrm>
                    <a:prstGeom prst="rect">
                      <a:avLst/>
                    </a:prstGeom>
                    <a:noFill/>
                    <a:ln>
                      <a:noFill/>
                    </a:ln>
                  </pic:spPr>
                </pic:pic>
              </a:graphicData>
            </a:graphic>
          </wp:inline>
        </w:drawing>
      </w:r>
    </w:p>
    <w:p>
      <w:pPr>
        <w:widowControl w:val="0"/>
        <w:jc w:val="both"/>
        <w:rPr>
          <w:rFonts w:hint="default" w:ascii="Calibri" w:hAnsi="Calibri"/>
          <w:kern w:val="2"/>
          <w:sz w:val="21"/>
        </w:rPr>
      </w:pPr>
      <w:r>
        <w:rPr>
          <w:rFonts w:hint="default" w:ascii="Calibri" w:hAnsi="Calibri"/>
          <w:kern w:val="2"/>
          <w:sz w:val="21"/>
        </w:rPr>
        <w:drawing>
          <wp:inline distT="0" distB="0" distL="114300" distR="114300">
            <wp:extent cx="9698990" cy="6774180"/>
            <wp:effectExtent l="0" t="0" r="1651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698990" cy="6774180"/>
                    </a:xfrm>
                    <a:prstGeom prst="rect">
                      <a:avLst/>
                    </a:prstGeom>
                    <a:noFill/>
                    <a:ln>
                      <a:noFill/>
                    </a:ln>
                  </pic:spPr>
                </pic:pic>
              </a:graphicData>
            </a:graphic>
          </wp:inline>
        </w:drawing>
      </w:r>
    </w:p>
    <w:p>
      <w:pPr>
        <w:widowControl w:val="0"/>
        <w:jc w:val="both"/>
        <w:rPr>
          <w:rFonts w:hint="default" w:ascii="Calibri" w:hAnsi="Calibri"/>
          <w:kern w:val="2"/>
          <w:sz w:val="21"/>
        </w:rPr>
      </w:pPr>
      <w:r>
        <w:rPr>
          <w:rFonts w:hint="default" w:ascii="Calibri" w:hAnsi="Calibri"/>
          <w:kern w:val="2"/>
          <w:sz w:val="21"/>
        </w:rPr>
        <w:drawing>
          <wp:inline distT="0" distB="0" distL="114300" distR="114300">
            <wp:extent cx="9746615" cy="6755130"/>
            <wp:effectExtent l="0" t="0" r="698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746615" cy="6755130"/>
                    </a:xfrm>
                    <a:prstGeom prst="rect">
                      <a:avLst/>
                    </a:prstGeom>
                    <a:noFill/>
                    <a:ln>
                      <a:noFill/>
                    </a:ln>
                  </pic:spPr>
                </pic:pic>
              </a:graphicData>
            </a:graphic>
          </wp:inline>
        </w:drawing>
      </w:r>
    </w:p>
    <w:p>
      <w:pPr>
        <w:widowControl w:val="0"/>
        <w:jc w:val="both"/>
        <w:rPr>
          <w:rFonts w:hint="default" w:cs="宋体"/>
          <w:sz w:val="21"/>
          <w:szCs w:val="21"/>
        </w:rPr>
      </w:pPr>
      <w:r>
        <w:rPr>
          <w:rFonts w:hint="default" w:ascii="Calibri" w:hAnsi="Calibri"/>
          <w:kern w:val="2"/>
          <w:sz w:val="21"/>
        </w:rPr>
        <w:drawing>
          <wp:inline distT="0" distB="0" distL="114300" distR="114300">
            <wp:extent cx="9727565" cy="6650355"/>
            <wp:effectExtent l="0" t="0" r="6985"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9727565" cy="6650355"/>
                    </a:xfrm>
                    <a:prstGeom prst="rect">
                      <a:avLst/>
                    </a:prstGeom>
                    <a:noFill/>
                    <a:ln>
                      <a:noFill/>
                    </a:ln>
                  </pic:spPr>
                </pic:pic>
              </a:graphicData>
            </a:graphic>
          </wp:inline>
        </w:draw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32BD5"/>
    <w:multiLevelType w:val="multilevel"/>
    <w:tmpl w:val="1F332BD5"/>
    <w:lvl w:ilvl="0" w:tentative="0">
      <w:start w:val="4"/>
      <w:numFmt w:val="japaneseCounting"/>
      <w:lvlText w:val="（%1）"/>
      <w:lvlJc w:val="left"/>
      <w:pPr>
        <w:ind w:left="1723" w:hanging="1080"/>
      </w:pPr>
      <w:rPr>
        <w:rFonts w:hint="default" w:ascii="方正仿宋_GBK" w:hAnsi="方正仿宋_GBK" w:eastAsia="方正仿宋_GBK" w:cs="方正仿宋_GBK"/>
        <w:b w:val="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5ZjA4MmFkODMzZWExNmM3NDA4MGM4MjBiMzVjMTgifQ=="/>
    <w:docVar w:name="KSO_WPS_MARK_KEY" w:val="f44e2a88-6119-4bee-b6ab-6e73de5a1457"/>
  </w:docVars>
  <w:rsids>
    <w:rsidRoot w:val="00B03CCD"/>
    <w:rsid w:val="00035EF8"/>
    <w:rsid w:val="00036C3C"/>
    <w:rsid w:val="000604B7"/>
    <w:rsid w:val="0006411B"/>
    <w:rsid w:val="00082FD5"/>
    <w:rsid w:val="000854F8"/>
    <w:rsid w:val="00093112"/>
    <w:rsid w:val="00096072"/>
    <w:rsid w:val="000B2599"/>
    <w:rsid w:val="000B549C"/>
    <w:rsid w:val="000C2D3E"/>
    <w:rsid w:val="000F7D75"/>
    <w:rsid w:val="001240A6"/>
    <w:rsid w:val="00145DF0"/>
    <w:rsid w:val="0015659D"/>
    <w:rsid w:val="001712DA"/>
    <w:rsid w:val="001821F2"/>
    <w:rsid w:val="001B2479"/>
    <w:rsid w:val="001D3BB7"/>
    <w:rsid w:val="00203E36"/>
    <w:rsid w:val="00246C7C"/>
    <w:rsid w:val="00251EF6"/>
    <w:rsid w:val="002522F2"/>
    <w:rsid w:val="0027674E"/>
    <w:rsid w:val="002B254B"/>
    <w:rsid w:val="00324A60"/>
    <w:rsid w:val="003F5ADC"/>
    <w:rsid w:val="00404337"/>
    <w:rsid w:val="00466C9B"/>
    <w:rsid w:val="00477E94"/>
    <w:rsid w:val="004E4C30"/>
    <w:rsid w:val="005443C5"/>
    <w:rsid w:val="00550ABE"/>
    <w:rsid w:val="00567CD4"/>
    <w:rsid w:val="00573B7A"/>
    <w:rsid w:val="005B5FD1"/>
    <w:rsid w:val="005E788C"/>
    <w:rsid w:val="005F276A"/>
    <w:rsid w:val="00631E8F"/>
    <w:rsid w:val="00632E92"/>
    <w:rsid w:val="006B1193"/>
    <w:rsid w:val="006D2342"/>
    <w:rsid w:val="00714B3C"/>
    <w:rsid w:val="00741ED1"/>
    <w:rsid w:val="00770383"/>
    <w:rsid w:val="007819D4"/>
    <w:rsid w:val="0079741F"/>
    <w:rsid w:val="007B419D"/>
    <w:rsid w:val="007B7C4B"/>
    <w:rsid w:val="007D3D39"/>
    <w:rsid w:val="0089460F"/>
    <w:rsid w:val="008A4B91"/>
    <w:rsid w:val="008A6522"/>
    <w:rsid w:val="008B2972"/>
    <w:rsid w:val="00903EF5"/>
    <w:rsid w:val="00950D44"/>
    <w:rsid w:val="00974319"/>
    <w:rsid w:val="009754D6"/>
    <w:rsid w:val="00994AF7"/>
    <w:rsid w:val="00996F21"/>
    <w:rsid w:val="009A266B"/>
    <w:rsid w:val="009B09EF"/>
    <w:rsid w:val="009B67B8"/>
    <w:rsid w:val="009D2B67"/>
    <w:rsid w:val="009D469F"/>
    <w:rsid w:val="009E791B"/>
    <w:rsid w:val="00A02057"/>
    <w:rsid w:val="00A03B40"/>
    <w:rsid w:val="00A17742"/>
    <w:rsid w:val="00A41CD3"/>
    <w:rsid w:val="00A518B7"/>
    <w:rsid w:val="00A566F9"/>
    <w:rsid w:val="00A66549"/>
    <w:rsid w:val="00A818A6"/>
    <w:rsid w:val="00AA7FD9"/>
    <w:rsid w:val="00AB014B"/>
    <w:rsid w:val="00AC5751"/>
    <w:rsid w:val="00AC65AE"/>
    <w:rsid w:val="00AD6199"/>
    <w:rsid w:val="00AF1242"/>
    <w:rsid w:val="00AF2751"/>
    <w:rsid w:val="00B03CCD"/>
    <w:rsid w:val="00B31032"/>
    <w:rsid w:val="00B46CD8"/>
    <w:rsid w:val="00B61F16"/>
    <w:rsid w:val="00B709C8"/>
    <w:rsid w:val="00BA6B1E"/>
    <w:rsid w:val="00BE2B89"/>
    <w:rsid w:val="00BE34A6"/>
    <w:rsid w:val="00BF0E2E"/>
    <w:rsid w:val="00BF3726"/>
    <w:rsid w:val="00C036CE"/>
    <w:rsid w:val="00C073E5"/>
    <w:rsid w:val="00C10E9E"/>
    <w:rsid w:val="00C11D45"/>
    <w:rsid w:val="00C20C3E"/>
    <w:rsid w:val="00C54450"/>
    <w:rsid w:val="00C86B1A"/>
    <w:rsid w:val="00CF41A0"/>
    <w:rsid w:val="00D623D7"/>
    <w:rsid w:val="00D848FA"/>
    <w:rsid w:val="00DB7F33"/>
    <w:rsid w:val="00DE41C7"/>
    <w:rsid w:val="00DF38B3"/>
    <w:rsid w:val="00E255DF"/>
    <w:rsid w:val="00EE7262"/>
    <w:rsid w:val="00F27887"/>
    <w:rsid w:val="00F3044B"/>
    <w:rsid w:val="00F73F90"/>
    <w:rsid w:val="00F91EFB"/>
    <w:rsid w:val="00FD035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9F5C69"/>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404722"/>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9D08E9"/>
    <w:rsid w:val="44C37687"/>
    <w:rsid w:val="45AA3500"/>
    <w:rsid w:val="45CB699A"/>
    <w:rsid w:val="465B470D"/>
    <w:rsid w:val="469D6AD4"/>
    <w:rsid w:val="471E6C84"/>
    <w:rsid w:val="4748792B"/>
    <w:rsid w:val="475D719D"/>
    <w:rsid w:val="47674801"/>
    <w:rsid w:val="48225EF7"/>
    <w:rsid w:val="488F422B"/>
    <w:rsid w:val="48E36915"/>
    <w:rsid w:val="48EB6572"/>
    <w:rsid w:val="495C4A24"/>
    <w:rsid w:val="497135DF"/>
    <w:rsid w:val="497F60A8"/>
    <w:rsid w:val="4A263DF2"/>
    <w:rsid w:val="4A6F6675"/>
    <w:rsid w:val="4B135857"/>
    <w:rsid w:val="4B7951CB"/>
    <w:rsid w:val="4B7C315C"/>
    <w:rsid w:val="4BEA0DC2"/>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B4F6D"/>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D85A99"/>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E1079-8CD8-4F15-92C7-92DDE4C8EE54}">
  <ds:schemaRefs/>
</ds:datastoreItem>
</file>

<file path=docProps/app.xml><?xml version="1.0" encoding="utf-8"?>
<Properties xmlns="http://schemas.openxmlformats.org/officeDocument/2006/extended-properties" xmlns:vt="http://schemas.openxmlformats.org/officeDocument/2006/docPropsVTypes">
  <Template>Normal</Template>
  <Pages>27</Pages>
  <Words>8937</Words>
  <Characters>10887</Characters>
  <Lines>97</Lines>
  <Paragraphs>27</Paragraphs>
  <TotalTime>9</TotalTime>
  <ScaleCrop>false</ScaleCrop>
  <LinksUpToDate>false</LinksUpToDate>
  <CharactersWithSpaces>11912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2024-09-27T07:46:18Z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