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重庆丰都育才中学</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420"/>
        <w:textAlignment w:val="auto"/>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承担辖区内初中学历教育，推进课程改革和教法学法改革，提高学生综合素质，培养学生多样化发展，培养学生良好品德，从事初中义务教育和相关社会服务</w:t>
      </w:r>
      <w:r>
        <w:rPr>
          <w:rFonts w:hint="eastAsia" w:ascii="方正仿宋_GBK" w:hAnsi="方正仿宋_GBK" w:eastAsia="方正仿宋_GBK" w:cs="方正仿宋_GBK"/>
          <w:sz w:val="32"/>
          <w:szCs w:val="32"/>
          <w:shd w:val="clear" w:color="auto" w:fill="FFFFFF"/>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textAlignment w:val="auto"/>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党群办、教务处、教科室、总务处、德育处、安全保卫科、信息技术中心。</w:t>
      </w:r>
    </w:p>
    <w:p>
      <w:pPr>
        <w:pStyle w:val="6"/>
        <w:keepNext w:val="0"/>
        <w:keepLines w:val="0"/>
        <w:pageBreakBefore w:val="0"/>
        <w:widowControl/>
        <w:shd w:val="clear" w:color="auto" w:fill="FFFFFF"/>
        <w:kinsoku/>
        <w:wordWrap/>
        <w:overflowPunct/>
        <w:topLinePunct w:val="0"/>
        <w:autoSpaceDN/>
        <w:bidi w:val="0"/>
        <w:adjustRightInd/>
        <w:snapToGrid/>
        <w:spacing w:line="600" w:lineRule="exact"/>
        <w:textAlignment w:val="auto"/>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spacing w:line="600" w:lineRule="exact"/>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spacing w:line="600" w:lineRule="exact"/>
        <w:ind w:firstLine="643" w:firstLineChars="200"/>
        <w:textAlignment w:val="auto"/>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2023年度收入总计783.01万元，支出总计</w:t>
      </w:r>
      <w:r>
        <w:rPr>
          <w:rFonts w:ascii="方正仿宋_GBK" w:hAnsi="方正仿宋_GBK" w:eastAsia="方正仿宋_GBK" w:cs="方正仿宋_GBK"/>
          <w:sz w:val="32"/>
          <w:szCs w:val="32"/>
        </w:rPr>
        <w:t>783.01</w:t>
      </w:r>
      <w:r>
        <w:rPr>
          <w:rFonts w:ascii="方正仿宋_GBK" w:hAnsi="方正仿宋_GBK" w:eastAsia="方正仿宋_GBK" w:cs="方正仿宋_GBK"/>
          <w:sz w:val="32"/>
          <w:szCs w:val="32"/>
          <w:shd w:val="clear" w:color="auto" w:fill="FFFFFF"/>
        </w:rPr>
        <w:t>万元。收支较上年决算数增加783.01万元，增长100.00%，主要原因是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2023年度收入合计783.01万元，较上年决算数增加783.01万元，增长100.00%，主要原因是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743.67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94.98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7.16</w:t>
      </w:r>
      <w:r>
        <w:rPr>
          <w:rFonts w:ascii="方正仿宋_GBK" w:hAnsi="方正仿宋_GBK" w:eastAsia="方正仿宋_GBK" w:cs="方正仿宋_GBK"/>
          <w:sz w:val="32"/>
          <w:szCs w:val="32"/>
          <w:shd w:val="clear" w:color="auto" w:fill="FFFFFF"/>
        </w:rPr>
        <w:t>万元，占0.91%；经营收入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32.18</w:t>
      </w:r>
      <w:r>
        <w:rPr>
          <w:rFonts w:ascii="方正仿宋_GBK" w:hAnsi="方正仿宋_GBK" w:eastAsia="方正仿宋_GBK" w:cs="方正仿宋_GBK"/>
          <w:sz w:val="32"/>
          <w:szCs w:val="32"/>
          <w:shd w:val="clear" w:color="auto" w:fill="FFFFFF"/>
        </w:rPr>
        <w:t>万元，占4.11%。此外，使用非财政拨款结余和专用结余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767.61</w:t>
      </w:r>
      <w:r>
        <w:rPr>
          <w:rFonts w:ascii="方正仿宋_GBK" w:hAnsi="方正仿宋_GBK" w:eastAsia="方正仿宋_GBK" w:cs="方正仿宋_GBK"/>
          <w:sz w:val="32"/>
          <w:szCs w:val="32"/>
          <w:shd w:val="clear" w:color="auto" w:fill="FFFFFF"/>
        </w:rPr>
        <w:t>万元，较上年决算数增加767.61万元，增长100.00%，主要原因是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767.61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15.40</w:t>
      </w:r>
      <w:r>
        <w:rPr>
          <w:rFonts w:ascii="方正仿宋_GBK" w:hAnsi="方正仿宋_GBK" w:eastAsia="方正仿宋_GBK" w:cs="方正仿宋_GBK"/>
          <w:sz w:val="32"/>
          <w:szCs w:val="32"/>
          <w:shd w:val="clear" w:color="auto" w:fill="FFFFFF"/>
        </w:rPr>
        <w:t>万元，较上年决算数增加15.40万元，增长100.00%，主要原因是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2023年度财政拨款收、支总计743.67万元。与2022年相比，财政拨款收、支总计各增加743.67万元，增长100.00%。主要原因是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743.67</w:t>
      </w:r>
      <w:r>
        <w:rPr>
          <w:rFonts w:ascii="方正仿宋_GBK" w:hAnsi="方正仿宋_GBK" w:eastAsia="方正仿宋_GBK" w:cs="方正仿宋_GBK"/>
          <w:sz w:val="32"/>
          <w:szCs w:val="32"/>
          <w:shd w:val="clear" w:color="auto" w:fill="FFFFFF"/>
        </w:rPr>
        <w:t>万元，较上年决算数增加743.67万元，增长100.00%。主要原因是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较年初预算数增加743.67万元，增长100.00%。主要原因是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743.67</w:t>
      </w:r>
      <w:r>
        <w:rPr>
          <w:rFonts w:ascii="方正仿宋_GBK" w:hAnsi="方正仿宋_GBK" w:eastAsia="方正仿宋_GBK" w:cs="方正仿宋_GBK"/>
          <w:sz w:val="32"/>
          <w:szCs w:val="32"/>
          <w:shd w:val="clear" w:color="auto" w:fill="FFFFFF"/>
        </w:rPr>
        <w:t>万元，较上年决算数增加743.67万元，增长100.00%。主要原因是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较年初预算数增加743.67万元，增长100.00%。主要原因是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Style w:val="10"/>
          <w:rFonts w:ascii="方正仿宋_GBK" w:hAnsi="方正仿宋_GBK" w:eastAsia="方正仿宋_GBK" w:cs="方正仿宋_GBK"/>
          <w:sz w:val="32"/>
          <w:szCs w:val="32"/>
          <w:shd w:val="clear" w:color="auto" w:fill="FFFFFF"/>
        </w:rPr>
        <w:t xml:space="preserve"> </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728.45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97.95</w:t>
      </w:r>
      <w:r>
        <w:rPr>
          <w:rFonts w:ascii="方正仿宋_GBK" w:hAnsi="方正仿宋_GBK" w:eastAsia="方正仿宋_GBK" w:cs="方正仿宋_GBK"/>
          <w:sz w:val="32"/>
          <w:szCs w:val="32"/>
          <w:shd w:val="clear" w:color="auto" w:fill="FFFFFF"/>
        </w:rPr>
        <w:t>%，较年初预算数增加728.45万元，增长100.00%，主要原因是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1.07</w:t>
      </w:r>
      <w:r>
        <w:rPr>
          <w:rFonts w:ascii="方正仿宋_GBK" w:hAnsi="方正仿宋_GBK" w:eastAsia="方正仿宋_GBK" w:cs="方正仿宋_GBK"/>
          <w:sz w:val="32"/>
          <w:szCs w:val="32"/>
          <w:shd w:val="clear" w:color="auto" w:fill="FFFFFF"/>
        </w:rPr>
        <w:t>%，较年初预算数增加7.95万元，增长100.00%，主要原因是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%，较年初预算数增加3.41万元，增长100.00%，主要原因是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0.52</w:t>
      </w:r>
      <w:r>
        <w:rPr>
          <w:rFonts w:ascii="方正仿宋_GBK" w:hAnsi="方正仿宋_GBK" w:eastAsia="方正仿宋_GBK" w:cs="方正仿宋_GBK"/>
          <w:sz w:val="32"/>
          <w:szCs w:val="32"/>
          <w:shd w:val="clear" w:color="auto" w:fill="FFFFFF"/>
        </w:rPr>
        <w:t>%，较年初预算数增加3.85万元，增长100.00%，主要原因是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743.67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136.41</w:t>
      </w:r>
      <w:r>
        <w:rPr>
          <w:rFonts w:ascii="方正仿宋_GBK" w:hAnsi="方正仿宋_GBK" w:eastAsia="方正仿宋_GBK" w:cs="方正仿宋_GBK"/>
          <w:sz w:val="32"/>
          <w:szCs w:val="32"/>
          <w:shd w:val="clear" w:color="auto" w:fill="FFFFFF"/>
        </w:rPr>
        <w:t>万元，较上年决算数增加136.41万元，增长100.00%，主要原因是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基本工资、津贴补贴、奖金、绩效工资、社会保障缴费、其他</w:t>
      </w:r>
      <w:r>
        <w:rPr>
          <w:rFonts w:hint="eastAsia" w:ascii="方正仿宋_GBK" w:hAnsi="方正仿宋_GBK" w:eastAsia="方正仿宋_GBK" w:cs="方正仿宋_GBK"/>
          <w:sz w:val="32"/>
          <w:szCs w:val="32"/>
          <w:shd w:val="clear" w:color="auto" w:fill="FFFFFF"/>
          <w:lang w:val="en-US" w:eastAsia="zh-CN"/>
        </w:rPr>
        <w:t>工资福利</w:t>
      </w:r>
      <w:r>
        <w:rPr>
          <w:rFonts w:hint="eastAsia" w:ascii="方正仿宋_GBK" w:hAnsi="方正仿宋_GBK" w:eastAsia="方正仿宋_GBK" w:cs="方正仿宋_GBK"/>
          <w:sz w:val="32"/>
          <w:szCs w:val="32"/>
          <w:shd w:val="clear" w:color="auto" w:fill="FFFFFF"/>
        </w:rPr>
        <w:t>支出等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607.26</w:t>
      </w:r>
      <w:r>
        <w:rPr>
          <w:rFonts w:ascii="方正仿宋_GBK" w:hAnsi="方正仿宋_GBK" w:eastAsia="方正仿宋_GBK" w:cs="方正仿宋_GBK"/>
          <w:sz w:val="32"/>
          <w:szCs w:val="32"/>
          <w:shd w:val="clear" w:color="auto" w:fill="FFFFFF"/>
        </w:rPr>
        <w:t>万元，较上年决算数增加607.26万元，增长100.00%，主要原因是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办公费、印刷费、培训费、劳务费、工会经费、维修费、水费、电费、邮电费等</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left="638" w:leftChars="266" w:firstLine="0" w:firstLineChars="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ascii="方正仿宋_GBK" w:hAnsi="方正仿宋_GBK" w:eastAsia="方正仿宋_GBK" w:cs="方正仿宋_GBK"/>
          <w:sz w:val="32"/>
          <w:szCs w:val="32"/>
          <w:shd w:val="clear" w:color="auto" w:fill="FFFFFF"/>
        </w:rPr>
        <w:t> 2023年度</w:t>
      </w:r>
      <w:r>
        <w:rPr>
          <w:rFonts w:hint="eastAsia" w:ascii="方正仿宋_GBK" w:hAnsi="方正仿宋_GBK" w:eastAsia="方正仿宋_GBK" w:cs="方正仿宋_GBK"/>
          <w:sz w:val="32"/>
          <w:szCs w:val="32"/>
          <w:shd w:val="clear" w:color="auto" w:fill="FFFFFF"/>
          <w:lang w:val="en-US" w:eastAsia="zh-CN"/>
        </w:rPr>
        <w:t>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rPr>
        <w:t>本年度无“三公”经费支出,与年初预算数持平。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本单位2023年新成立、</w:t>
      </w:r>
      <w:r>
        <w:rPr>
          <w:rFonts w:hint="eastAsia" w:ascii="方正仿宋_GBK" w:hAnsi="方正仿宋_GBK" w:eastAsia="方正仿宋_GBK" w:cs="方正仿宋_GBK"/>
          <w:sz w:val="32"/>
          <w:szCs w:val="32"/>
          <w:shd w:val="clear" w:color="auto" w:fill="FFFFFF"/>
        </w:rPr>
        <w:t>本年度无“三公”经费支出</w:t>
      </w:r>
      <w:r>
        <w:rPr>
          <w:rFonts w:hint="eastAsia" w:ascii="方正仿宋_GBK" w:hAnsi="方正仿宋_GBK" w:eastAsia="方正仿宋_GBK" w:cs="方正仿宋_GBK"/>
          <w:sz w:val="32"/>
          <w:szCs w:val="32"/>
          <w:shd w:val="clear" w:color="auto" w:fill="FFFFFF"/>
          <w:lang w:val="en-US"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年度没有发生因公出国(境)费用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年度没有发生因公出国(境)费用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与年初预算数持平</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3新成立、本</w:t>
      </w:r>
      <w:r>
        <w:rPr>
          <w:rFonts w:hint="eastAsia" w:ascii="方正仿宋_GBK" w:hAnsi="方正仿宋_GBK" w:eastAsia="方正仿宋_GBK" w:cs="方正仿宋_GBK"/>
          <w:sz w:val="32"/>
          <w:szCs w:val="32"/>
          <w:shd w:val="clear" w:color="auto" w:fill="FFFFFF"/>
        </w:rPr>
        <w:t>年度没有发生因公出国(境)费用</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年度没有购置车辆</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年度没有购置车辆,与年初预算数持平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3新成立、本</w:t>
      </w:r>
      <w:r>
        <w:rPr>
          <w:rFonts w:hint="eastAsia" w:ascii="方正仿宋_GBK" w:hAnsi="方正仿宋_GBK" w:eastAsia="方正仿宋_GBK" w:cs="方正仿宋_GBK"/>
          <w:sz w:val="32"/>
          <w:szCs w:val="32"/>
          <w:shd w:val="clear" w:color="auto" w:fill="FFFFFF"/>
        </w:rPr>
        <w:t>年度没有</w:t>
      </w:r>
      <w:r>
        <w:rPr>
          <w:rFonts w:hint="eastAsia" w:ascii="方正仿宋_GBK" w:hAnsi="方正仿宋_GBK" w:eastAsia="方正仿宋_GBK" w:cs="方正仿宋_GBK"/>
          <w:sz w:val="32"/>
          <w:szCs w:val="32"/>
          <w:shd w:val="clear" w:color="auto" w:fill="FFFFFF"/>
          <w:lang w:val="en-US" w:eastAsia="zh-CN"/>
        </w:rPr>
        <w:t>购置车辆</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rPr>
        <w:t>本单位没有公务车辆</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rPr>
        <w:t>本单位没有公务车辆,与年初预算数持平。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3新成立、本单位没有公务车辆。</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年度没有发生公务接待费用。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年度没有发生公务接待费用,与年初预算数持平。</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3新成立、本年度没有发生公务接待费用。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11"/>
        <w:autoSpaceDE w:val="0"/>
        <w:ind w:firstLine="643"/>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本单位2023年新成立、本年度未发生会议费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2.58</w:t>
      </w:r>
      <w:r>
        <w:rPr>
          <w:rFonts w:ascii="方正仿宋_GBK" w:hAnsi="方正仿宋_GBK" w:eastAsia="方正仿宋_GBK" w:cs="方正仿宋_GBK"/>
          <w:sz w:val="32"/>
          <w:szCs w:val="32"/>
          <w:shd w:val="clear" w:color="auto" w:fill="FFFFFF"/>
        </w:rPr>
        <w:t>万元，较上年决算数增加2.58万元，增长100.00%，主要原因是</w:t>
      </w:r>
      <w:r>
        <w:rPr>
          <w:rFonts w:hint="eastAsia" w:ascii="方正仿宋_GBK" w:hAnsi="方正仿宋_GBK" w:eastAsia="方正仿宋_GBK" w:cs="方正仿宋_GBK"/>
          <w:sz w:val="32"/>
          <w:szCs w:val="32"/>
          <w:shd w:val="clear" w:color="auto" w:fill="FFFFFF"/>
          <w:lang w:val="en-US" w:eastAsia="zh-CN"/>
        </w:rPr>
        <w:t>本单位2023年新成立</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按照部门决算列报口径,我单位不在机关运行经费统计范围</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790.50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pPr>
        <w:pStyle w:val="14"/>
        <w:autoSpaceDE w:val="0"/>
        <w:ind w:left="0" w:leftChars="0" w:firstLine="0" w:firstLineChars="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numPr>
          <w:ilvl w:val="0"/>
          <w:numId w:val="3"/>
        </w:numPr>
        <w:snapToGrid w:val="0"/>
        <w:spacing w:before="0" w:beforeAutospacing="0" w:after="0" w:afterAutospacing="0" w:line="600" w:lineRule="exact"/>
        <w:ind w:left="638" w:leftChars="266" w:firstLine="0" w:firstLineChars="0"/>
        <w:jc w:val="both"/>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商品和服务支出（支出经济分类科目类级）</w:t>
      </w:r>
    </w:p>
    <w:p>
      <w:pPr>
        <w:pStyle w:val="6"/>
        <w:numPr>
          <w:numId w:val="0"/>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left="638" w:leftChars="266" w:firstLine="0" w:firstLineChars="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640" w:firstLineChars="20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023-70661117</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重庆丰都育才中学</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743.67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752.40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783.01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767.61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15.40</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783.01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783.01</w:t>
            </w:r>
            <w:r>
              <w:rPr>
                <w:color w:val="000000"/>
                <w:sz w:val="20"/>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eastAsia" w:eastAsia="宋体" w:cs="宋体"/>
          <w:sz w:val="20"/>
          <w:szCs w:val="20"/>
          <w:lang w:eastAsia="zh-CN"/>
        </w:rPr>
      </w:pP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重庆丰都育才中学</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783.01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743.67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7.16</w:t>
            </w: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7.16</w:t>
            </w: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32.18</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767.80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767.80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728.45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7.16</w:t>
            </w:r>
            <w:r>
              <w:rPr>
                <w:b/>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32.18</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767.80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728.45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7.16</w:t>
            </w: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7.16</w:t>
            </w: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32.18</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ind w:left="600" w:hanging="600" w:hangingChars="300"/>
        <w:rPr>
          <w:rFonts w:hint="eastAsia" w:eastAsia="宋体" w:cs="宋体"/>
          <w:sz w:val="20"/>
          <w:szCs w:val="20"/>
          <w:lang w:eastAsia="zh-CN"/>
        </w:rPr>
      </w:pPr>
    </w:p>
    <w:p>
      <w:pPr>
        <w:ind w:left="600" w:hanging="600" w:hangingChars="300"/>
        <w:rPr>
          <w:rFonts w:hint="eastAsia" w:eastAsia="宋体" w:cs="宋体"/>
          <w:sz w:val="20"/>
          <w:szCs w:val="20"/>
          <w:lang w:eastAsia="zh-CN"/>
        </w:rPr>
      </w:pP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重庆丰都育才中学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767.61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767.61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重庆丰都育才中学</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728.45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728.45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743.67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743.67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default" w:cs="宋体"/>
          <w:sz w:val="20"/>
          <w:szCs w:val="20"/>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重庆丰都育才中学</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743.67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743.67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728.45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728.45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重庆丰都育才中学</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136.41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607.26</w:t>
            </w:r>
            <w:r>
              <w:rPr>
                <w:color w:val="000000"/>
                <w:sz w:val="18"/>
                <w:u w:color="auto"/>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80" w:lineRule="exact"/>
        <w:rPr>
          <w:rFonts w:hint="eastAsia" w:eastAsia="宋体" w:cs="宋体"/>
          <w:sz w:val="20"/>
          <w:szCs w:val="20"/>
          <w:lang w:eastAsia="zh-CN"/>
        </w:rPr>
      </w:pPr>
    </w:p>
    <w:p>
      <w:pPr>
        <w:spacing w:line="280" w:lineRule="exact"/>
        <w:rPr>
          <w:rFonts w:hint="default" w:cs="宋体"/>
          <w:sz w:val="20"/>
          <w:szCs w:val="20"/>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重庆丰都育才中学</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重庆丰都育才中学</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rPr>
          <w:rFonts w:hint="eastAsia" w:eastAsia="宋体" w:cs="宋体"/>
          <w:sz w:val="20"/>
          <w:szCs w:val="20"/>
          <w:lang w:eastAsia="zh-CN"/>
        </w:rPr>
      </w:pPr>
    </w:p>
    <w:p>
      <w:pPr>
        <w:rPr>
          <w:rFonts w:hint="default" w:cs="宋体"/>
          <w:sz w:val="21"/>
          <w:szCs w:val="21"/>
        </w:rPr>
      </w:pP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重庆丰都育才中学</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numPr>
          <w:ilvl w:val="0"/>
          <w:numId w:val="4"/>
        </w:numPr>
        <w:ind w:left="600" w:leftChars="0" w:firstLine="0" w:firstLineChars="0"/>
        <w:rPr>
          <w:rFonts w:cs="宋体"/>
          <w:sz w:val="20"/>
          <w:szCs w:val="20"/>
        </w:rPr>
      </w:pPr>
      <w:r>
        <w:rPr>
          <w:rFonts w:cs="宋体"/>
          <w:sz w:val="20"/>
          <w:szCs w:val="20"/>
        </w:rPr>
        <w:t>本套报表金额单位转换时可能存在尾数误差。</w:t>
      </w:r>
    </w:p>
    <w:p>
      <w:pPr>
        <w:numPr>
          <w:ilvl w:val="0"/>
          <w:numId w:val="0"/>
        </w:numPr>
        <w:ind w:left="600" w:leftChars="0"/>
        <w:rPr>
          <w:rFonts w:hint="eastAsia" w:cs="宋体"/>
          <w:sz w:val="20"/>
          <w:szCs w:val="20"/>
          <w:lang w:eastAsia="zh-CN"/>
        </w:rPr>
      </w:pPr>
    </w:p>
    <w:p>
      <w:pPr>
        <w:numPr>
          <w:ilvl w:val="0"/>
          <w:numId w:val="0"/>
        </w:numPr>
        <w:ind w:left="600" w:leftChars="0"/>
        <w:rPr>
          <w:rFonts w:hint="eastAsia" w:cs="宋体"/>
          <w:sz w:val="20"/>
          <w:szCs w:val="20"/>
          <w:lang w:eastAsia="zh-CN"/>
        </w:rPr>
      </w:pPr>
    </w:p>
    <w:p>
      <w:pPr>
        <w:numPr>
          <w:ilvl w:val="0"/>
          <w:numId w:val="0"/>
        </w:numPr>
        <w:ind w:left="600" w:leftChars="0"/>
        <w:rPr>
          <w:rFonts w:hint="eastAsia" w:cs="宋体"/>
          <w:sz w:val="20"/>
          <w:szCs w:val="20"/>
          <w:lang w:eastAsia="zh-CN"/>
        </w:rPr>
      </w:pPr>
    </w:p>
    <w:p>
      <w:pPr>
        <w:numPr>
          <w:ilvl w:val="0"/>
          <w:numId w:val="0"/>
        </w:numPr>
      </w:pPr>
      <w:r>
        <w:drawing>
          <wp:inline distT="0" distB="0" distL="114300" distR="114300">
            <wp:extent cx="9737725" cy="4970145"/>
            <wp:effectExtent l="0" t="0" r="1587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737725" cy="4970145"/>
                    </a:xfrm>
                    <a:prstGeom prst="rect">
                      <a:avLst/>
                    </a:prstGeom>
                    <a:noFill/>
                    <a:ln>
                      <a:noFill/>
                    </a:ln>
                  </pic:spPr>
                </pic:pic>
              </a:graphicData>
            </a:graphic>
          </wp:inline>
        </w:drawing>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r>
        <w:drawing>
          <wp:inline distT="0" distB="0" distL="114300" distR="114300">
            <wp:extent cx="9737725" cy="4739005"/>
            <wp:effectExtent l="0" t="0" r="158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737725" cy="4739005"/>
                    </a:xfrm>
                    <a:prstGeom prst="rect">
                      <a:avLst/>
                    </a:prstGeom>
                    <a:noFill/>
                    <a:ln>
                      <a:noFill/>
                    </a:ln>
                  </pic:spPr>
                </pic:pic>
              </a:graphicData>
            </a:graphic>
          </wp:inline>
        </w:drawing>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r>
        <w:drawing>
          <wp:inline distT="0" distB="0" distL="114300" distR="114300">
            <wp:extent cx="9737725" cy="4739005"/>
            <wp:effectExtent l="0" t="0" r="1587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737725" cy="4739005"/>
                    </a:xfrm>
                    <a:prstGeom prst="rect">
                      <a:avLst/>
                    </a:prstGeom>
                    <a:noFill/>
                    <a:ln>
                      <a:noFill/>
                    </a:ln>
                  </pic:spPr>
                </pic:pic>
              </a:graphicData>
            </a:graphic>
          </wp:inline>
        </w:drawing>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r>
        <w:drawing>
          <wp:inline distT="0" distB="0" distL="114300" distR="114300">
            <wp:extent cx="9737725" cy="4739005"/>
            <wp:effectExtent l="0" t="0" r="15875"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737725" cy="4739005"/>
                    </a:xfrm>
                    <a:prstGeom prst="rect">
                      <a:avLst/>
                    </a:prstGeom>
                    <a:noFill/>
                    <a:ln>
                      <a:noFill/>
                    </a:ln>
                  </pic:spPr>
                </pic:pic>
              </a:graphicData>
            </a:graphic>
          </wp:inline>
        </w:drawing>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rPr>
          <w:rFonts w:hint="eastAsia"/>
          <w:lang w:eastAsia="zh-CN"/>
        </w:rPr>
      </w:pPr>
    </w:p>
    <w:p>
      <w:pPr>
        <w:rPr>
          <w:rFonts w:hint="eastAsia" w:eastAsia="宋体" w:cs="宋体"/>
          <w:sz w:val="20"/>
          <w:szCs w:val="20"/>
          <w:lang w:eastAsia="zh-CN"/>
        </w:rPr>
      </w:pPr>
      <w:r>
        <w:drawing>
          <wp:inline distT="0" distB="0" distL="114300" distR="114300">
            <wp:extent cx="9737725" cy="5201920"/>
            <wp:effectExtent l="0" t="0" r="1587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737725" cy="5201920"/>
                    </a:xfrm>
                    <a:prstGeom prst="rect">
                      <a:avLst/>
                    </a:prstGeom>
                    <a:noFill/>
                    <a:ln>
                      <a:noFill/>
                    </a:ln>
                  </pic:spPr>
                </pic:pic>
              </a:graphicData>
            </a:graphic>
          </wp:inline>
        </w:drawing>
      </w:r>
    </w:p>
    <w:p>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F34B8"/>
    <w:multiLevelType w:val="singleLevel"/>
    <w:tmpl w:val="B75F34B8"/>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165B9EF4"/>
    <w:multiLevelType w:val="singleLevel"/>
    <w:tmpl w:val="165B9EF4"/>
    <w:lvl w:ilvl="0" w:tentative="0">
      <w:start w:val="2"/>
      <w:numFmt w:val="decimal"/>
      <w:lvlText w:val="%1."/>
      <w:lvlJc w:val="left"/>
      <w:pPr>
        <w:tabs>
          <w:tab w:val="left" w:pos="312"/>
        </w:tabs>
        <w:ind w:left="600" w:leftChars="0" w:firstLine="0" w:firstLineChars="0"/>
      </w:pPr>
    </w:lvl>
  </w:abstractNum>
  <w:abstractNum w:abstractNumId="3">
    <w:nsid w:val="6B5B63C5"/>
    <w:multiLevelType w:val="singleLevel"/>
    <w:tmpl w:val="6B5B63C5"/>
    <w:lvl w:ilvl="0" w:tentative="0">
      <w:start w:val="1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5ZjA4MmFkODMzZWExNmM3NDA4MGM4MjBiMzVjMTgifQ=="/>
    <w:docVar w:name="KSO_WPS_MARK_KEY" w:val="d9a5937e-2aa4-473c-a59a-e8bb3a6c3b84"/>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C917CC"/>
    <w:rsid w:val="06F80EE2"/>
    <w:rsid w:val="07001CCA"/>
    <w:rsid w:val="075678DB"/>
    <w:rsid w:val="079D7CC7"/>
    <w:rsid w:val="08051BCA"/>
    <w:rsid w:val="086C12F4"/>
    <w:rsid w:val="08705944"/>
    <w:rsid w:val="08B45E55"/>
    <w:rsid w:val="08BA052C"/>
    <w:rsid w:val="08DB07BA"/>
    <w:rsid w:val="0969353F"/>
    <w:rsid w:val="098305D0"/>
    <w:rsid w:val="0A3317EA"/>
    <w:rsid w:val="0A5C4B69"/>
    <w:rsid w:val="0A6557F1"/>
    <w:rsid w:val="0A86124A"/>
    <w:rsid w:val="0AB54CC0"/>
    <w:rsid w:val="0B9335CE"/>
    <w:rsid w:val="0BF2311A"/>
    <w:rsid w:val="0C7927C4"/>
    <w:rsid w:val="0C9B098C"/>
    <w:rsid w:val="0D673E11"/>
    <w:rsid w:val="0DDA54E4"/>
    <w:rsid w:val="0E3A5F83"/>
    <w:rsid w:val="0F100324"/>
    <w:rsid w:val="0F836721"/>
    <w:rsid w:val="0FA25D96"/>
    <w:rsid w:val="107B59E5"/>
    <w:rsid w:val="10EC0126"/>
    <w:rsid w:val="10F70B9A"/>
    <w:rsid w:val="111445C7"/>
    <w:rsid w:val="114278C6"/>
    <w:rsid w:val="1158083A"/>
    <w:rsid w:val="11643A4B"/>
    <w:rsid w:val="11ED0F98"/>
    <w:rsid w:val="11F03528"/>
    <w:rsid w:val="12C921C4"/>
    <w:rsid w:val="12E269DD"/>
    <w:rsid w:val="13871C70"/>
    <w:rsid w:val="13A71CB4"/>
    <w:rsid w:val="13AF1D43"/>
    <w:rsid w:val="13CE1647"/>
    <w:rsid w:val="13FD55AB"/>
    <w:rsid w:val="14200702"/>
    <w:rsid w:val="14C0024A"/>
    <w:rsid w:val="163A6CEE"/>
    <w:rsid w:val="171E6442"/>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0C3EE8"/>
    <w:rsid w:val="22403BD3"/>
    <w:rsid w:val="243B53E7"/>
    <w:rsid w:val="24B92327"/>
    <w:rsid w:val="24C14514"/>
    <w:rsid w:val="2533755C"/>
    <w:rsid w:val="25791755"/>
    <w:rsid w:val="25DE2CAA"/>
    <w:rsid w:val="26396DF4"/>
    <w:rsid w:val="27167136"/>
    <w:rsid w:val="271B442C"/>
    <w:rsid w:val="27396D01"/>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65405"/>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407526"/>
    <w:rsid w:val="3B6F6EE0"/>
    <w:rsid w:val="3C566AD6"/>
    <w:rsid w:val="3C594871"/>
    <w:rsid w:val="3C6A5B02"/>
    <w:rsid w:val="3D2757A1"/>
    <w:rsid w:val="3D3D4FC4"/>
    <w:rsid w:val="3DDF3AB1"/>
    <w:rsid w:val="3E1D0952"/>
    <w:rsid w:val="3E3C34CE"/>
    <w:rsid w:val="3E42660A"/>
    <w:rsid w:val="3E4750A2"/>
    <w:rsid w:val="3E7555B1"/>
    <w:rsid w:val="3E787ED9"/>
    <w:rsid w:val="3F032E93"/>
    <w:rsid w:val="3F0527E5"/>
    <w:rsid w:val="3F694D83"/>
    <w:rsid w:val="3F885DCC"/>
    <w:rsid w:val="3FCD675E"/>
    <w:rsid w:val="3FF257A8"/>
    <w:rsid w:val="4004000C"/>
    <w:rsid w:val="40BD5482"/>
    <w:rsid w:val="411B6CE5"/>
    <w:rsid w:val="412070D7"/>
    <w:rsid w:val="41314E40"/>
    <w:rsid w:val="41E0734B"/>
    <w:rsid w:val="426C1EA8"/>
    <w:rsid w:val="42736402"/>
    <w:rsid w:val="42E86A87"/>
    <w:rsid w:val="43307B09"/>
    <w:rsid w:val="434D2AFA"/>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D90BE8"/>
    <w:rsid w:val="4B135857"/>
    <w:rsid w:val="4B7951CB"/>
    <w:rsid w:val="4B7C315C"/>
    <w:rsid w:val="4D9C5149"/>
    <w:rsid w:val="4DAC4ACA"/>
    <w:rsid w:val="4DBE01D2"/>
    <w:rsid w:val="4E5D3ACD"/>
    <w:rsid w:val="4F0C6BA3"/>
    <w:rsid w:val="4F186D58"/>
    <w:rsid w:val="4FAC0994"/>
    <w:rsid w:val="50C11611"/>
    <w:rsid w:val="50F06B6E"/>
    <w:rsid w:val="50F1639A"/>
    <w:rsid w:val="51D21804"/>
    <w:rsid w:val="52234D33"/>
    <w:rsid w:val="522F6E0C"/>
    <w:rsid w:val="52463BA1"/>
    <w:rsid w:val="524F51F4"/>
    <w:rsid w:val="52F163D4"/>
    <w:rsid w:val="531A2DB4"/>
    <w:rsid w:val="53C0244D"/>
    <w:rsid w:val="53DD4D4E"/>
    <w:rsid w:val="53E578CE"/>
    <w:rsid w:val="541330F0"/>
    <w:rsid w:val="54272666"/>
    <w:rsid w:val="543B029D"/>
    <w:rsid w:val="54567735"/>
    <w:rsid w:val="54861779"/>
    <w:rsid w:val="54A976B6"/>
    <w:rsid w:val="552256E1"/>
    <w:rsid w:val="554E5773"/>
    <w:rsid w:val="555829E0"/>
    <w:rsid w:val="555A3CBC"/>
    <w:rsid w:val="5582012B"/>
    <w:rsid w:val="558E4E05"/>
    <w:rsid w:val="55BE2E85"/>
    <w:rsid w:val="55E25945"/>
    <w:rsid w:val="56530F5D"/>
    <w:rsid w:val="567700D3"/>
    <w:rsid w:val="56FF7E9E"/>
    <w:rsid w:val="57020328"/>
    <w:rsid w:val="578867FC"/>
    <w:rsid w:val="5842572D"/>
    <w:rsid w:val="5A3B59D6"/>
    <w:rsid w:val="5AD134D8"/>
    <w:rsid w:val="5C263CE4"/>
    <w:rsid w:val="5C5D2777"/>
    <w:rsid w:val="5CF66BF3"/>
    <w:rsid w:val="5D290C69"/>
    <w:rsid w:val="5D4F11C2"/>
    <w:rsid w:val="5F2D4A41"/>
    <w:rsid w:val="60C74F6C"/>
    <w:rsid w:val="60DF3356"/>
    <w:rsid w:val="61025A59"/>
    <w:rsid w:val="613D5BBC"/>
    <w:rsid w:val="61536C39"/>
    <w:rsid w:val="62944DD7"/>
    <w:rsid w:val="6319381F"/>
    <w:rsid w:val="63C25DC5"/>
    <w:rsid w:val="63C62057"/>
    <w:rsid w:val="64350D82"/>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B716E2"/>
    <w:rsid w:val="6B3B4041"/>
    <w:rsid w:val="6B474EF5"/>
    <w:rsid w:val="6C0A5AC5"/>
    <w:rsid w:val="6C560CAE"/>
    <w:rsid w:val="6C576495"/>
    <w:rsid w:val="6D903FF5"/>
    <w:rsid w:val="6DA955B8"/>
    <w:rsid w:val="6DE346AB"/>
    <w:rsid w:val="6DE5391A"/>
    <w:rsid w:val="6EFD1324"/>
    <w:rsid w:val="6F5A53AC"/>
    <w:rsid w:val="6FAC003D"/>
    <w:rsid w:val="6FD03C85"/>
    <w:rsid w:val="6FE55E12"/>
    <w:rsid w:val="6FFB2E76"/>
    <w:rsid w:val="708F6F7F"/>
    <w:rsid w:val="70D94BD3"/>
    <w:rsid w:val="71C34D91"/>
    <w:rsid w:val="71E12FC6"/>
    <w:rsid w:val="72DB435C"/>
    <w:rsid w:val="72E2613A"/>
    <w:rsid w:val="72F771F4"/>
    <w:rsid w:val="73934AD2"/>
    <w:rsid w:val="750837F0"/>
    <w:rsid w:val="754758CF"/>
    <w:rsid w:val="764F62AB"/>
    <w:rsid w:val="765C45EC"/>
    <w:rsid w:val="768A7619"/>
    <w:rsid w:val="772E1EBA"/>
    <w:rsid w:val="781926BC"/>
    <w:rsid w:val="78F2687F"/>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7603</Words>
  <Characters>9210</Characters>
  <Lines>190</Lines>
  <Paragraphs>53</Paragraphs>
  <TotalTime>12</TotalTime>
  <ScaleCrop>false</ScaleCrop>
  <LinksUpToDate>false</LinksUpToDate>
  <CharactersWithSpaces>10205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2024-09-27T08:17:49Z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