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47" w:rsidRDefault="00E7384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重庆市丰都县兴龙镇初级中学校</w:t>
      </w:r>
    </w:p>
    <w:p w:rsidR="00317C47" w:rsidRDefault="00E7384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年度部门决算情况说明</w:t>
      </w:r>
    </w:p>
    <w:p w:rsidR="00317C47" w:rsidRDefault="00317C47">
      <w:pPr>
        <w:ind w:firstLineChars="200" w:firstLine="720"/>
        <w:rPr>
          <w:rStyle w:val="a4"/>
          <w:rFonts w:ascii="Times New Roman" w:eastAsia="方正仿宋_GBK" w:hAnsi="Times New Roman" w:cs="Times New Roman"/>
          <w:sz w:val="36"/>
          <w:szCs w:val="36"/>
        </w:rPr>
      </w:pPr>
    </w:p>
    <w:p w:rsidR="00317C47" w:rsidRDefault="00E7384D">
      <w:pPr>
        <w:ind w:firstLineChars="200" w:firstLine="720"/>
        <w:rPr>
          <w:rFonts w:ascii="Times New Roman" w:eastAsia="方正仿宋_GBK" w:hAnsi="Times New Roman" w:cs="Times New Roman"/>
          <w:sz w:val="36"/>
          <w:szCs w:val="36"/>
        </w:rPr>
      </w:pPr>
      <w:r>
        <w:rPr>
          <w:rStyle w:val="a4"/>
          <w:rFonts w:ascii="Times New Roman" w:eastAsia="方正仿宋_GBK" w:hAnsi="Times New Roman" w:cs="Times New Roman"/>
          <w:sz w:val="36"/>
          <w:szCs w:val="36"/>
        </w:rPr>
        <w:t>一、部门基本情况</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（一）职能职责。</w:t>
      </w:r>
    </w:p>
    <w:p w:rsidR="00317C47" w:rsidRDefault="00E7384D">
      <w:pPr>
        <w:ind w:firstLineChars="200" w:firstLine="640"/>
        <w:rPr>
          <w:rStyle w:val="a4"/>
          <w:rFonts w:ascii="Times New Roman" w:eastAsia="方正仿宋_GBK" w:hAnsi="Times New Roman" w:cs="Times New Roman"/>
          <w:sz w:val="32"/>
          <w:szCs w:val="32"/>
        </w:rPr>
      </w:pPr>
      <w:r>
        <w:rPr>
          <w:rFonts w:ascii="Times New Roman" w:eastAsia="方正仿宋_GBK" w:hAnsi="Times New Roman" w:cs="Times New Roman"/>
          <w:color w:val="FF0000"/>
          <w:sz w:val="32"/>
          <w:szCs w:val="32"/>
        </w:rPr>
        <w:t> </w:t>
      </w:r>
      <w:r>
        <w:rPr>
          <w:rFonts w:ascii="Times New Roman" w:eastAsia="方正仿宋_GBK" w:hAnsi="Times New Roman" w:cs="Times New Roman"/>
          <w:sz w:val="32"/>
          <w:szCs w:val="32"/>
        </w:rPr>
        <w:t>实施初中义务教育，促进基础教育发展。承担辖区内初中学历教育；推进课程改革和教法学法改革；提高学生综合素质；培养学生多样化发展；培养学生良好品德；从事初中义务教育的相关社会服务</w:t>
      </w:r>
      <w:r>
        <w:rPr>
          <w:rStyle w:val="a4"/>
          <w:rFonts w:ascii="Times New Roman" w:eastAsia="方正仿宋_GBK" w:hAnsi="Times New Roman" w:cs="Times New Roman"/>
          <w:sz w:val="32"/>
          <w:szCs w:val="32"/>
        </w:rPr>
        <w:t xml:space="preserve">  </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（二）机构设置。</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FF0000"/>
          <w:sz w:val="32"/>
          <w:szCs w:val="32"/>
        </w:rPr>
        <w:t> </w:t>
      </w:r>
      <w:r>
        <w:rPr>
          <w:rFonts w:ascii="Times New Roman" w:eastAsia="方正仿宋_GBK" w:hAnsi="Times New Roman" w:cs="Times New Roman"/>
          <w:sz w:val="32"/>
          <w:szCs w:val="32"/>
        </w:rPr>
        <w:t>学校设有办公室、德育处、教务处、后勤处</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（三）单位构成。</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从预算单位构成看，无纳入本单位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年度决算编制的下级预算单位。</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二、部门决算情况说明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（一）收入支出决算总体情况说明。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总体情况。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万元。收支较上年决算数减少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w:t>
      </w:r>
    </w:p>
    <w:p w:rsidR="00317C47" w:rsidRDefault="00E7384D">
      <w:pPr>
        <w:ind w:firstLineChars="200" w:firstLine="640"/>
        <w:rPr>
          <w:rFonts w:ascii="Times New Roman" w:eastAsia="方正仿宋_GBK" w:hAnsi="Times New Roman" w:cs="Times New Roman"/>
          <w:color w:val="FF0000"/>
          <w:sz w:val="32"/>
          <w:szCs w:val="32"/>
          <w:shd w:val="clear" w:color="auto" w:fill="FFFF00"/>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万元，较上年决</w:t>
      </w:r>
      <w:r>
        <w:rPr>
          <w:rFonts w:ascii="Times New Roman" w:eastAsia="方正仿宋_GBK" w:hAnsi="Times New Roman" w:cs="Times New Roman"/>
          <w:sz w:val="32"/>
          <w:szCs w:val="32"/>
        </w:rPr>
        <w:lastRenderedPageBreak/>
        <w:t>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年部分超额绩效，以及学生减少导致公用经费、学生资助、营养改善资金减少。其中：财政拨款收入</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。此外，使用非财政拨款结余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万元，年初结转和结余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640"/>
        <w:rPr>
          <w:rFonts w:ascii="Times New Roman" w:eastAsia="方正仿宋_GBK" w:hAnsi="Times New Roman" w:cs="Times New Roman"/>
          <w:color w:val="FF0000"/>
          <w:sz w:val="32"/>
          <w:szCs w:val="32"/>
          <w:shd w:val="clear" w:color="auto" w:fill="FFFF00"/>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年部分超额绩效，以及学生减少导致公用经费、学生资助、营养改善资金减少。其中：基本支出</w:t>
      </w:r>
      <w:r>
        <w:rPr>
          <w:rFonts w:ascii="Times New Roman" w:eastAsia="方正仿宋_GBK" w:hAnsi="Times New Roman" w:cs="Times New Roman"/>
          <w:sz w:val="32"/>
          <w:szCs w:val="32"/>
        </w:rPr>
        <w:t>619.97</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68.96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；经营支出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。此外，结余分配</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4.</w:t>
      </w:r>
      <w:r>
        <w:rPr>
          <w:rStyle w:val="a4"/>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年度年末结转和结余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，主要原因是无结转结余。</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（二）财政拨款收入支出决算总体情况说明。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年相比，财政拨款收、支总计各减少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（三）一般公共预算财政拨款收入支出决算情况说明。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lastRenderedPageBreak/>
        <w:t>688.93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年部分超额绩效，以及学生减少导致公用经费、学生资助、营养改善资金减少。较年初预算数增加</w:t>
      </w:r>
      <w:r>
        <w:rPr>
          <w:rFonts w:ascii="Times New Roman" w:eastAsia="方正仿宋_GBK" w:hAnsi="Times New Roman" w:cs="Times New Roman"/>
          <w:sz w:val="32"/>
          <w:szCs w:val="32"/>
        </w:rPr>
        <w:t>137.31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24.9%</w:t>
      </w:r>
      <w:r>
        <w:rPr>
          <w:rFonts w:ascii="Times New Roman" w:eastAsia="方正仿宋_GBK" w:hAnsi="Times New Roman" w:cs="Times New Roman"/>
          <w:sz w:val="32"/>
          <w:szCs w:val="32"/>
        </w:rPr>
        <w:t>。主要原因是人员工资调整和超额绩效增加导致一般公共预算财政拨款收入增长。此外，年初财政拨款结转和结余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年部分超额绩效，以及学生减少导致公用经费、学生资助、营养改善资金减少。较年初预算数增加</w:t>
      </w:r>
      <w:r>
        <w:rPr>
          <w:rFonts w:ascii="Times New Roman" w:eastAsia="方正仿宋_GBK" w:hAnsi="Times New Roman" w:cs="Times New Roman"/>
          <w:sz w:val="32"/>
          <w:szCs w:val="32"/>
        </w:rPr>
        <w:t>137.31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24.9%</w:t>
      </w:r>
      <w:bookmarkStart w:id="0" w:name="_GoBack"/>
      <w:bookmarkEnd w:id="0"/>
      <w:r>
        <w:rPr>
          <w:rFonts w:ascii="Times New Roman" w:eastAsia="方正仿宋_GBK" w:hAnsi="Times New Roman" w:cs="Times New Roman"/>
          <w:sz w:val="32"/>
          <w:szCs w:val="32"/>
        </w:rPr>
        <w:t>。主要原因是人员工资调整和超额绩效增加导致一般公共预算财政拨款收入增长。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年度年末一般公共预算财政拨款结转和结余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，主要原因是无结转结余。</w:t>
      </w:r>
    </w:p>
    <w:p w:rsidR="00317C47" w:rsidRDefault="00E7384D">
      <w:pPr>
        <w:ind w:firstLineChars="200" w:firstLine="640"/>
        <w:rPr>
          <w:rFonts w:ascii="Times New Roman" w:eastAsia="方正仿宋_GBK" w:hAnsi="Times New Roman" w:cs="Times New Roman"/>
          <w:color w:val="FF0000"/>
          <w:sz w:val="32"/>
          <w:szCs w:val="32"/>
          <w:shd w:val="clear" w:color="auto" w:fill="FFFF00"/>
        </w:rPr>
      </w:pPr>
      <w:r>
        <w:rPr>
          <w:rStyle w:val="a4"/>
          <w:rFonts w:ascii="Times New Roman" w:eastAsia="方正仿宋_GBK" w:hAnsi="Times New Roman" w:cs="Times New Roman"/>
          <w:sz w:val="32"/>
          <w:szCs w:val="32"/>
        </w:rPr>
        <w:t>4.</w:t>
      </w:r>
      <w:r>
        <w:rPr>
          <w:rStyle w:val="a4"/>
          <w:rFonts w:ascii="Times New Roman" w:eastAsia="方正仿宋_GBK" w:hAnsi="Times New Roman" w:cs="Times New Roman"/>
          <w:sz w:val="32"/>
          <w:szCs w:val="32"/>
        </w:rPr>
        <w:t>比较情况。</w:t>
      </w: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年度一般公共预算财政拨款支出主要用于以下几个方面：</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）教育支出</w:t>
      </w:r>
      <w:r>
        <w:rPr>
          <w:rFonts w:ascii="Times New Roman" w:eastAsia="方正仿宋_GBK" w:hAnsi="Times New Roman" w:cs="Times New Roman"/>
          <w:sz w:val="32"/>
          <w:szCs w:val="32"/>
        </w:rPr>
        <w:t>541.56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78.6%</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127.27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30.7%</w:t>
      </w:r>
      <w:r>
        <w:rPr>
          <w:rFonts w:ascii="Times New Roman" w:eastAsia="方正仿宋_GBK" w:hAnsi="Times New Roman" w:cs="Times New Roman"/>
          <w:sz w:val="32"/>
          <w:szCs w:val="32"/>
        </w:rPr>
        <w:t>，主要原因是人员工资调整和超额绩效增加导致一般公共预算财政拨款收入增长。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79.64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11.6%</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10.01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14.4%</w:t>
      </w:r>
      <w:r>
        <w:rPr>
          <w:rFonts w:ascii="Times New Roman" w:eastAsia="方正仿宋_GBK" w:hAnsi="Times New Roman" w:cs="Times New Roman"/>
          <w:sz w:val="32"/>
          <w:szCs w:val="32"/>
        </w:rPr>
        <w:t>，主要原因是人员工</w:t>
      </w:r>
      <w:r>
        <w:rPr>
          <w:rFonts w:ascii="Times New Roman" w:eastAsia="方正仿宋_GBK" w:hAnsi="Times New Roman" w:cs="Times New Roman"/>
          <w:sz w:val="32"/>
          <w:szCs w:val="32"/>
        </w:rPr>
        <w:lastRenderedPageBreak/>
        <w:t>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37.68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1.14</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，主要原因是人员工资调整和超额绩效增加导致一般公共预算财政拨款收入增长。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30.05</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1.10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，主要原因是人员调动。</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（四）一般公共预算财政拨款基本支出决算情况说明。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sz w:val="32"/>
          <w:szCs w:val="32"/>
        </w:rPr>
        <w:t>619.97</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579.26</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64.66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年部分超额绩效。人员经费用途主要包括基本工资、津贴补贴、奖金、绩效工资、社会保障缴费、其他福利支出等。公用经费</w:t>
      </w:r>
      <w:r>
        <w:rPr>
          <w:rFonts w:ascii="Times New Roman" w:eastAsia="方正仿宋_GBK" w:hAnsi="Times New Roman" w:cs="Times New Roman"/>
          <w:sz w:val="32"/>
          <w:szCs w:val="32"/>
        </w:rPr>
        <w:t>40.72</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7.00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20.8%</w:t>
      </w:r>
      <w:r>
        <w:rPr>
          <w:rFonts w:ascii="Times New Roman" w:eastAsia="方正仿宋_GBK" w:hAnsi="Times New Roman" w:cs="Times New Roman"/>
          <w:sz w:val="32"/>
          <w:szCs w:val="32"/>
        </w:rPr>
        <w:t>，主要原因是增加教师培训学习人次，增加学生活动开支等。公用经费用途主要包括办公费、印刷费、培训费、劳务费、工会经费、维修费、水费、电费、邮电费等。</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（五）政府性基金预算收支决算情况说明。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年度政府性基金预算财政拨款年初结转结余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万元，年末结转结余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万元。本年收入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年度无政府性基金预算财政拨款收支。本年支出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lastRenderedPageBreak/>
        <w:t>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年度无政府性基金预算财政拨款收支。</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（六）国有资本经营预算财政拨款支出决算情况说明。</w:t>
      </w:r>
    </w:p>
    <w:p w:rsidR="00317C47" w:rsidRDefault="00E7384D">
      <w:pPr>
        <w:ind w:firstLineChars="200" w:firstLine="640"/>
        <w:rPr>
          <w:rFonts w:ascii="Times New Roman" w:eastAsia="方正仿宋_GBK" w:hAnsi="Times New Roman" w:cs="Times New Roman"/>
          <w:sz w:val="32"/>
          <w:szCs w:val="32"/>
          <w:shd w:val="clear" w:color="auto" w:fill="FFFF00"/>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年度国有资本经营预算财政拨本年支出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万元，基本支出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万元，项目支出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万元，本部门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年度无国有资本经营预算财政拨款支出。</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三、</w:t>
      </w:r>
      <w:r>
        <w:rPr>
          <w:rStyle w:val="a4"/>
          <w:rFonts w:ascii="Times New Roman" w:eastAsia="方正仿宋_GBK" w:hAnsi="Times New Roman" w:cs="Times New Roman"/>
          <w:sz w:val="36"/>
          <w:szCs w:val="36"/>
        </w:rPr>
        <w:t>“</w:t>
      </w:r>
      <w:r>
        <w:rPr>
          <w:rStyle w:val="a4"/>
          <w:rFonts w:ascii="Times New Roman" w:eastAsia="方正仿宋_GBK" w:hAnsi="Times New Roman" w:cs="Times New Roman"/>
          <w:sz w:val="36"/>
          <w:szCs w:val="36"/>
        </w:rPr>
        <w:t>三公</w:t>
      </w:r>
      <w:r>
        <w:rPr>
          <w:rStyle w:val="a4"/>
          <w:rFonts w:ascii="Times New Roman" w:eastAsia="方正仿宋_GBK" w:hAnsi="Times New Roman" w:cs="Times New Roman"/>
          <w:sz w:val="36"/>
          <w:szCs w:val="36"/>
        </w:rPr>
        <w:t>”</w:t>
      </w:r>
      <w:r>
        <w:rPr>
          <w:rStyle w:val="a4"/>
          <w:rFonts w:ascii="Times New Roman" w:eastAsia="方正仿宋_GBK" w:hAnsi="Times New Roman" w:cs="Times New Roman"/>
          <w:sz w:val="36"/>
          <w:szCs w:val="36"/>
        </w:rPr>
        <w:t>经费情况说明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经费支出总体情况说明。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经费分项支出情况。</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年度本部门因公出国（境）费用</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年度未发生因公出国（境）经费支出。费用支出较年初预算数增加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年度未发生因公出国（境）经费支出。较上年支出数增加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年度未发生因公出国（境）经费支出。</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万元，主要用于</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由部门根据实际情况补充车辆用途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lastRenderedPageBreak/>
        <w:t>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年度未发生公务车购置支出。较上年支出数增加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年度未发生公务车购置支出。</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年度未发生公务车运行维护支出。费用支出较年初预算数增加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年度未发生公务车运行维护支出。较上年支出数增加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年度未发生公务车运行维护支出。</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年度未发生公务接待费支出。费用支出较年初预算数增加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年度未发生公务接待费支出。较上年支出数增加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年度未发生公务接待费支出。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经费实物量情况。</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2021</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四、其他需要说明的事项</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（一）一般公共预算财政拨款会议费和培训费情况说明。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本年度会议费支出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年度未发生会议费支出。本年度培训费支出</w:t>
      </w:r>
      <w:r>
        <w:rPr>
          <w:rFonts w:ascii="Times New Roman" w:eastAsia="方正仿宋_GBK" w:hAnsi="Times New Roman" w:cs="Times New Roman"/>
          <w:sz w:val="32"/>
          <w:szCs w:val="32"/>
        </w:rPr>
        <w:t>2.79</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1.30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87.2%</w:t>
      </w:r>
      <w:r>
        <w:rPr>
          <w:rFonts w:ascii="Times New Roman" w:eastAsia="方正仿宋_GBK" w:hAnsi="Times New Roman" w:cs="Times New Roman"/>
          <w:sz w:val="32"/>
          <w:szCs w:val="32"/>
        </w:rPr>
        <w:t>，主要原因是教师外出培训、学习人次增加。</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（二）机关运行经费情况说明。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kern w:val="0"/>
          <w:sz w:val="32"/>
          <w:szCs w:val="32"/>
        </w:rPr>
        <w:t>按照部门决算列报口径，我单位不在机关运行经费统计范围之内。</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（三）国有资产占用情况说明。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万元（含）以上通用设备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（四）政府采购支出情况说明。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年度本部门政府采购支出总额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，其中：授予小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年度我单位未发生政府采购事项，无相关经费支出。</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五、预算绩效管理情况说明</w:t>
      </w:r>
    </w:p>
    <w:p w:rsidR="00317C47" w:rsidRDefault="00E7384D">
      <w:pPr>
        <w:ind w:firstLineChars="200" w:firstLine="640"/>
        <w:rPr>
          <w:rFonts w:ascii="Times New Roman" w:eastAsia="方正仿宋_GBK" w:hAnsi="Times New Roman" w:cs="Times New Roman"/>
          <w:sz w:val="32"/>
          <w:szCs w:val="32"/>
          <w:shd w:val="clear" w:color="auto" w:fill="FFFF00"/>
        </w:rPr>
      </w:pPr>
      <w:r>
        <w:rPr>
          <w:rStyle w:val="a4"/>
          <w:rFonts w:ascii="Times New Roman" w:eastAsia="方正仿宋_GBK" w:hAnsi="Times New Roman" w:cs="Times New Roman"/>
          <w:sz w:val="32"/>
          <w:szCs w:val="32"/>
        </w:rPr>
        <w:lastRenderedPageBreak/>
        <w:t>（一）预算绩效管理工作开展情况。</w:t>
      </w:r>
    </w:p>
    <w:p w:rsidR="00317C47" w:rsidRDefault="00E7384D">
      <w:pPr>
        <w:ind w:firstLineChars="200" w:firstLine="640"/>
        <w:rPr>
          <w:rFonts w:ascii="Times New Roman" w:eastAsia="方正仿宋_GBK" w:hAnsi="Times New Roman" w:cs="Times New Roman"/>
          <w:kern w:val="0"/>
          <w:sz w:val="32"/>
          <w:szCs w:val="32"/>
        </w:rPr>
      </w:pPr>
      <w:proofErr w:type="gramStart"/>
      <w:r>
        <w:rPr>
          <w:rFonts w:ascii="Times New Roman" w:eastAsia="方正仿宋_GBK" w:hAnsi="Times New Roman" w:cs="Times New Roman"/>
          <w:kern w:val="0"/>
          <w:sz w:val="32"/>
          <w:szCs w:val="32"/>
        </w:rPr>
        <w:t>据预算</w:t>
      </w:r>
      <w:proofErr w:type="gramEnd"/>
      <w:r>
        <w:rPr>
          <w:rFonts w:ascii="Times New Roman" w:eastAsia="方正仿宋_GBK" w:hAnsi="Times New Roman" w:cs="Times New Roman"/>
          <w:kern w:val="0"/>
          <w:sz w:val="32"/>
          <w:szCs w:val="32"/>
        </w:rPr>
        <w:t>绩效管理要求</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本部门对</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个项目开展了绩效自评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涉及资金</w:t>
      </w:r>
      <w:r>
        <w:rPr>
          <w:rFonts w:ascii="Times New Roman" w:eastAsia="方正仿宋_GBK" w:hAnsi="Times New Roman" w:cs="Times New Roman"/>
          <w:kern w:val="0"/>
          <w:sz w:val="32"/>
          <w:szCs w:val="32"/>
        </w:rPr>
        <w:t>68.96</w:t>
      </w:r>
      <w:r>
        <w:rPr>
          <w:rFonts w:ascii="Times New Roman" w:eastAsia="方正仿宋_GBK" w:hAnsi="Times New Roman" w:cs="Times New Roman"/>
          <w:kern w:val="0"/>
          <w:sz w:val="32"/>
          <w:szCs w:val="32"/>
        </w:rPr>
        <w:t>万元。从评价情况来看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项目立项较为规范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绩效目标明确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预算编制合理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管理科学规范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资金到位及时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总体完成情况较好。现将有关开展情况汇报如下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一是各级领导高度重视预算绩效管理工作</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二是合理选择项目、合理分配资金使有限的财政资金发挥更大的效益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三是通过开展预算资金绩效评价</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健全了项目资金的核算与管理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逐步形成自我约束</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内部规范的良性机制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四是预算绩效评价</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提高了管理水平和资金的使用效益。</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（二）绩效自评结果。</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绩效目标自评表。</w:t>
      </w:r>
    </w:p>
    <w:tbl>
      <w:tblPr>
        <w:tblW w:w="9645" w:type="dxa"/>
        <w:jc w:val="center"/>
        <w:tblLayout w:type="fixed"/>
        <w:tblLook w:val="04A0" w:firstRow="1" w:lastRow="0" w:firstColumn="1" w:lastColumn="0" w:noHBand="0" w:noVBand="1"/>
      </w:tblPr>
      <w:tblGrid>
        <w:gridCol w:w="690"/>
        <w:gridCol w:w="19"/>
        <w:gridCol w:w="567"/>
        <w:gridCol w:w="1135"/>
        <w:gridCol w:w="1135"/>
        <w:gridCol w:w="284"/>
        <w:gridCol w:w="1276"/>
        <w:gridCol w:w="733"/>
        <w:gridCol w:w="1540"/>
        <w:gridCol w:w="236"/>
        <w:gridCol w:w="843"/>
        <w:gridCol w:w="236"/>
        <w:gridCol w:w="951"/>
      </w:tblGrid>
      <w:tr w:rsidR="00317C47">
        <w:trPr>
          <w:trHeight w:val="601"/>
          <w:jc w:val="center"/>
        </w:trPr>
        <w:tc>
          <w:tcPr>
            <w:tcW w:w="9645" w:type="dxa"/>
            <w:gridSpan w:val="13"/>
            <w:vAlign w:val="center"/>
          </w:tcPr>
          <w:p w:rsidR="00317C47" w:rsidRDefault="00E7384D">
            <w:pPr>
              <w:ind w:firstLineChars="200" w:firstLine="420"/>
              <w:jc w:val="center"/>
              <w:rPr>
                <w:rFonts w:ascii="Times New Roman" w:eastAsia="方正仿宋_GBK" w:hAnsi="Times New Roman" w:cs="Times New Roman"/>
                <w:szCs w:val="21"/>
              </w:rPr>
            </w:pPr>
            <w:r>
              <w:rPr>
                <w:rFonts w:ascii="Times New Roman" w:eastAsia="方正仿宋_GBK" w:hAnsi="Times New Roman" w:cs="Times New Roman"/>
                <w:szCs w:val="21"/>
              </w:rPr>
              <w:t>2021</w:t>
            </w:r>
            <w:r>
              <w:rPr>
                <w:rFonts w:ascii="Times New Roman" w:eastAsia="方正仿宋_GBK" w:hAnsi="Times New Roman" w:cs="Times New Roman"/>
                <w:szCs w:val="21"/>
              </w:rPr>
              <w:t>年度项目绩效自评表</w:t>
            </w:r>
          </w:p>
        </w:tc>
      </w:tr>
      <w:tr w:rsidR="00317C47">
        <w:trPr>
          <w:trHeight w:val="688"/>
          <w:jc w:val="center"/>
        </w:trPr>
        <w:tc>
          <w:tcPr>
            <w:tcW w:w="690" w:type="dxa"/>
            <w:tcBorders>
              <w:top w:val="single" w:sz="4" w:space="0" w:color="auto"/>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项目名称</w:t>
            </w:r>
          </w:p>
        </w:tc>
        <w:tc>
          <w:tcPr>
            <w:tcW w:w="4416" w:type="dxa"/>
            <w:gridSpan w:val="6"/>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贫困学生资助</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自评总分</w:t>
            </w:r>
          </w:p>
        </w:tc>
        <w:tc>
          <w:tcPr>
            <w:tcW w:w="3806"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97</w:t>
            </w:r>
          </w:p>
        </w:tc>
      </w:tr>
      <w:tr w:rsidR="00317C47">
        <w:trPr>
          <w:trHeight w:val="601"/>
          <w:jc w:val="center"/>
        </w:trPr>
        <w:tc>
          <w:tcPr>
            <w:tcW w:w="709" w:type="dxa"/>
            <w:gridSpan w:val="2"/>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主管部门</w:t>
            </w:r>
          </w:p>
        </w:tc>
        <w:tc>
          <w:tcPr>
            <w:tcW w:w="4397"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丰都县教育委员会</w:t>
            </w:r>
          </w:p>
        </w:tc>
        <w:tc>
          <w:tcPr>
            <w:tcW w:w="733" w:type="dxa"/>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实施单位</w:t>
            </w:r>
          </w:p>
        </w:tc>
        <w:tc>
          <w:tcPr>
            <w:tcW w:w="3806" w:type="dxa"/>
            <w:gridSpan w:val="5"/>
            <w:tcBorders>
              <w:top w:val="nil"/>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丰都县兴龙镇初级中学校</w:t>
            </w:r>
          </w:p>
        </w:tc>
      </w:tr>
      <w:tr w:rsidR="00317C47">
        <w:trPr>
          <w:trHeight w:val="601"/>
          <w:jc w:val="center"/>
        </w:trPr>
        <w:tc>
          <w:tcPr>
            <w:tcW w:w="709" w:type="dxa"/>
            <w:gridSpan w:val="2"/>
            <w:vMerge w:val="restart"/>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项目资金（万元）</w:t>
            </w:r>
          </w:p>
        </w:tc>
        <w:tc>
          <w:tcPr>
            <w:tcW w:w="1702" w:type="dxa"/>
            <w:gridSpan w:val="2"/>
            <w:tcBorders>
              <w:top w:val="nil"/>
              <w:left w:val="nil"/>
              <w:bottom w:val="single" w:sz="4" w:space="0" w:color="auto"/>
              <w:right w:val="nil"/>
            </w:tcBorders>
            <w:vAlign w:val="center"/>
          </w:tcPr>
          <w:p w:rsidR="00317C47" w:rsidRDefault="00317C47">
            <w:pPr>
              <w:ind w:firstLineChars="200" w:firstLine="420"/>
              <w:rPr>
                <w:rFonts w:ascii="Times New Roman" w:eastAsia="方正仿宋_GBK" w:hAnsi="Times New Roman" w:cs="Times New Roman"/>
                <w:szCs w:val="21"/>
              </w:rPr>
            </w:pP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年初预算数</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全年预算数</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全年执行数</w:t>
            </w:r>
          </w:p>
        </w:tc>
        <w:tc>
          <w:tcPr>
            <w:tcW w:w="1540" w:type="dxa"/>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分值</w:t>
            </w: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执行率（</w:t>
            </w:r>
            <w:r>
              <w:rPr>
                <w:rFonts w:ascii="Times New Roman" w:eastAsia="方正仿宋_GBK" w:hAnsi="Times New Roman" w:cs="Times New Roman"/>
                <w:szCs w:val="21"/>
              </w:rPr>
              <w:t>%</w:t>
            </w:r>
            <w:r>
              <w:rPr>
                <w:rFonts w:ascii="Times New Roman" w:eastAsia="方正仿宋_GBK" w:hAnsi="Times New Roman" w:cs="Times New Roman"/>
                <w:szCs w:val="21"/>
              </w:rPr>
              <w:t>）</w:t>
            </w:r>
          </w:p>
        </w:tc>
        <w:tc>
          <w:tcPr>
            <w:tcW w:w="1187"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执行率得分</w:t>
            </w:r>
          </w:p>
        </w:tc>
      </w:tr>
      <w:tr w:rsidR="00317C47">
        <w:trPr>
          <w:trHeight w:val="60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年度总金额</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100</w:t>
            </w:r>
          </w:p>
        </w:tc>
      </w:tr>
      <w:tr w:rsidR="00317C47">
        <w:trPr>
          <w:trHeight w:val="60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其中：财政拨款</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100</w:t>
            </w:r>
          </w:p>
        </w:tc>
      </w:tr>
      <w:tr w:rsidR="00317C47">
        <w:trPr>
          <w:trHeight w:val="60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上年结转结余</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733" w:type="dxa"/>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0</w:t>
            </w:r>
          </w:p>
        </w:tc>
      </w:tr>
      <w:tr w:rsidR="00317C47">
        <w:trPr>
          <w:trHeight w:val="622"/>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其他资金</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733" w:type="dxa"/>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0</w:t>
            </w:r>
          </w:p>
        </w:tc>
      </w:tr>
      <w:tr w:rsidR="00317C47">
        <w:trPr>
          <w:trHeight w:val="601"/>
          <w:jc w:val="center"/>
        </w:trPr>
        <w:tc>
          <w:tcPr>
            <w:tcW w:w="709" w:type="dxa"/>
            <w:gridSpan w:val="2"/>
            <w:vMerge w:val="restart"/>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年度总体目标</w:t>
            </w:r>
          </w:p>
        </w:tc>
        <w:tc>
          <w:tcPr>
            <w:tcW w:w="4397"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预期目标</w:t>
            </w:r>
          </w:p>
        </w:tc>
        <w:tc>
          <w:tcPr>
            <w:tcW w:w="4539" w:type="dxa"/>
            <w:gridSpan w:val="6"/>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全年完成情况</w:t>
            </w:r>
          </w:p>
        </w:tc>
      </w:tr>
      <w:tr w:rsidR="00317C47">
        <w:trPr>
          <w:trHeight w:val="883"/>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4397"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投入</w:t>
            </w:r>
            <w:r>
              <w:rPr>
                <w:rFonts w:ascii="Times New Roman" w:eastAsia="方正仿宋_GBK" w:hAnsi="Times New Roman" w:cs="Times New Roman"/>
                <w:szCs w:val="21"/>
              </w:rPr>
              <w:t>15.4</w:t>
            </w:r>
            <w:r>
              <w:rPr>
                <w:rFonts w:ascii="Times New Roman" w:eastAsia="方正仿宋_GBK" w:hAnsi="Times New Roman" w:cs="Times New Roman"/>
                <w:szCs w:val="21"/>
              </w:rPr>
              <w:t>万元，资助义务教育阶段贫困学生</w:t>
            </w:r>
            <w:r>
              <w:rPr>
                <w:rFonts w:ascii="Times New Roman" w:eastAsia="方正仿宋_GBK" w:hAnsi="Times New Roman" w:cs="Times New Roman"/>
                <w:szCs w:val="21"/>
              </w:rPr>
              <w:t>200</w:t>
            </w:r>
            <w:r>
              <w:rPr>
                <w:rFonts w:ascii="Times New Roman" w:eastAsia="方正仿宋_GBK" w:hAnsi="Times New Roman" w:cs="Times New Roman"/>
                <w:szCs w:val="21"/>
              </w:rPr>
              <w:t>人次，不让一名贫困学生因家庭经济困难而失学。</w:t>
            </w:r>
          </w:p>
        </w:tc>
        <w:tc>
          <w:tcPr>
            <w:tcW w:w="4539" w:type="dxa"/>
            <w:gridSpan w:val="6"/>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投入</w:t>
            </w:r>
            <w:r>
              <w:rPr>
                <w:rFonts w:ascii="Times New Roman" w:eastAsia="方正仿宋_GBK" w:hAnsi="Times New Roman" w:cs="Times New Roman"/>
                <w:szCs w:val="21"/>
              </w:rPr>
              <w:t>15.4</w:t>
            </w:r>
            <w:r>
              <w:rPr>
                <w:rFonts w:ascii="Times New Roman" w:eastAsia="方正仿宋_GBK" w:hAnsi="Times New Roman" w:cs="Times New Roman"/>
                <w:szCs w:val="21"/>
              </w:rPr>
              <w:t>万元，资助义务教育阶段贫困学生</w:t>
            </w:r>
            <w:r>
              <w:rPr>
                <w:rFonts w:ascii="Times New Roman" w:eastAsia="方正仿宋_GBK" w:hAnsi="Times New Roman" w:cs="Times New Roman"/>
                <w:szCs w:val="21"/>
              </w:rPr>
              <w:t>209</w:t>
            </w:r>
            <w:r>
              <w:rPr>
                <w:rFonts w:ascii="Times New Roman" w:eastAsia="方正仿宋_GBK" w:hAnsi="Times New Roman" w:cs="Times New Roman"/>
                <w:szCs w:val="21"/>
              </w:rPr>
              <w:t>人次，不让一名贫困学生因家庭经济困难而失学。</w:t>
            </w:r>
          </w:p>
        </w:tc>
      </w:tr>
      <w:tr w:rsidR="00317C47">
        <w:trPr>
          <w:trHeight w:val="601"/>
          <w:jc w:val="center"/>
        </w:trPr>
        <w:tc>
          <w:tcPr>
            <w:tcW w:w="709" w:type="dxa"/>
            <w:gridSpan w:val="2"/>
            <w:vMerge w:val="restart"/>
            <w:tcBorders>
              <w:top w:val="nil"/>
              <w:left w:val="single" w:sz="4" w:space="0" w:color="auto"/>
              <w:bottom w:val="single" w:sz="4" w:space="0" w:color="auto"/>
              <w:right w:val="single" w:sz="4" w:space="0" w:color="auto"/>
            </w:tcBorders>
            <w:textDirection w:val="tbRlV"/>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绩效指标</w:t>
            </w:r>
          </w:p>
        </w:tc>
        <w:tc>
          <w:tcPr>
            <w:tcW w:w="567" w:type="dxa"/>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一级指标</w:t>
            </w:r>
          </w:p>
        </w:tc>
        <w:tc>
          <w:tcPr>
            <w:tcW w:w="1135" w:type="dxa"/>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二级指标</w:t>
            </w:r>
          </w:p>
        </w:tc>
        <w:tc>
          <w:tcPr>
            <w:tcW w:w="141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三级指标</w:t>
            </w:r>
          </w:p>
        </w:tc>
        <w:tc>
          <w:tcPr>
            <w:tcW w:w="1276" w:type="dxa"/>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年度指标值</w:t>
            </w:r>
          </w:p>
        </w:tc>
        <w:tc>
          <w:tcPr>
            <w:tcW w:w="2509" w:type="dxa"/>
            <w:gridSpan w:val="3"/>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实际完成值</w:t>
            </w: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分值</w:t>
            </w:r>
          </w:p>
        </w:tc>
        <w:tc>
          <w:tcPr>
            <w:tcW w:w="951" w:type="dxa"/>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得分</w:t>
            </w:r>
          </w:p>
        </w:tc>
      </w:tr>
      <w:tr w:rsidR="00317C47">
        <w:trPr>
          <w:trHeight w:hRule="exact" w:val="115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567" w:type="dxa"/>
            <w:vMerge w:val="restart"/>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产出指标</w:t>
            </w: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color w:val="000000"/>
                <w:szCs w:val="21"/>
              </w:rPr>
              <w:t>数量指标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color w:val="000000"/>
                <w:szCs w:val="21"/>
              </w:rPr>
              <w:t>资助建档立卡贫困户子女人数（</w:t>
            </w:r>
            <w:r>
              <w:rPr>
                <w:rFonts w:ascii="Times New Roman" w:eastAsia="方正仿宋_GBK" w:hAnsi="Times New Roman" w:cs="Times New Roman"/>
                <w:color w:val="000000"/>
                <w:szCs w:val="21"/>
              </w:rPr>
              <w:t>≥200</w:t>
            </w:r>
            <w:r>
              <w:rPr>
                <w:rFonts w:ascii="Times New Roman" w:eastAsia="方正仿宋_GBK" w:hAnsi="Times New Roman" w:cs="Times New Roman"/>
                <w:color w:val="000000"/>
                <w:szCs w:val="21"/>
              </w:rPr>
              <w:t>人）</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209</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997"/>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300" w:type="dxa"/>
            <w:vMerge/>
            <w:tcBorders>
              <w:top w:val="nil"/>
              <w:left w:val="nil"/>
              <w:bottom w:val="single" w:sz="4" w:space="0" w:color="auto"/>
              <w:right w:val="nil"/>
            </w:tcBorders>
            <w:vAlign w:val="center"/>
          </w:tcPr>
          <w:p w:rsidR="00317C47" w:rsidRDefault="00317C47">
            <w:pPr>
              <w:ind w:firstLineChars="200" w:firstLine="420"/>
              <w:rPr>
                <w:rFonts w:ascii="Times New Roman" w:eastAsia="方正仿宋_GBK" w:hAnsi="Times New Roman" w:cs="Times New Roman"/>
                <w:szCs w:val="21"/>
              </w:rPr>
            </w:pP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质量指标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资助标准达标率（</w:t>
            </w:r>
            <w:r>
              <w:rPr>
                <w:rFonts w:ascii="Times New Roman" w:eastAsia="方正仿宋_GBK" w:hAnsi="Times New Roman" w:cs="Times New Roman"/>
                <w:szCs w:val="21"/>
              </w:rPr>
              <w:t>100%</w:t>
            </w:r>
            <w:r>
              <w:rPr>
                <w:rFonts w:ascii="Times New Roman" w:eastAsia="方正仿宋_GBK" w:hAnsi="Times New Roman" w:cs="Times New Roman"/>
                <w:szCs w:val="21"/>
              </w:rPr>
              <w:t>）</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1550"/>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300" w:type="dxa"/>
            <w:vMerge/>
            <w:tcBorders>
              <w:top w:val="nil"/>
              <w:left w:val="nil"/>
              <w:bottom w:val="single" w:sz="4" w:space="0" w:color="auto"/>
              <w:right w:val="nil"/>
            </w:tcBorders>
            <w:vAlign w:val="center"/>
          </w:tcPr>
          <w:p w:rsidR="00317C47" w:rsidRDefault="00317C47">
            <w:pPr>
              <w:ind w:firstLineChars="200" w:firstLine="420"/>
              <w:rPr>
                <w:rFonts w:ascii="Times New Roman" w:eastAsia="方正仿宋_GBK" w:hAnsi="Times New Roman" w:cs="Times New Roman"/>
                <w:szCs w:val="21"/>
              </w:rPr>
            </w:pP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成本指标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建档立卡贫困户子女生均资助标准（</w:t>
            </w:r>
            <w:r>
              <w:rPr>
                <w:rFonts w:ascii="Times New Roman" w:eastAsia="方正仿宋_GBK" w:hAnsi="Times New Roman" w:cs="Times New Roman"/>
                <w:szCs w:val="21"/>
              </w:rPr>
              <w:t>1250</w:t>
            </w:r>
            <w:r>
              <w:rPr>
                <w:rFonts w:ascii="Times New Roman" w:eastAsia="方正仿宋_GBK" w:hAnsi="Times New Roman" w:cs="Times New Roman"/>
                <w:szCs w:val="21"/>
              </w:rPr>
              <w:t>元</w:t>
            </w:r>
            <w:r>
              <w:rPr>
                <w:rFonts w:ascii="Times New Roman" w:eastAsia="方正仿宋_GBK" w:hAnsi="Times New Roman" w:cs="Times New Roman"/>
                <w:szCs w:val="21"/>
              </w:rPr>
              <w:t>/</w:t>
            </w:r>
            <w:r>
              <w:rPr>
                <w:rFonts w:ascii="Times New Roman" w:eastAsia="方正仿宋_GBK" w:hAnsi="Times New Roman" w:cs="Times New Roman"/>
                <w:szCs w:val="21"/>
              </w:rPr>
              <w:t>学年）</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1250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1250</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1559"/>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567" w:type="dxa"/>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效益指标</w:t>
            </w: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社会效益指标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建档立卡贫困户子女全程全部接受资助的比例（</w:t>
            </w:r>
            <w:r>
              <w:rPr>
                <w:rFonts w:ascii="Times New Roman" w:eastAsia="方正仿宋_GBK" w:hAnsi="Times New Roman" w:cs="Times New Roman"/>
                <w:szCs w:val="21"/>
              </w:rPr>
              <w:t>≥100%</w:t>
            </w:r>
            <w:r>
              <w:rPr>
                <w:rFonts w:ascii="Times New Roman" w:eastAsia="方正仿宋_GBK" w:hAnsi="Times New Roman" w:cs="Times New Roman"/>
                <w:szCs w:val="21"/>
              </w:rPr>
              <w:t>）</w:t>
            </w:r>
          </w:p>
          <w:p w:rsidR="00317C47" w:rsidRDefault="00317C47">
            <w:pPr>
              <w:ind w:firstLineChars="200" w:firstLine="420"/>
              <w:rPr>
                <w:rFonts w:ascii="Times New Roman" w:eastAsia="方正仿宋_GBK" w:hAnsi="Times New Roman" w:cs="Times New Roman"/>
                <w:szCs w:val="21"/>
              </w:rPr>
            </w:pP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1199"/>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567" w:type="dxa"/>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满意度指标</w:t>
            </w: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服务对象满意度指标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学生及家长满意度（</w:t>
            </w:r>
            <w:r>
              <w:rPr>
                <w:rFonts w:ascii="Times New Roman" w:eastAsia="方正仿宋_GBK" w:hAnsi="Times New Roman" w:cs="Times New Roman"/>
                <w:szCs w:val="21"/>
              </w:rPr>
              <w:t>≥90%</w:t>
            </w:r>
            <w:r>
              <w:rPr>
                <w:rFonts w:ascii="Times New Roman" w:eastAsia="方正仿宋_GBK" w:hAnsi="Times New Roman" w:cs="Times New Roman"/>
                <w:szCs w:val="21"/>
              </w:rPr>
              <w:t>）</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90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97</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17</w:t>
            </w:r>
          </w:p>
        </w:tc>
      </w:tr>
      <w:tr w:rsidR="00317C47">
        <w:trPr>
          <w:trHeight w:val="542"/>
          <w:jc w:val="center"/>
        </w:trPr>
        <w:tc>
          <w:tcPr>
            <w:tcW w:w="709" w:type="dxa"/>
            <w:gridSpan w:val="2"/>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说明</w:t>
            </w:r>
          </w:p>
        </w:tc>
        <w:tc>
          <w:tcPr>
            <w:tcW w:w="8936" w:type="dxa"/>
            <w:gridSpan w:val="11"/>
            <w:tcBorders>
              <w:top w:val="single" w:sz="4" w:space="0" w:color="auto"/>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r>
    </w:tbl>
    <w:p w:rsidR="00317C47" w:rsidRDefault="00E7384D">
      <w:pPr>
        <w:ind w:firstLineChars="200" w:firstLine="640"/>
        <w:rPr>
          <w:rStyle w:val="a4"/>
          <w:rFonts w:ascii="Times New Roman" w:eastAsia="方正仿宋_GBK" w:hAnsi="Times New Roman" w:cs="Times New Roman"/>
          <w:sz w:val="32"/>
          <w:szCs w:val="32"/>
          <w:shd w:val="clear" w:color="auto" w:fill="FFFF00"/>
        </w:rPr>
      </w:pPr>
      <w:r>
        <w:rPr>
          <w:rStyle w:val="a4"/>
          <w:rFonts w:ascii="Times New Roman" w:eastAsia="方正仿宋_GBK" w:hAnsi="Times New Roman" w:cs="Times New Roman"/>
          <w:sz w:val="32"/>
          <w:szCs w:val="32"/>
        </w:rPr>
        <w:lastRenderedPageBreak/>
        <w:t>2.</w:t>
      </w:r>
      <w:r>
        <w:rPr>
          <w:rStyle w:val="a4"/>
          <w:rFonts w:ascii="Times New Roman" w:eastAsia="方正仿宋_GBK" w:hAnsi="Times New Roman" w:cs="Times New Roman"/>
          <w:sz w:val="32"/>
          <w:szCs w:val="32"/>
        </w:rPr>
        <w:t>绩效自评报告或案例。</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单位未委托第三方开展绩效评价。</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关于绩效自评结果的说明。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本年度项目完成较好。</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（三）重点绩效评价结果。</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我单位未委托第三方开展重点绩效评价。</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六、专业名词解释</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以下为常见专业名词解释目录，仅供参考，部门应根据实际情况进行解释和</w:t>
      </w:r>
      <w:r>
        <w:rPr>
          <w:rStyle w:val="a4"/>
          <w:rFonts w:ascii="Times New Roman" w:eastAsia="方正仿宋_GBK" w:hAnsi="Times New Roman" w:cs="Times New Roman"/>
          <w:sz w:val="32"/>
          <w:szCs w:val="32"/>
        </w:rPr>
        <w:t>增减</w:t>
      </w:r>
      <w:r>
        <w:rPr>
          <w:rFonts w:ascii="Times New Roman" w:eastAsia="方正仿宋_GBK" w:hAnsi="Times New Roman" w:cs="Times New Roman"/>
          <w:sz w:val="32"/>
          <w:szCs w:val="32"/>
        </w:rPr>
        <w:t>。比如可将类级功能科目和经济科目细化</w:t>
      </w:r>
      <w:proofErr w:type="gramStart"/>
      <w:r>
        <w:rPr>
          <w:rFonts w:ascii="Times New Roman" w:eastAsia="方正仿宋_GBK" w:hAnsi="Times New Roman" w:cs="Times New Roman"/>
          <w:sz w:val="32"/>
          <w:szCs w:val="32"/>
        </w:rPr>
        <w:t>解释到项级</w:t>
      </w:r>
      <w:proofErr w:type="gramEnd"/>
      <w:r>
        <w:rPr>
          <w:rFonts w:ascii="Times New Roman" w:eastAsia="方正仿宋_GBK" w:hAnsi="Times New Roman" w:cs="Times New Roman"/>
          <w:sz w:val="32"/>
          <w:szCs w:val="32"/>
        </w:rPr>
        <w:t>。若有删减注意调整段落序号。</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w:t>
      </w:r>
      <w:r>
        <w:rPr>
          <w:rFonts w:ascii="Times New Roman" w:eastAsia="方正仿宋_GBK" w:hAnsi="Times New Roman" w:cs="Times New Roman"/>
          <w:sz w:val="32"/>
          <w:szCs w:val="32"/>
        </w:rPr>
        <w:lastRenderedPageBreak/>
        <w:t>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（五）使用非财政拨款结余</w:t>
      </w:r>
      <w:r>
        <w:rPr>
          <w:rFonts w:ascii="Times New Roman" w:eastAsia="方正仿宋_GBK" w:hAnsi="Times New Roman" w:cs="Times New Roman"/>
          <w:sz w:val="32"/>
          <w:szCs w:val="32"/>
        </w:rPr>
        <w:t>：指单位在当年的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（六）年初结转和结余</w:t>
      </w:r>
      <w:r>
        <w:rPr>
          <w:rFonts w:ascii="Times New Roman" w:eastAsia="方正仿宋_GBK" w:hAnsi="Times New Roman" w:cs="Times New Roman"/>
          <w:sz w:val="32"/>
          <w:szCs w:val="32"/>
        </w:rPr>
        <w:t>：指单位上年结转本年使用的基本支出结转、项目支出结转和结余、经营结余。</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（七）结余分配</w:t>
      </w:r>
      <w:r>
        <w:rPr>
          <w:rFonts w:ascii="Times New Roman" w:eastAsia="方正仿宋_GBK" w:hAnsi="Times New Roman" w:cs="Times New Roman"/>
          <w:sz w:val="32"/>
          <w:szCs w:val="32"/>
        </w:rPr>
        <w:t>：指单位按照国家有关规定，缴纳所得税、提取专用基金、转入非财政拨款结余等当年结余的分配情况。</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（八）年末结转和结余</w:t>
      </w:r>
      <w:r>
        <w:rPr>
          <w:rFonts w:ascii="Times New Roman" w:eastAsia="方正仿宋_GBK" w:hAnsi="Times New Roman" w:cs="Times New Roman"/>
          <w:sz w:val="32"/>
          <w:szCs w:val="32"/>
        </w:rPr>
        <w:t>：指单位结转下年的基本支出结转、项目支出结转和结余、经营结余。</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（十）项目支出</w:t>
      </w:r>
      <w:r>
        <w:rPr>
          <w:rFonts w:ascii="Times New Roman" w:eastAsia="方正仿宋_GBK" w:hAnsi="Times New Roman" w:cs="Times New Roman"/>
          <w:sz w:val="32"/>
          <w:szCs w:val="32"/>
        </w:rPr>
        <w:t>：指在基本支出之外为完成特定行政任</w:t>
      </w:r>
      <w:r>
        <w:rPr>
          <w:rFonts w:ascii="Times New Roman" w:eastAsia="方正仿宋_GBK" w:hAnsi="Times New Roman" w:cs="Times New Roman"/>
          <w:sz w:val="32"/>
          <w:szCs w:val="32"/>
        </w:rPr>
        <w:lastRenderedPageBreak/>
        <w:t>务和事业发展目标所发生的支出。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（十二）</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（十三）机关运行经费</w:t>
      </w:r>
      <w:r>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（十四）工资福利支出（支出经济分类科目类级）</w:t>
      </w:r>
      <w:r>
        <w:rPr>
          <w:rFonts w:ascii="Times New Roman" w:eastAsia="方正仿宋_GBK" w:hAnsi="Times New Roman" w:cs="Times New Roman"/>
          <w:sz w:val="32"/>
          <w:szCs w:val="32"/>
        </w:rPr>
        <w:t>：反映单位开支的在职职工和编制</w:t>
      </w:r>
      <w:proofErr w:type="gramStart"/>
      <w:r>
        <w:rPr>
          <w:rFonts w:ascii="Times New Roman" w:eastAsia="方正仿宋_GBK" w:hAnsi="Times New Roman" w:cs="Times New Roman"/>
          <w:sz w:val="32"/>
          <w:szCs w:val="32"/>
        </w:rPr>
        <w:t>外长期</w:t>
      </w:r>
      <w:proofErr w:type="gramEnd"/>
      <w:r>
        <w:rPr>
          <w:rFonts w:ascii="Times New Roman" w:eastAsia="方正仿宋_GBK" w:hAnsi="Times New Roman" w:cs="Times New Roman"/>
          <w:sz w:val="32"/>
          <w:szCs w:val="32"/>
        </w:rPr>
        <w:t>聘用人员的各类劳动报酬，以及为上述人员缴纳的各项社会保险费等。</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（十五）商品和服务支出（支出经济分类科目类级）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反映单位购买商品和服务的支出（不包括用于购置固定资产的支出、战略性和应急储备支出）。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（十六）对个人和家庭的补助（支出经济分类科目类级）</w:t>
      </w:r>
      <w:r>
        <w:rPr>
          <w:rFonts w:ascii="Times New Roman" w:eastAsia="方正仿宋_GBK" w:hAnsi="Times New Roman" w:cs="Times New Roman"/>
          <w:sz w:val="32"/>
          <w:szCs w:val="32"/>
        </w:rPr>
        <w:t>：反映用于对个人和家庭的补助支出。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（十七）其他资本性支出（支出经济分类科目类级）</w:t>
      </w:r>
      <w:r>
        <w:rPr>
          <w:rFonts w:ascii="Times New Roman" w:eastAsia="方正仿宋_GBK" w:hAnsi="Times New Roman" w:cs="Times New Roman"/>
          <w:sz w:val="32"/>
          <w:szCs w:val="32"/>
        </w:rPr>
        <w:t>：反映</w:t>
      </w:r>
      <w:proofErr w:type="gramStart"/>
      <w:r>
        <w:rPr>
          <w:rFonts w:ascii="Times New Roman" w:eastAsia="方正仿宋_GBK" w:hAnsi="Times New Roman" w:cs="Times New Roman"/>
          <w:sz w:val="32"/>
          <w:szCs w:val="32"/>
        </w:rPr>
        <w:t>非各级</w:t>
      </w:r>
      <w:proofErr w:type="gramEnd"/>
      <w:r>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七、决算公开联系方式及信息反馈渠道</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396242764@qq.com,023-70688023</w:t>
      </w:r>
      <w:r>
        <w:rPr>
          <w:rFonts w:ascii="Times New Roman" w:eastAsia="方正仿宋_GBK" w:hAnsi="Times New Roman" w:cs="Times New Roman"/>
          <w:sz w:val="32"/>
          <w:szCs w:val="32"/>
        </w:rPr>
        <w:t>。</w:t>
      </w:r>
    </w:p>
    <w:sectPr w:rsidR="00317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000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I0NTVlZWE1YzY4MmM3Y2ZkNjk0NWEwNWU3NjQifQ=="/>
  </w:docVars>
  <w:rsids>
    <w:rsidRoot w:val="00D37195"/>
    <w:rsid w:val="00317C47"/>
    <w:rsid w:val="006D2040"/>
    <w:rsid w:val="00743F7B"/>
    <w:rsid w:val="0088402B"/>
    <w:rsid w:val="008950C2"/>
    <w:rsid w:val="008A5A1D"/>
    <w:rsid w:val="00990D1A"/>
    <w:rsid w:val="00AF0D25"/>
    <w:rsid w:val="00B4487D"/>
    <w:rsid w:val="00BE71DF"/>
    <w:rsid w:val="00D1767D"/>
    <w:rsid w:val="00D31C98"/>
    <w:rsid w:val="00D37195"/>
    <w:rsid w:val="00E06B8F"/>
    <w:rsid w:val="00E7384D"/>
    <w:rsid w:val="7C66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BCDEC-7D0B-41C0-90D2-7430EEA3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927</Words>
  <Characters>5290</Characters>
  <Application>Microsoft Office Word</Application>
  <DocSecurity>0</DocSecurity>
  <Lines>44</Lines>
  <Paragraphs>12</Paragraphs>
  <ScaleCrop>false</ScaleCrop>
  <Company>HP Inc.</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湛军</dc:creator>
  <cp:lastModifiedBy>Microsoft 帐户</cp:lastModifiedBy>
  <cp:revision>8</cp:revision>
  <dcterms:created xsi:type="dcterms:W3CDTF">2022-10-09T01:49:00Z</dcterms:created>
  <dcterms:modified xsi:type="dcterms:W3CDTF">2023-01-06T07:47:00Z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CAFD89123B424D1598B1F63B4E8C82E3</vt:lpwstr>
  </property>
</Properties>
</file>