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color w:val="000000"/>
          <w:sz w:val="18"/>
          <w:szCs w:val="18"/>
        </w:rPr>
      </w:pPr>
      <w:r>
        <w:rPr>
          <w:rFonts w:ascii="Arial" w:hAnsi="Arial" w:cs="Arial"/>
          <w:color w:val="000000"/>
          <w:sz w:val="54"/>
          <w:szCs w:val="54"/>
        </w:rPr>
        <w:t>重庆市丰都县青龙乡中心小学校</w:t>
      </w:r>
    </w:p>
    <w:p>
      <w:pPr>
        <w:pStyle w:val="4"/>
        <w:shd w:val="clear" w:color="auto" w:fill="FFFFFF"/>
        <w:spacing w:before="0" w:beforeAutospacing="0" w:after="0" w:afterAutospacing="0"/>
        <w:jc w:val="center"/>
        <w:rPr>
          <w:rFonts w:ascii="Arial" w:hAnsi="Arial" w:cs="Arial"/>
          <w:color w:val="000000"/>
          <w:sz w:val="18"/>
          <w:szCs w:val="18"/>
        </w:rPr>
      </w:pPr>
      <w:r>
        <w:rPr>
          <w:rFonts w:ascii="Arial" w:hAnsi="Arial" w:cs="Arial"/>
          <w:color w:val="000000"/>
          <w:sz w:val="54"/>
          <w:szCs w:val="54"/>
        </w:rPr>
        <w:t>2021年度部门决算情况说明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33"/>
          <w:szCs w:val="33"/>
        </w:rPr>
        <w:t>  一、部门基本情况</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（一）职能职责。</w:t>
      </w:r>
    </w:p>
    <w:p>
      <w:pPr>
        <w:widowControl/>
        <w:shd w:val="clear" w:color="auto" w:fill="FFFFFF"/>
        <w:spacing w:line="420" w:lineRule="atLeast"/>
        <w:ind w:firstLine="480"/>
        <w:jc w:val="left"/>
        <w:rPr>
          <w:rFonts w:ascii="Arial" w:hAnsi="Arial" w:cs="Arial"/>
          <w:color w:val="000000"/>
          <w:sz w:val="27"/>
          <w:szCs w:val="27"/>
        </w:rPr>
      </w:pPr>
      <w:r>
        <w:rPr>
          <w:rFonts w:ascii="Arial" w:hAnsi="Arial" w:cs="Arial"/>
          <w:color w:val="FF0000"/>
          <w:sz w:val="27"/>
          <w:szCs w:val="27"/>
        </w:rPr>
        <w:t> </w:t>
      </w:r>
      <w:r>
        <w:rPr>
          <w:rFonts w:ascii="Arial" w:hAnsi="Arial" w:cs="Arial"/>
          <w:color w:val="000000"/>
          <w:sz w:val="27"/>
          <w:szCs w:val="27"/>
        </w:rPr>
        <w:t xml:space="preserve"> </w:t>
      </w:r>
      <w:r>
        <w:rPr>
          <w:rFonts w:hint="eastAsia" w:ascii="Arial" w:hAnsi="Arial" w:cs="Arial"/>
          <w:color w:val="000000"/>
          <w:sz w:val="27"/>
          <w:szCs w:val="27"/>
        </w:rPr>
        <w:t>本部门按照上级指示,执行政府财务会计制度,属行政事业单位。主要从事教育教学及其管理工作。实施义务教育,促进基础教育发展。推进课程改革和教法学法改革;提高学生综合素质;培养学生多样化发展;培养学生良好品德。</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（二）机构设置。</w:t>
      </w:r>
    </w:p>
    <w:p>
      <w:pPr>
        <w:widowControl/>
        <w:shd w:val="clear" w:color="auto" w:fill="FFFFFF"/>
        <w:spacing w:line="420" w:lineRule="atLeast"/>
        <w:ind w:firstLine="480"/>
        <w:jc w:val="left"/>
        <w:rPr>
          <w:rFonts w:ascii="Arial" w:hAnsi="Arial" w:cs="Arial"/>
          <w:color w:val="000000"/>
          <w:sz w:val="27"/>
          <w:szCs w:val="27"/>
        </w:rPr>
      </w:pPr>
      <w:r>
        <w:rPr>
          <w:rFonts w:ascii="Arial" w:hAnsi="Arial" w:cs="Arial"/>
          <w:color w:val="FF0000"/>
          <w:sz w:val="27"/>
          <w:szCs w:val="27"/>
        </w:rPr>
        <w:t> </w:t>
      </w:r>
      <w:r>
        <w:rPr>
          <w:rFonts w:hint="eastAsia" w:ascii="Arial" w:hAnsi="Arial" w:cs="Arial"/>
          <w:color w:val="000000"/>
          <w:sz w:val="27"/>
          <w:szCs w:val="27"/>
        </w:rPr>
        <w:t>本部门独立编制机构数1个。独立核算机构数1个。下设办公室、教导处、德育处、财务室、少先队工作室。</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（三）单位构成。</w:t>
      </w:r>
    </w:p>
    <w:p>
      <w:pPr>
        <w:widowControl/>
        <w:shd w:val="clear" w:color="auto" w:fill="FFFFFF"/>
        <w:spacing w:line="420" w:lineRule="atLeast"/>
        <w:ind w:firstLine="480"/>
        <w:jc w:val="left"/>
        <w:rPr>
          <w:rFonts w:ascii="Arial" w:hAnsi="Arial" w:cs="Arial"/>
          <w:color w:val="000000"/>
          <w:sz w:val="27"/>
          <w:szCs w:val="27"/>
        </w:rPr>
      </w:pPr>
      <w:r>
        <w:rPr>
          <w:rFonts w:ascii="Arial" w:hAnsi="Arial" w:cs="Arial"/>
          <w:color w:val="000000"/>
          <w:sz w:val="27"/>
          <w:szCs w:val="27"/>
        </w:rPr>
        <w:t>  </w:t>
      </w:r>
      <w:r>
        <w:rPr>
          <w:rFonts w:ascii="宋体" w:hAnsi="宋体" w:cs="宋体"/>
          <w:color w:val="333333"/>
          <w:sz w:val="24"/>
          <w:szCs w:val="24"/>
        </w:rPr>
        <w:t xml:space="preserve"> </w:t>
      </w:r>
      <w:r>
        <w:rPr>
          <w:rFonts w:hint="eastAsia" w:ascii="方正仿宋_GBK" w:hAnsi="方正仿宋_GBK" w:eastAsia="方正仿宋_GBK" w:cs="方正仿宋_GBK"/>
          <w:kern w:val="0"/>
          <w:sz w:val="32"/>
          <w:szCs w:val="32"/>
          <w:shd w:val="clear" w:fill="FFFFFF"/>
        </w:rPr>
        <w:t>从预算单位构成看，无纳入本单位</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年度决算编制的下级预算单位。</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33"/>
          <w:szCs w:val="33"/>
        </w:rPr>
        <w:t>  二、部门决算情况说明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（一）收入支出决算总体情况说明。</w:t>
      </w:r>
    </w:p>
    <w:p>
      <w:pPr>
        <w:widowControl/>
        <w:shd w:val="clear" w:color="auto" w:fill="FFFFFF"/>
        <w:spacing w:line="420" w:lineRule="atLeast"/>
        <w:ind w:firstLine="480"/>
        <w:jc w:val="left"/>
        <w:rPr>
          <w:rFonts w:ascii="Arial" w:hAnsi="Arial" w:cs="Arial"/>
          <w:color w:val="000000"/>
          <w:sz w:val="27"/>
          <w:szCs w:val="27"/>
        </w:rPr>
      </w:pPr>
      <w:r>
        <w:rPr>
          <w:rStyle w:val="7"/>
          <w:rFonts w:ascii="Arial" w:hAnsi="Arial" w:cs="Arial"/>
          <w:color w:val="000000"/>
          <w:sz w:val="27"/>
          <w:szCs w:val="27"/>
        </w:rPr>
        <w:t>  1.总体情况。</w:t>
      </w:r>
      <w:r>
        <w:rPr>
          <w:rFonts w:ascii="Arial" w:hAnsi="Arial" w:cs="Arial"/>
          <w:color w:val="000000"/>
          <w:sz w:val="27"/>
          <w:szCs w:val="27"/>
        </w:rPr>
        <w:t>2021年度收入总计994.33万元，支出总计994.33万元。收支较上年决算数增加1.22万元、增长0.1%，主要原因是</w:t>
      </w:r>
      <w:r>
        <w:rPr>
          <w:rFonts w:hint="eastAsia" w:ascii="Arial" w:hAnsi="Arial" w:cs="Arial"/>
          <w:color w:val="000000"/>
          <w:sz w:val="27"/>
          <w:szCs w:val="27"/>
        </w:rPr>
        <w:t>人员工资调整和超额绩效增加导致财政拨款收入增长。</w:t>
      </w:r>
    </w:p>
    <w:p>
      <w:pPr>
        <w:widowControl/>
        <w:shd w:val="clear" w:color="auto" w:fill="FFFFFF"/>
        <w:spacing w:line="420" w:lineRule="atLeast"/>
        <w:ind w:firstLine="480"/>
        <w:jc w:val="left"/>
        <w:rPr>
          <w:rFonts w:ascii="宋体" w:hAnsi="宋体" w:eastAsia="宋体" w:cs="宋体"/>
          <w:color w:val="333333"/>
          <w:kern w:val="0"/>
          <w:sz w:val="24"/>
          <w:szCs w:val="24"/>
        </w:rPr>
      </w:pPr>
      <w:r>
        <w:rPr>
          <w:rStyle w:val="7"/>
          <w:rFonts w:ascii="Arial" w:hAnsi="Arial" w:cs="Arial"/>
          <w:color w:val="000000"/>
          <w:sz w:val="27"/>
          <w:szCs w:val="27"/>
        </w:rPr>
        <w:t>  2.收入情况。</w:t>
      </w:r>
      <w:r>
        <w:rPr>
          <w:rFonts w:ascii="Arial" w:hAnsi="Arial" w:cs="Arial"/>
          <w:color w:val="000000"/>
          <w:sz w:val="27"/>
          <w:szCs w:val="27"/>
        </w:rPr>
        <w:t>2021年度收入合计994.33万元，较上年决算数增加4.41万元，增长0.4%，主要原因是</w:t>
      </w:r>
      <w:r>
        <w:rPr>
          <w:rFonts w:hint="eastAsia" w:ascii="Arial" w:hAnsi="Arial" w:cs="Arial"/>
          <w:color w:val="000000"/>
          <w:sz w:val="27"/>
          <w:szCs w:val="27"/>
        </w:rPr>
        <w:t>人员工资调整和超额绩效增加导致财政拨款收入增长。</w:t>
      </w:r>
      <w:r>
        <w:rPr>
          <w:rFonts w:ascii="Arial" w:hAnsi="Arial" w:cs="Arial"/>
          <w:color w:val="000000"/>
          <w:sz w:val="27"/>
          <w:szCs w:val="27"/>
        </w:rPr>
        <w:t>其中：财政拨款收入980.35万元，占98.6%；事业收入13.98万元，占1.4%；此外，使用非财政拨款结余0.00万元，年初结转和结余0.00万元。</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3.支出情况。</w:t>
      </w:r>
      <w:r>
        <w:rPr>
          <w:rFonts w:ascii="Arial" w:hAnsi="Arial" w:cs="Arial"/>
          <w:color w:val="000000"/>
          <w:sz w:val="27"/>
          <w:szCs w:val="27"/>
        </w:rPr>
        <w:t>2021年度支出合计994.16万元，较上年决算数增加1.05万元，增长0.1%，</w:t>
      </w:r>
      <w:r>
        <w:rPr>
          <w:rFonts w:ascii="Arial" w:hAnsi="Arial" w:cs="Arial" w:eastAsiaTheme="minorEastAsia"/>
          <w:color w:val="000000"/>
          <w:kern w:val="2"/>
          <w:sz w:val="27"/>
          <w:szCs w:val="27"/>
        </w:rPr>
        <w:t>主要原因是</w:t>
      </w:r>
      <w:r>
        <w:rPr>
          <w:rFonts w:hint="eastAsia" w:ascii="Arial" w:hAnsi="Arial" w:cs="Arial" w:eastAsiaTheme="minorEastAsia"/>
          <w:color w:val="000000"/>
          <w:kern w:val="2"/>
          <w:sz w:val="27"/>
          <w:szCs w:val="27"/>
        </w:rPr>
        <w:t>人员工资调整和超额绩效增加导致财政拨款支出增长。</w:t>
      </w:r>
      <w:r>
        <w:rPr>
          <w:rFonts w:ascii="Arial" w:hAnsi="Arial" w:cs="Arial" w:eastAsiaTheme="minorEastAsia"/>
          <w:color w:val="000000"/>
          <w:kern w:val="2"/>
          <w:sz w:val="27"/>
          <w:szCs w:val="27"/>
        </w:rPr>
        <w:t>其中：基本</w:t>
      </w:r>
      <w:r>
        <w:rPr>
          <w:rFonts w:ascii="Arial" w:hAnsi="Arial" w:cs="Arial"/>
          <w:color w:val="000000"/>
          <w:sz w:val="27"/>
          <w:szCs w:val="27"/>
        </w:rPr>
        <w:t>支出913.27万元，占91.9%；项目支出80.89万元，占8.1%。</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4.结转结余情况。</w:t>
      </w:r>
      <w:r>
        <w:rPr>
          <w:rFonts w:ascii="Arial" w:hAnsi="Arial" w:cs="Arial"/>
          <w:color w:val="000000"/>
          <w:sz w:val="27"/>
          <w:szCs w:val="27"/>
        </w:rPr>
        <w:t>2021年度年末结转和结余0.17万元，较上年决算数增加0.17万元，增长</w:t>
      </w:r>
      <w:r>
        <w:rPr>
          <w:rFonts w:hint="eastAsia" w:ascii="Arial" w:hAnsi="Arial" w:cs="Arial"/>
          <w:color w:val="000000"/>
          <w:sz w:val="27"/>
          <w:szCs w:val="27"/>
        </w:rPr>
        <w:t>0</w:t>
      </w:r>
      <w:r>
        <w:rPr>
          <w:rFonts w:ascii="Arial" w:hAnsi="Arial" w:cs="Arial"/>
          <w:color w:val="000000"/>
          <w:sz w:val="27"/>
          <w:szCs w:val="27"/>
        </w:rPr>
        <w:t>%，主要原因</w:t>
      </w:r>
      <w:r>
        <w:rPr>
          <w:rFonts w:hint="eastAsia" w:ascii="Arial" w:hAnsi="Arial" w:cs="Arial"/>
          <w:sz w:val="27"/>
          <w:szCs w:val="27"/>
        </w:rPr>
        <w:t>与上年度持平。</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（二）财政拨款收入支出决算总体情况说明。</w:t>
      </w:r>
    </w:p>
    <w:p>
      <w:pPr>
        <w:pStyle w:val="4"/>
        <w:shd w:val="clear" w:color="auto" w:fill="FFFFFF"/>
        <w:spacing w:before="0" w:beforeAutospacing="0" w:after="0" w:afterAutospacing="0"/>
        <w:rPr>
          <w:rFonts w:ascii="Arial" w:hAnsi="Arial" w:cs="Arial" w:eastAsiaTheme="minorEastAsia"/>
          <w:color w:val="000000"/>
          <w:kern w:val="2"/>
          <w:sz w:val="27"/>
          <w:szCs w:val="27"/>
        </w:rPr>
      </w:pPr>
      <w:r>
        <w:rPr>
          <w:rFonts w:ascii="Arial" w:hAnsi="Arial" w:cs="Arial"/>
          <w:color w:val="000000"/>
          <w:sz w:val="27"/>
          <w:szCs w:val="27"/>
        </w:rPr>
        <w:t>2021年度财政拨款收、支总计980.35万元。与2020年相比，财政拨款收、支总计各增加0.08万元，增长0%。</w:t>
      </w:r>
      <w:r>
        <w:rPr>
          <w:rFonts w:ascii="Arial" w:hAnsi="Arial" w:cs="Arial" w:eastAsiaTheme="minorEastAsia"/>
          <w:color w:val="000000"/>
          <w:kern w:val="2"/>
          <w:sz w:val="27"/>
          <w:szCs w:val="27"/>
        </w:rPr>
        <w:t>主要原因是</w:t>
      </w:r>
      <w:r>
        <w:rPr>
          <w:rFonts w:hint="eastAsia" w:ascii="Arial" w:hAnsi="Arial" w:cs="Arial" w:eastAsiaTheme="minorEastAsia"/>
          <w:color w:val="000000"/>
          <w:kern w:val="2"/>
          <w:sz w:val="27"/>
          <w:szCs w:val="27"/>
        </w:rPr>
        <w:t>人员工资调整和超额绩效增加导致财政拨款收入增长。</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（三）一般公共预算财政拨款收入支出决算情况说明。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1.收入情况。</w:t>
      </w:r>
      <w:r>
        <w:rPr>
          <w:rFonts w:ascii="Arial" w:hAnsi="Arial" w:cs="Arial"/>
          <w:color w:val="000000"/>
          <w:sz w:val="27"/>
          <w:szCs w:val="27"/>
        </w:rPr>
        <w:t>2021年度一般公共预算财政拨款收入980.35万元，较上年决算数增加0.08万元，增长0%。</w:t>
      </w:r>
      <w:r>
        <w:rPr>
          <w:rFonts w:ascii="Arial" w:hAnsi="Arial" w:cs="Arial" w:eastAsiaTheme="minorEastAsia"/>
          <w:color w:val="000000"/>
          <w:kern w:val="2"/>
          <w:sz w:val="27"/>
          <w:szCs w:val="27"/>
        </w:rPr>
        <w:t>主要原因是</w:t>
      </w:r>
      <w:r>
        <w:rPr>
          <w:rFonts w:hint="eastAsia" w:ascii="Arial" w:hAnsi="Arial" w:cs="Arial" w:eastAsiaTheme="minorEastAsia"/>
          <w:color w:val="000000"/>
          <w:kern w:val="2"/>
          <w:sz w:val="27"/>
          <w:szCs w:val="27"/>
        </w:rPr>
        <w:t>人员工资调整和超额绩效增加导致财政拨款收入增长。</w:t>
      </w:r>
      <w:r>
        <w:rPr>
          <w:rFonts w:ascii="Arial" w:hAnsi="Arial" w:cs="Arial" w:eastAsiaTheme="minorEastAsia"/>
          <w:color w:val="000000"/>
          <w:kern w:val="2"/>
          <w:sz w:val="27"/>
          <w:szCs w:val="27"/>
        </w:rPr>
        <w:t>较年初预算数增加262.38万元，增长36.5%。主要原因是</w:t>
      </w:r>
      <w:r>
        <w:rPr>
          <w:rFonts w:hint="eastAsia" w:ascii="Arial" w:hAnsi="Arial" w:cs="Arial" w:eastAsiaTheme="minorEastAsia"/>
          <w:color w:val="000000"/>
          <w:kern w:val="2"/>
          <w:sz w:val="27"/>
          <w:szCs w:val="27"/>
        </w:rPr>
        <w:t>人员工资调整和超额绩效增加导致财政拨款收入增长。</w:t>
      </w:r>
      <w:r>
        <w:rPr>
          <w:rFonts w:ascii="Arial" w:hAnsi="Arial" w:cs="Arial"/>
          <w:color w:val="000000"/>
          <w:sz w:val="27"/>
          <w:szCs w:val="27"/>
        </w:rPr>
        <w:t>此外，年初财政拨款结转和结余0.00万元。</w:t>
      </w:r>
    </w:p>
    <w:p>
      <w:pPr>
        <w:pStyle w:val="4"/>
        <w:shd w:val="clear" w:color="auto" w:fill="FFFFFF"/>
        <w:spacing w:before="0" w:beforeAutospacing="0" w:after="0" w:afterAutospacing="0"/>
        <w:rPr>
          <w:rFonts w:ascii="Arial" w:hAnsi="Arial" w:cs="Arial" w:eastAsiaTheme="minorEastAsia"/>
          <w:color w:val="000000"/>
          <w:kern w:val="2"/>
          <w:sz w:val="27"/>
          <w:szCs w:val="27"/>
        </w:rPr>
      </w:pPr>
      <w:r>
        <w:rPr>
          <w:rStyle w:val="7"/>
          <w:rFonts w:ascii="Arial" w:hAnsi="Arial" w:cs="Arial"/>
          <w:color w:val="000000"/>
          <w:sz w:val="27"/>
          <w:szCs w:val="27"/>
        </w:rPr>
        <w:t>  2.支出情况。</w:t>
      </w:r>
      <w:r>
        <w:rPr>
          <w:rFonts w:ascii="Arial" w:hAnsi="Arial" w:cs="Arial"/>
          <w:color w:val="000000"/>
          <w:sz w:val="27"/>
          <w:szCs w:val="27"/>
        </w:rPr>
        <w:t>2021年度一般公共预算财政拨款支出980.35万元，较上年决算数增加0.08万元，增长0%。</w:t>
      </w:r>
      <w:r>
        <w:rPr>
          <w:rFonts w:ascii="Arial" w:hAnsi="Arial" w:cs="Arial" w:eastAsiaTheme="minorEastAsia"/>
          <w:color w:val="000000"/>
          <w:kern w:val="2"/>
          <w:sz w:val="27"/>
          <w:szCs w:val="27"/>
        </w:rPr>
        <w:t>主要原因是</w:t>
      </w:r>
      <w:r>
        <w:rPr>
          <w:rFonts w:hint="eastAsia" w:ascii="Arial" w:hAnsi="Arial" w:cs="Arial" w:eastAsiaTheme="minorEastAsia"/>
          <w:color w:val="000000"/>
          <w:kern w:val="2"/>
          <w:sz w:val="27"/>
          <w:szCs w:val="27"/>
        </w:rPr>
        <w:t>人员工资调整和超额绩效增加导致财政拨款支出增长。</w:t>
      </w:r>
      <w:r>
        <w:rPr>
          <w:rFonts w:ascii="Arial" w:hAnsi="Arial" w:cs="Arial" w:eastAsiaTheme="minorEastAsia"/>
          <w:color w:val="000000"/>
          <w:kern w:val="2"/>
          <w:sz w:val="27"/>
          <w:szCs w:val="27"/>
        </w:rPr>
        <w:t>较年初预算数增</w:t>
      </w:r>
      <w:r>
        <w:rPr>
          <w:rFonts w:ascii="Arial" w:hAnsi="Arial" w:cs="Arial"/>
          <w:color w:val="000000"/>
          <w:sz w:val="27"/>
          <w:szCs w:val="27"/>
        </w:rPr>
        <w:t>加262.38万元，增长36.5%。</w:t>
      </w:r>
      <w:r>
        <w:rPr>
          <w:rFonts w:ascii="Arial" w:hAnsi="Arial" w:cs="Arial" w:eastAsiaTheme="minorEastAsia"/>
          <w:color w:val="000000"/>
          <w:kern w:val="2"/>
          <w:sz w:val="27"/>
          <w:szCs w:val="27"/>
        </w:rPr>
        <w:t>主要原因是</w:t>
      </w:r>
      <w:r>
        <w:rPr>
          <w:rFonts w:hint="eastAsia" w:ascii="Arial" w:hAnsi="Arial" w:cs="Arial" w:eastAsiaTheme="minorEastAsia"/>
          <w:color w:val="000000"/>
          <w:kern w:val="2"/>
          <w:sz w:val="27"/>
          <w:szCs w:val="27"/>
        </w:rPr>
        <w:t>人员工资调整和超额绩效增加导致财政拨款支出增长。</w:t>
      </w:r>
    </w:p>
    <w:p>
      <w:pPr>
        <w:pStyle w:val="4"/>
        <w:shd w:val="clear" w:color="auto" w:fill="FFFFFF"/>
        <w:spacing w:before="0" w:beforeAutospacing="0" w:after="0" w:afterAutospacing="0"/>
        <w:rPr>
          <w:rFonts w:ascii="Arial" w:hAnsi="Arial" w:cs="Arial"/>
          <w:sz w:val="18"/>
          <w:szCs w:val="18"/>
        </w:rPr>
      </w:pPr>
      <w:r>
        <w:rPr>
          <w:rStyle w:val="7"/>
          <w:rFonts w:ascii="Arial" w:hAnsi="Arial" w:cs="Arial"/>
          <w:color w:val="000000"/>
          <w:sz w:val="27"/>
          <w:szCs w:val="27"/>
        </w:rPr>
        <w:t>  3.结转结余情况。</w:t>
      </w:r>
      <w:r>
        <w:rPr>
          <w:rFonts w:ascii="Arial" w:hAnsi="Arial" w:cs="Arial"/>
          <w:color w:val="000000"/>
          <w:sz w:val="27"/>
          <w:szCs w:val="27"/>
        </w:rPr>
        <w:t>2021年度年末一般公共预算财政拨款结转和结余0.00万元，较上年决算数增加0.00万元，增长</w:t>
      </w:r>
      <w:r>
        <w:rPr>
          <w:rFonts w:hint="eastAsia" w:ascii="Arial" w:hAnsi="Arial" w:cs="Arial"/>
          <w:color w:val="000000"/>
          <w:sz w:val="27"/>
          <w:szCs w:val="27"/>
        </w:rPr>
        <w:t>0</w:t>
      </w:r>
      <w:r>
        <w:rPr>
          <w:rFonts w:ascii="Arial" w:hAnsi="Arial" w:cs="Arial"/>
          <w:color w:val="000000"/>
          <w:sz w:val="27"/>
          <w:szCs w:val="27"/>
        </w:rPr>
        <w:t>%，主要原</w:t>
      </w:r>
      <w:r>
        <w:rPr>
          <w:rFonts w:ascii="Arial" w:hAnsi="Arial" w:cs="Arial"/>
          <w:sz w:val="27"/>
          <w:szCs w:val="27"/>
        </w:rPr>
        <w:t>因是</w:t>
      </w:r>
      <w:r>
        <w:rPr>
          <w:rFonts w:hint="eastAsia" w:ascii="Arial" w:hAnsi="Arial" w:cs="Arial"/>
          <w:sz w:val="27"/>
          <w:szCs w:val="27"/>
        </w:rPr>
        <w:t>与上年度持平。</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4.比较情况。</w:t>
      </w:r>
      <w:r>
        <w:rPr>
          <w:rFonts w:ascii="Arial" w:hAnsi="Arial" w:cs="Arial"/>
          <w:color w:val="000000"/>
          <w:sz w:val="27"/>
          <w:szCs w:val="27"/>
        </w:rPr>
        <w:t>本部门2021年度一般公共预算财政拨款支出主要用于以下几个方面：</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（1）教育支出708.73万元，占72.3%，较年初预算数增加215.83万元，增长43.8%，主要原因是</w:t>
      </w:r>
      <w:r>
        <w:rPr>
          <w:rFonts w:hint="eastAsia" w:ascii="Arial" w:hAnsi="Arial" w:cs="Arial"/>
          <w:color w:val="000000"/>
          <w:sz w:val="27"/>
          <w:szCs w:val="27"/>
        </w:rPr>
        <w:t>人员工资调整和超额绩效增加导致财政拨款收入增长。</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r>
        <w:rPr>
          <w:rFonts w:hint="eastAsia" w:ascii="Arial" w:hAnsi="Arial" w:cs="Arial"/>
          <w:color w:val="000000"/>
          <w:sz w:val="27"/>
          <w:szCs w:val="27"/>
        </w:rPr>
        <w:t>2</w:t>
      </w:r>
      <w:r>
        <w:rPr>
          <w:rFonts w:ascii="Arial" w:hAnsi="Arial" w:cs="Arial"/>
          <w:color w:val="000000"/>
          <w:sz w:val="27"/>
          <w:szCs w:val="27"/>
        </w:rPr>
        <w:t>）社会保障与就业支出176.36万元，占18%，较年初预算数增加37.17万元，增长26.7%，主要原因是</w:t>
      </w:r>
      <w:r>
        <w:rPr>
          <w:rFonts w:hint="eastAsia" w:ascii="Arial" w:hAnsi="Arial" w:cs="Arial"/>
          <w:color w:val="000000"/>
          <w:sz w:val="27"/>
          <w:szCs w:val="27"/>
        </w:rPr>
        <w:t>人员工资调整和超额绩效增加导致财政拨款收入增长。</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r>
        <w:rPr>
          <w:rFonts w:hint="eastAsia" w:ascii="Arial" w:hAnsi="Arial" w:cs="Arial"/>
          <w:color w:val="000000"/>
          <w:sz w:val="27"/>
          <w:szCs w:val="27"/>
        </w:rPr>
        <w:t>3</w:t>
      </w:r>
      <w:r>
        <w:rPr>
          <w:rFonts w:ascii="Arial" w:hAnsi="Arial" w:cs="Arial"/>
          <w:color w:val="000000"/>
          <w:sz w:val="27"/>
          <w:szCs w:val="27"/>
        </w:rPr>
        <w:t>）卫生健康支出54.51万元，占5.6%，较年初预算数增加4.68万元，增长9.4%，主要原因是</w:t>
      </w:r>
      <w:r>
        <w:rPr>
          <w:rFonts w:hint="eastAsia" w:ascii="Arial" w:hAnsi="Arial" w:cs="Arial"/>
          <w:color w:val="000000"/>
          <w:sz w:val="27"/>
          <w:szCs w:val="27"/>
        </w:rPr>
        <w:t>人员工资调整和超额绩效增加导致财政拨款收入增长。</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r>
        <w:rPr>
          <w:rFonts w:hint="eastAsia" w:ascii="Arial" w:hAnsi="Arial" w:cs="Arial"/>
          <w:color w:val="000000"/>
          <w:sz w:val="27"/>
          <w:szCs w:val="27"/>
        </w:rPr>
        <w:t>4</w:t>
      </w:r>
      <w:r>
        <w:rPr>
          <w:rFonts w:ascii="Arial" w:hAnsi="Arial" w:cs="Arial"/>
          <w:color w:val="000000"/>
          <w:sz w:val="27"/>
          <w:szCs w:val="27"/>
        </w:rPr>
        <w:t>）住房保障支出40.75万元，占4.2%，较年初预算数增加4.70万元，增长13%，主要原因是</w:t>
      </w:r>
      <w:r>
        <w:rPr>
          <w:rFonts w:hint="eastAsia" w:ascii="Arial" w:hAnsi="Arial" w:cs="Arial"/>
          <w:color w:val="000000"/>
          <w:sz w:val="27"/>
          <w:szCs w:val="27"/>
        </w:rPr>
        <w:t>人员工资调整和超额绩效增加导致财政拨款收入增长。</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（四）一般公共预算财政拨款基本支出决算情况说明。</w:t>
      </w:r>
    </w:p>
    <w:p>
      <w:pPr>
        <w:widowControl/>
        <w:shd w:val="clear" w:color="auto" w:fill="FFFFFF"/>
        <w:spacing w:line="420" w:lineRule="atLeast"/>
        <w:ind w:firstLine="480"/>
        <w:jc w:val="left"/>
        <w:rPr>
          <w:rFonts w:ascii="Arial" w:hAnsi="Arial" w:eastAsia="宋体" w:cs="Arial"/>
          <w:color w:val="000000"/>
          <w:kern w:val="0"/>
          <w:sz w:val="27"/>
          <w:szCs w:val="27"/>
        </w:rPr>
      </w:pPr>
      <w:r>
        <w:rPr>
          <w:rFonts w:ascii="Arial" w:hAnsi="Arial" w:cs="Arial"/>
          <w:color w:val="000000"/>
          <w:sz w:val="27"/>
          <w:szCs w:val="27"/>
        </w:rPr>
        <w:t>  2021年度一般公共财政拨款基本支出899.47万元。其中：人员经费843.75万元，较上年决算数增加10.67万元，增长1.3%，主要</w:t>
      </w:r>
      <w:r>
        <w:rPr>
          <w:rFonts w:ascii="Arial" w:hAnsi="Arial" w:eastAsia="宋体" w:cs="Arial"/>
          <w:color w:val="000000"/>
          <w:kern w:val="0"/>
          <w:sz w:val="27"/>
          <w:szCs w:val="27"/>
        </w:rPr>
        <w:t>原因是</w:t>
      </w:r>
      <w:r>
        <w:rPr>
          <w:rFonts w:hint="eastAsia" w:ascii="Arial" w:hAnsi="Arial" w:eastAsia="宋体" w:cs="Arial"/>
          <w:color w:val="000000"/>
          <w:kern w:val="0"/>
          <w:sz w:val="27"/>
          <w:szCs w:val="27"/>
        </w:rPr>
        <w:t>人员工资调整和超额绩效增加导致财政拨款收入增长。</w:t>
      </w:r>
      <w:r>
        <w:rPr>
          <w:rFonts w:ascii="Arial" w:hAnsi="Arial" w:eastAsia="宋体" w:cs="Arial"/>
          <w:color w:val="000000"/>
          <w:kern w:val="0"/>
          <w:sz w:val="27"/>
          <w:szCs w:val="27"/>
        </w:rPr>
        <w:t>人员经费用途主要包括</w:t>
      </w:r>
      <w:r>
        <w:rPr>
          <w:rFonts w:hint="eastAsia" w:ascii="Arial" w:hAnsi="Arial" w:eastAsia="宋体" w:cs="Arial"/>
          <w:color w:val="000000"/>
          <w:kern w:val="0"/>
          <w:sz w:val="27"/>
          <w:szCs w:val="27"/>
        </w:rPr>
        <w:t>教职员工工资支出、职工五险两金支出、教职工绩效考评、乡村教师生活补助、退休、遗属人员生活补助。</w:t>
      </w:r>
      <w:r>
        <w:rPr>
          <w:rFonts w:ascii="Arial" w:hAnsi="Arial" w:cs="Arial"/>
          <w:color w:val="000000"/>
          <w:sz w:val="27"/>
          <w:szCs w:val="27"/>
        </w:rPr>
        <w:t>公用经费55.72万元，较上年决算数减少5.55万元，下降9.1%，</w:t>
      </w:r>
      <w:r>
        <w:rPr>
          <w:rFonts w:ascii="Arial" w:hAnsi="Arial" w:eastAsia="宋体" w:cs="Arial"/>
          <w:color w:val="000000"/>
          <w:kern w:val="0"/>
          <w:sz w:val="27"/>
          <w:szCs w:val="27"/>
        </w:rPr>
        <w:t>主要原因是</w:t>
      </w:r>
      <w:r>
        <w:rPr>
          <w:rFonts w:hint="eastAsia" w:ascii="Arial" w:hAnsi="Arial" w:eastAsia="宋体" w:cs="Arial"/>
          <w:color w:val="000000"/>
          <w:kern w:val="0"/>
          <w:sz w:val="27"/>
          <w:szCs w:val="27"/>
        </w:rPr>
        <w:t>生源自然减少后教职工也减少,导致收支亦减少。</w:t>
      </w:r>
      <w:r>
        <w:rPr>
          <w:rFonts w:ascii="Arial" w:hAnsi="Arial" w:eastAsia="宋体" w:cs="Arial"/>
          <w:color w:val="000000"/>
          <w:kern w:val="0"/>
          <w:sz w:val="27"/>
          <w:szCs w:val="27"/>
        </w:rPr>
        <w:t>公用经费用途主要包括</w:t>
      </w:r>
      <w:r>
        <w:rPr>
          <w:rFonts w:hint="eastAsia" w:ascii="Arial" w:hAnsi="Arial" w:eastAsia="宋体" w:cs="Arial"/>
          <w:color w:val="000000"/>
          <w:kern w:val="0"/>
          <w:sz w:val="27"/>
          <w:szCs w:val="27"/>
        </w:rPr>
        <w:t>办公、印刷、咨询、水、电、办公电话、差旅、维修、培训、租赁、劳务、工会、审计、师生活动及福利等支出。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（五）政府性基金预算收支决算情况说明。</w:t>
      </w:r>
    </w:p>
    <w:p>
      <w:pPr>
        <w:pStyle w:val="4"/>
        <w:shd w:val="clear" w:color="auto" w:fill="FFFFFF"/>
        <w:rPr>
          <w:rFonts w:asciiTheme="minorEastAsia" w:hAnsiTheme="minorEastAsia" w:eastAsiaTheme="minorEastAsia"/>
          <w:color w:val="000000" w:themeColor="text1"/>
          <w:sz w:val="28"/>
          <w:szCs w:val="28"/>
          <w:lang w:eastAsia="zh-Hans"/>
          <w14:textFill>
            <w14:solidFill>
              <w14:schemeClr w14:val="tx1"/>
            </w14:solidFill>
          </w14:textFill>
        </w:rPr>
      </w:pPr>
      <w:r>
        <w:rPr>
          <w:rFonts w:ascii="Arial" w:hAnsi="Arial" w:cs="Arial"/>
          <w:color w:val="000000"/>
          <w:sz w:val="27"/>
          <w:szCs w:val="27"/>
        </w:rPr>
        <w:t xml:space="preserve">  </w:t>
      </w:r>
      <w:r>
        <w:rPr>
          <w:rFonts w:hint="eastAsia" w:asciiTheme="minorEastAsia" w:hAnsiTheme="minorEastAsia" w:eastAsiaTheme="minorEastAsia"/>
          <w:color w:val="000000" w:themeColor="text1"/>
          <w:sz w:val="28"/>
          <w:szCs w:val="28"/>
          <w:lang w:eastAsia="zh-Hans"/>
          <w14:textFill>
            <w14:solidFill>
              <w14:schemeClr w14:val="tx1"/>
            </w14:solidFill>
          </w14:textFill>
        </w:rPr>
        <w:t>2021年度政府性基金预算财政拨款年初结转结余0.00万元，年末结转结余0.00万元。本年收入0.00万元，较上年决算数增加0.00万元，增长</w:t>
      </w:r>
      <w:r>
        <w:rPr>
          <w:rFonts w:hint="eastAsia" w:asciiTheme="minorEastAsia" w:hAnsiTheme="minorEastAsia" w:eastAsiaTheme="minorEastAsia"/>
          <w:color w:val="000000" w:themeColor="text1"/>
          <w:sz w:val="28"/>
          <w:szCs w:val="28"/>
          <w14:textFill>
            <w14:solidFill>
              <w14:schemeClr w14:val="tx1"/>
            </w14:solidFill>
          </w14:textFill>
        </w:rPr>
        <w:t>0</w:t>
      </w:r>
      <w:r>
        <w:rPr>
          <w:rFonts w:hint="eastAsia" w:asciiTheme="minorEastAsia" w:hAnsiTheme="minorEastAsia" w:eastAsiaTheme="minorEastAsia"/>
          <w:color w:val="000000" w:themeColor="text1"/>
          <w:sz w:val="28"/>
          <w:szCs w:val="28"/>
          <w:lang w:eastAsia="zh-Hans"/>
          <w14:textFill>
            <w14:solidFill>
              <w14:schemeClr w14:val="tx1"/>
            </w14:solidFill>
          </w14:textFill>
        </w:rPr>
        <w:t>%，主要原因是本年</w:t>
      </w:r>
      <w:r>
        <w:rPr>
          <w:rFonts w:asciiTheme="minorEastAsia" w:hAnsiTheme="minorEastAsia" w:eastAsiaTheme="minorEastAsia"/>
          <w:color w:val="000000" w:themeColor="text1"/>
          <w:sz w:val="28"/>
          <w:szCs w:val="28"/>
          <w:lang w:eastAsia="zh-Hans"/>
          <w14:textFill>
            <w14:solidFill>
              <w14:schemeClr w14:val="tx1"/>
            </w14:solidFill>
          </w14:textFill>
        </w:rPr>
        <w:t>度无政府</w:t>
      </w:r>
      <w:r>
        <w:rPr>
          <w:rFonts w:hint="eastAsia" w:asciiTheme="minorEastAsia" w:hAnsiTheme="minorEastAsia" w:eastAsiaTheme="minorEastAsia"/>
          <w:color w:val="000000" w:themeColor="text1"/>
          <w:sz w:val="28"/>
          <w:szCs w:val="28"/>
          <w:lang w:eastAsia="zh-Hans"/>
          <w14:textFill>
            <w14:solidFill>
              <w14:schemeClr w14:val="tx1"/>
            </w14:solidFill>
          </w14:textFill>
        </w:rPr>
        <w:t>基金收</w:t>
      </w:r>
      <w:r>
        <w:rPr>
          <w:rFonts w:asciiTheme="minorEastAsia" w:hAnsiTheme="minorEastAsia" w:eastAsiaTheme="minorEastAsia"/>
          <w:color w:val="000000" w:themeColor="text1"/>
          <w:sz w:val="28"/>
          <w:szCs w:val="28"/>
          <w:lang w:eastAsia="zh-Hans"/>
          <w14:textFill>
            <w14:solidFill>
              <w14:schemeClr w14:val="tx1"/>
            </w14:solidFill>
          </w14:textFill>
        </w:rPr>
        <w:t>入</w:t>
      </w:r>
      <w:r>
        <w:rPr>
          <w:rFonts w:hint="eastAsia" w:asciiTheme="minorEastAsia" w:hAnsiTheme="minorEastAsia" w:eastAsiaTheme="minorEastAsia"/>
          <w:color w:val="000000" w:themeColor="text1"/>
          <w:sz w:val="28"/>
          <w:szCs w:val="28"/>
          <w:lang w:eastAsia="zh-Hans"/>
          <w14:textFill>
            <w14:solidFill>
              <w14:schemeClr w14:val="tx1"/>
            </w14:solidFill>
          </w14:textFill>
        </w:rPr>
        <w:t>。本年支出0.00万元，较上年决算数增加0.00万元，增长</w:t>
      </w:r>
      <w:r>
        <w:rPr>
          <w:rFonts w:hint="eastAsia" w:asciiTheme="minorEastAsia" w:hAnsiTheme="minorEastAsia" w:eastAsiaTheme="minorEastAsia"/>
          <w:color w:val="000000" w:themeColor="text1"/>
          <w:sz w:val="28"/>
          <w:szCs w:val="28"/>
          <w14:textFill>
            <w14:solidFill>
              <w14:schemeClr w14:val="tx1"/>
            </w14:solidFill>
          </w14:textFill>
        </w:rPr>
        <w:t>0</w:t>
      </w:r>
      <w:r>
        <w:rPr>
          <w:rFonts w:hint="eastAsia" w:asciiTheme="minorEastAsia" w:hAnsiTheme="minorEastAsia" w:eastAsiaTheme="minorEastAsia"/>
          <w:color w:val="000000" w:themeColor="text1"/>
          <w:sz w:val="28"/>
          <w:szCs w:val="28"/>
          <w:lang w:eastAsia="zh-Hans"/>
          <w14:textFill>
            <w14:solidFill>
              <w14:schemeClr w14:val="tx1"/>
            </w14:solidFill>
          </w14:textFill>
        </w:rPr>
        <w:t>%，主要原因是本年</w:t>
      </w:r>
      <w:r>
        <w:rPr>
          <w:rFonts w:asciiTheme="minorEastAsia" w:hAnsiTheme="minorEastAsia" w:eastAsiaTheme="minorEastAsia"/>
          <w:color w:val="000000" w:themeColor="text1"/>
          <w:sz w:val="28"/>
          <w:szCs w:val="28"/>
          <w:lang w:eastAsia="zh-Hans"/>
          <w14:textFill>
            <w14:solidFill>
              <w14:schemeClr w14:val="tx1"/>
            </w14:solidFill>
          </w14:textFill>
        </w:rPr>
        <w:t>度无政府</w:t>
      </w:r>
      <w:r>
        <w:rPr>
          <w:rFonts w:hint="eastAsia" w:asciiTheme="minorEastAsia" w:hAnsiTheme="minorEastAsia" w:eastAsiaTheme="minorEastAsia"/>
          <w:color w:val="000000" w:themeColor="text1"/>
          <w:sz w:val="28"/>
          <w:szCs w:val="28"/>
          <w:lang w:eastAsia="zh-Hans"/>
          <w14:textFill>
            <w14:solidFill>
              <w14:schemeClr w14:val="tx1"/>
            </w14:solidFill>
          </w14:textFill>
        </w:rPr>
        <w:t>基金支出。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（六）国有资本经营预算财政拨款支出决算情况说明。</w:t>
      </w:r>
    </w:p>
    <w:p>
      <w:pPr>
        <w:pStyle w:val="4"/>
        <w:shd w:val="clear" w:color="auto" w:fill="FFFFFF"/>
        <w:rPr>
          <w:rFonts w:asciiTheme="minorEastAsia" w:hAnsiTheme="minorEastAsia" w:eastAsiaTheme="minorEastAsia"/>
          <w:color w:val="000000" w:themeColor="text1"/>
          <w:sz w:val="28"/>
          <w:szCs w:val="28"/>
          <w:lang w:eastAsia="zh-Hans"/>
          <w14:textFill>
            <w14:solidFill>
              <w14:schemeClr w14:val="tx1"/>
            </w14:solidFill>
          </w14:textFill>
        </w:rPr>
      </w:pPr>
      <w:r>
        <w:rPr>
          <w:rFonts w:ascii="Arial" w:hAnsi="Arial" w:cs="Arial"/>
          <w:color w:val="000000"/>
          <w:sz w:val="27"/>
          <w:szCs w:val="27"/>
        </w:rPr>
        <w:t xml:space="preserve">  </w:t>
      </w:r>
      <w:r>
        <w:rPr>
          <w:rFonts w:hint="eastAsia" w:asciiTheme="minorEastAsia" w:hAnsiTheme="minorEastAsia" w:eastAsiaTheme="minorEastAsia"/>
          <w:color w:val="000000" w:themeColor="text1"/>
          <w:sz w:val="28"/>
          <w:szCs w:val="28"/>
          <w:lang w:eastAsia="zh-Hans"/>
          <w14:textFill>
            <w14:solidFill>
              <w14:schemeClr w14:val="tx1"/>
            </w14:solidFill>
          </w14:textFill>
        </w:rPr>
        <w:t>2021年度国有资本经营预算财政拨本年支出0.00万元，基本支出0.00万元，项目支出0.00万元。</w:t>
      </w:r>
    </w:p>
    <w:p>
      <w:pPr>
        <w:pStyle w:val="4"/>
        <w:shd w:val="clear" w:color="auto" w:fill="FFFFFF"/>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Style w:val="7"/>
          <w:rFonts w:hint="eastAsia" w:asciiTheme="minorEastAsia" w:hAnsiTheme="minorEastAsia" w:eastAsiaTheme="minorEastAsia"/>
          <w:color w:val="000000" w:themeColor="text1"/>
          <w:sz w:val="28"/>
          <w:szCs w:val="28"/>
          <w:lang w:eastAsia="zh-Hans"/>
          <w14:textFill>
            <w14:solidFill>
              <w14:schemeClr w14:val="tx1"/>
            </w14:solidFill>
          </w14:textFill>
        </w:rPr>
        <w:t>本部门2021年度无国有资本经营预算财政拨款支出。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三、“三公”经费情况说明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（一）“三公”经费支出总体情况说明。</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2021年度“三公”经费支出共计0.00万元，较年初预算数增加0.00万元，增长</w:t>
      </w:r>
      <w:r>
        <w:rPr>
          <w:rFonts w:hint="eastAsia" w:ascii="Arial" w:hAnsi="Arial" w:cs="Arial"/>
          <w:color w:val="000000"/>
          <w:sz w:val="27"/>
          <w:szCs w:val="27"/>
        </w:rPr>
        <w:t>0</w:t>
      </w:r>
      <w:r>
        <w:rPr>
          <w:rFonts w:ascii="Arial" w:hAnsi="Arial" w:cs="Arial"/>
          <w:color w:val="000000"/>
          <w:sz w:val="27"/>
          <w:szCs w:val="27"/>
        </w:rPr>
        <w:t>%，</w:t>
      </w:r>
      <w:r>
        <w:rPr>
          <w:rFonts w:hint="eastAsia" w:asciiTheme="minorEastAsia" w:hAnsiTheme="minorEastAsia" w:eastAsiaTheme="minorEastAsia"/>
          <w:color w:val="000000" w:themeColor="text1"/>
          <w:sz w:val="28"/>
          <w:szCs w:val="28"/>
          <w:lang w:eastAsia="zh-Hans"/>
          <w14:textFill>
            <w14:solidFill>
              <w14:schemeClr w14:val="tx1"/>
            </w14:solidFill>
          </w14:textFill>
        </w:rPr>
        <w:t>主要原因是</w:t>
      </w:r>
      <w:r>
        <w:rPr>
          <w:rFonts w:hint="eastAsia" w:asciiTheme="minorEastAsia" w:hAnsiTheme="minorEastAsia" w:eastAsiaTheme="minorEastAsia"/>
          <w:color w:val="000000" w:themeColor="text1"/>
          <w:sz w:val="28"/>
          <w:szCs w:val="28"/>
          <w14:textFill>
            <w14:solidFill>
              <w14:schemeClr w14:val="tx1"/>
            </w14:solidFill>
          </w14:textFill>
        </w:rPr>
        <w:t>本单位2021年度未发生</w:t>
      </w:r>
      <w:r>
        <w:rPr>
          <w:rFonts w:hint="eastAsia" w:asciiTheme="minorEastAsia" w:hAnsiTheme="minorEastAsia" w:eastAsiaTheme="minorEastAsia"/>
          <w:color w:val="000000" w:themeColor="text1"/>
          <w:sz w:val="28"/>
          <w:szCs w:val="28"/>
          <w:lang w:eastAsia="zh-Hans"/>
          <w14:textFill>
            <w14:solidFill>
              <w14:schemeClr w14:val="tx1"/>
            </w14:solidFill>
          </w14:textFill>
        </w:rPr>
        <w:t>“三公”经费</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eastAsia="zh-Hans"/>
          <w14:textFill>
            <w14:solidFill>
              <w14:schemeClr w14:val="tx1"/>
            </w14:solidFill>
          </w14:textFill>
        </w:rPr>
        <w:t>。</w:t>
      </w:r>
      <w:r>
        <w:rPr>
          <w:rFonts w:ascii="Arial" w:hAnsi="Arial" w:cs="Arial"/>
          <w:color w:val="000000"/>
          <w:sz w:val="27"/>
          <w:szCs w:val="27"/>
        </w:rPr>
        <w:t>较上年支出数减少0.19万元，下降100%，主要原因是</w:t>
      </w:r>
      <w:r>
        <w:rPr>
          <w:rFonts w:hint="eastAsia" w:ascii="Arial" w:hAnsi="Arial" w:cs="Arial"/>
          <w:color w:val="000000"/>
          <w:sz w:val="27"/>
          <w:szCs w:val="27"/>
        </w:rPr>
        <w:t>减少接待费用支出。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（二）“三公”经费分项支出情况。</w:t>
      </w:r>
    </w:p>
    <w:p>
      <w:pPr>
        <w:pStyle w:val="4"/>
        <w:shd w:val="clear" w:color="auto" w:fill="FFFFFF"/>
        <w:spacing w:before="0" w:beforeAutospacing="0" w:after="0" w:afterAutospacing="0"/>
        <w:ind w:firstLine="540" w:firstLineChars="200"/>
        <w:rPr>
          <w:rFonts w:ascii="Arial" w:hAnsi="Arial" w:cs="Arial"/>
          <w:color w:val="000000"/>
          <w:sz w:val="18"/>
          <w:szCs w:val="18"/>
        </w:rPr>
      </w:pPr>
      <w:r>
        <w:rPr>
          <w:rFonts w:ascii="Arial" w:hAnsi="Arial" w:cs="Arial"/>
          <w:color w:val="000000"/>
          <w:sz w:val="27"/>
          <w:szCs w:val="27"/>
        </w:rPr>
        <w:t>  2021年度本部门因公出国（境）费用0.00万元，主要是</w:t>
      </w:r>
      <w:r>
        <w:rPr>
          <w:rFonts w:hint="eastAsia" w:asciiTheme="minorEastAsia" w:hAnsiTheme="minorEastAsia" w:eastAsiaTheme="minorEastAsia"/>
          <w:color w:val="000000" w:themeColor="text1"/>
          <w:sz w:val="28"/>
          <w:szCs w:val="28"/>
          <w14:textFill>
            <w14:solidFill>
              <w14:schemeClr w14:val="tx1"/>
            </w14:solidFill>
          </w14:textFill>
        </w:rPr>
        <w:t>本单位2021年度未发生</w:t>
      </w:r>
      <w:r>
        <w:rPr>
          <w:rFonts w:ascii="Arial" w:hAnsi="Arial" w:cs="Arial"/>
          <w:color w:val="000000"/>
          <w:sz w:val="27"/>
          <w:szCs w:val="27"/>
        </w:rPr>
        <w:t>因公出国（境）费用</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eastAsia="zh-Hans"/>
          <w14:textFill>
            <w14:solidFill>
              <w14:schemeClr w14:val="tx1"/>
            </w14:solidFill>
          </w14:textFill>
        </w:rPr>
        <w:t>。</w:t>
      </w:r>
      <w:r>
        <w:rPr>
          <w:rFonts w:ascii="Arial" w:hAnsi="Arial" w:cs="Arial"/>
          <w:color w:val="000000"/>
          <w:sz w:val="27"/>
          <w:szCs w:val="27"/>
        </w:rPr>
        <w:t>费用支出较年初预算数增加0.00万元，增长</w:t>
      </w:r>
      <w:r>
        <w:rPr>
          <w:rFonts w:hint="eastAsia" w:ascii="Arial" w:hAnsi="Arial" w:cs="Arial"/>
          <w:color w:val="000000"/>
          <w:sz w:val="27"/>
          <w:szCs w:val="27"/>
        </w:rPr>
        <w:t>0</w:t>
      </w:r>
      <w:r>
        <w:rPr>
          <w:rFonts w:ascii="Arial" w:hAnsi="Arial" w:cs="Arial"/>
          <w:color w:val="000000"/>
          <w:sz w:val="27"/>
          <w:szCs w:val="27"/>
        </w:rPr>
        <w:t>%，主要原因是</w:t>
      </w:r>
      <w:r>
        <w:rPr>
          <w:rFonts w:hint="eastAsia" w:asciiTheme="minorEastAsia" w:hAnsiTheme="minorEastAsia" w:eastAsiaTheme="minorEastAsia"/>
          <w:color w:val="000000" w:themeColor="text1"/>
          <w:sz w:val="28"/>
          <w:szCs w:val="28"/>
          <w14:textFill>
            <w14:solidFill>
              <w14:schemeClr w14:val="tx1"/>
            </w14:solidFill>
          </w14:textFill>
        </w:rPr>
        <w:t>与上年持平。</w:t>
      </w:r>
      <w:r>
        <w:rPr>
          <w:rFonts w:ascii="Arial" w:hAnsi="Arial" w:cs="Arial"/>
          <w:color w:val="000000"/>
          <w:sz w:val="27"/>
          <w:szCs w:val="27"/>
        </w:rPr>
        <w:t>较上年支出数增加0.00万元，增长</w:t>
      </w:r>
      <w:r>
        <w:rPr>
          <w:rFonts w:hint="eastAsia" w:ascii="Arial" w:hAnsi="Arial" w:cs="Arial"/>
          <w:color w:val="000000"/>
          <w:sz w:val="27"/>
          <w:szCs w:val="27"/>
        </w:rPr>
        <w:t>0</w:t>
      </w:r>
      <w:r>
        <w:rPr>
          <w:rFonts w:ascii="Arial" w:hAnsi="Arial" w:cs="Arial"/>
          <w:color w:val="000000"/>
          <w:sz w:val="27"/>
          <w:szCs w:val="27"/>
        </w:rPr>
        <w:t>%，主要原因是</w:t>
      </w:r>
      <w:r>
        <w:rPr>
          <w:rFonts w:hint="eastAsia" w:asciiTheme="minorEastAsia" w:hAnsiTheme="minorEastAsia" w:eastAsiaTheme="minorEastAsia"/>
          <w:color w:val="000000" w:themeColor="text1"/>
          <w:sz w:val="28"/>
          <w:szCs w:val="28"/>
          <w14:textFill>
            <w14:solidFill>
              <w14:schemeClr w14:val="tx1"/>
            </w14:solidFill>
          </w14:textFill>
        </w:rPr>
        <w:t>与上年持平。</w:t>
      </w:r>
    </w:p>
    <w:p>
      <w:pPr>
        <w:pStyle w:val="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hint="eastAsia" w:ascii="Arial" w:hAnsi="Arial" w:cs="Arial"/>
          <w:color w:val="000000"/>
          <w:sz w:val="27"/>
          <w:szCs w:val="27"/>
        </w:rPr>
        <w:t xml:space="preserve">  </w:t>
      </w:r>
      <w:r>
        <w:rPr>
          <w:rFonts w:ascii="Arial" w:hAnsi="Arial" w:cs="Arial"/>
          <w:color w:val="000000"/>
          <w:sz w:val="27"/>
          <w:szCs w:val="27"/>
        </w:rPr>
        <w:t>公务车购置费0.00万元，</w:t>
      </w:r>
      <w:r>
        <w:rPr>
          <w:rFonts w:hint="eastAsia" w:asciiTheme="minorEastAsia" w:hAnsiTheme="minorEastAsia" w:eastAsiaTheme="minorEastAsia"/>
          <w:color w:val="000000" w:themeColor="text1"/>
          <w:sz w:val="28"/>
          <w:szCs w:val="28"/>
          <w:lang w:eastAsia="zh-Hans"/>
          <w14:textFill>
            <w14:solidFill>
              <w14:schemeClr w14:val="tx1"/>
            </w14:solidFill>
          </w14:textFill>
        </w:rPr>
        <w:t>主要</w:t>
      </w:r>
      <w:r>
        <w:rPr>
          <w:rFonts w:hint="eastAsia" w:asciiTheme="minorEastAsia" w:hAnsiTheme="minorEastAsia" w:eastAsiaTheme="minorEastAsia"/>
          <w:color w:val="000000" w:themeColor="text1"/>
          <w:sz w:val="28"/>
          <w:szCs w:val="28"/>
          <w14:textFill>
            <w14:solidFill>
              <w14:schemeClr w14:val="tx1"/>
            </w14:solidFill>
          </w14:textFill>
        </w:rPr>
        <w:t>是本单位2021年度未发生</w:t>
      </w:r>
      <w:r>
        <w:rPr>
          <w:rFonts w:hint="eastAsia" w:asciiTheme="minorEastAsia" w:hAnsiTheme="minorEastAsia" w:eastAsiaTheme="minorEastAsia"/>
          <w:color w:val="000000" w:themeColor="text1"/>
          <w:sz w:val="28"/>
          <w:szCs w:val="28"/>
          <w:lang w:eastAsia="zh-Hans"/>
          <w14:textFill>
            <w14:solidFill>
              <w14:schemeClr w14:val="tx1"/>
            </w14:solidFill>
          </w14:textFill>
        </w:rPr>
        <w:t>公务车购置费</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eastAsia="zh-Hans"/>
          <w14:textFill>
            <w14:solidFill>
              <w14:schemeClr w14:val="tx1"/>
            </w14:solidFill>
          </w14:textFill>
        </w:rPr>
        <w:t>。</w:t>
      </w:r>
      <w:r>
        <w:rPr>
          <w:rFonts w:ascii="Arial" w:hAnsi="Arial" w:cs="Arial"/>
          <w:color w:val="000000"/>
          <w:sz w:val="27"/>
          <w:szCs w:val="27"/>
        </w:rPr>
        <w:t>费用支出较年初预算数增加0.00万元，增长</w:t>
      </w:r>
      <w:r>
        <w:rPr>
          <w:rFonts w:hint="eastAsia" w:ascii="Arial" w:hAnsi="Arial" w:cs="Arial"/>
          <w:color w:val="000000"/>
          <w:sz w:val="27"/>
          <w:szCs w:val="27"/>
        </w:rPr>
        <w:t>0</w:t>
      </w:r>
      <w:r>
        <w:rPr>
          <w:rFonts w:ascii="Arial" w:hAnsi="Arial" w:cs="Arial"/>
          <w:color w:val="000000"/>
          <w:sz w:val="27"/>
          <w:szCs w:val="27"/>
        </w:rPr>
        <w:t>%，主要原因是</w:t>
      </w:r>
      <w:r>
        <w:rPr>
          <w:rFonts w:hint="eastAsia" w:asciiTheme="minorEastAsia" w:hAnsiTheme="minorEastAsia" w:eastAsiaTheme="minorEastAsia"/>
          <w:color w:val="000000" w:themeColor="text1"/>
          <w:sz w:val="28"/>
          <w:szCs w:val="28"/>
          <w14:textFill>
            <w14:solidFill>
              <w14:schemeClr w14:val="tx1"/>
            </w14:solidFill>
          </w14:textFill>
        </w:rPr>
        <w:t>与上年持平。</w:t>
      </w:r>
      <w:r>
        <w:rPr>
          <w:rFonts w:ascii="Arial" w:hAnsi="Arial" w:cs="Arial"/>
          <w:color w:val="000000"/>
          <w:sz w:val="27"/>
          <w:szCs w:val="27"/>
        </w:rPr>
        <w:t>较上年支出数增加0.00万元，增长%，主要原因是</w:t>
      </w:r>
      <w:r>
        <w:rPr>
          <w:rFonts w:hint="eastAsia" w:asciiTheme="minorEastAsia" w:hAnsiTheme="minorEastAsia" w:eastAsiaTheme="minorEastAsia"/>
          <w:color w:val="000000" w:themeColor="text1"/>
          <w:sz w:val="28"/>
          <w:szCs w:val="28"/>
          <w14:textFill>
            <w14:solidFill>
              <w14:schemeClr w14:val="tx1"/>
            </w14:solidFill>
          </w14:textFill>
        </w:rPr>
        <w:t>与上年持平。</w:t>
      </w:r>
    </w:p>
    <w:p>
      <w:pPr>
        <w:widowControl/>
        <w:shd w:val="clear" w:color="auto" w:fill="FFFFFF"/>
        <w:spacing w:line="420" w:lineRule="atLeast"/>
        <w:ind w:firstLine="480"/>
        <w:jc w:val="left"/>
        <w:rPr>
          <w:rFonts w:ascii="Arial" w:hAnsi="Arial" w:eastAsia="宋体" w:cs="Arial"/>
          <w:color w:val="000000"/>
          <w:kern w:val="0"/>
          <w:sz w:val="27"/>
          <w:szCs w:val="27"/>
        </w:rPr>
      </w:pPr>
      <w:r>
        <w:rPr>
          <w:rFonts w:ascii="Arial" w:hAnsi="Arial" w:cs="Arial"/>
          <w:color w:val="000000"/>
          <w:sz w:val="27"/>
          <w:szCs w:val="27"/>
        </w:rPr>
        <w:t> </w:t>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rPr>
        <w:t>公务车运行维护费0.00万元。主要是本年度未发生公务车运行维护支出,与年初预算数持平。</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xml:space="preserve">  </w:t>
      </w:r>
      <w:r>
        <w:rPr>
          <w:rFonts w:hint="eastAsia" w:ascii="Arial" w:hAnsi="Arial" w:cs="Arial"/>
          <w:color w:val="000000"/>
          <w:sz w:val="27"/>
          <w:szCs w:val="27"/>
        </w:rPr>
        <w:t xml:space="preserve">  </w:t>
      </w:r>
      <w:r>
        <w:rPr>
          <w:rFonts w:ascii="Arial" w:hAnsi="Arial" w:cs="Arial"/>
          <w:color w:val="000000"/>
          <w:sz w:val="27"/>
          <w:szCs w:val="27"/>
        </w:rPr>
        <w:t>公务接待费0.00万元，</w:t>
      </w:r>
      <w:r>
        <w:rPr>
          <w:rFonts w:hint="eastAsia" w:asciiTheme="minorEastAsia" w:hAnsiTheme="minorEastAsia" w:eastAsiaTheme="minorEastAsia"/>
          <w:color w:val="000000" w:themeColor="text1"/>
          <w:sz w:val="28"/>
          <w:szCs w:val="28"/>
          <w:lang w:eastAsia="zh-Hans"/>
          <w14:textFill>
            <w14:solidFill>
              <w14:schemeClr w14:val="tx1"/>
            </w14:solidFill>
          </w14:textFill>
        </w:rPr>
        <w:t>主要</w:t>
      </w:r>
      <w:r>
        <w:rPr>
          <w:rFonts w:hint="eastAsia" w:asciiTheme="minorEastAsia" w:hAnsiTheme="minorEastAsia" w:eastAsiaTheme="minorEastAsia"/>
          <w:color w:val="000000" w:themeColor="text1"/>
          <w:sz w:val="28"/>
          <w:szCs w:val="28"/>
          <w14:textFill>
            <w14:solidFill>
              <w14:schemeClr w14:val="tx1"/>
            </w14:solidFill>
          </w14:textFill>
        </w:rPr>
        <w:t>是本单位2021年度未发生</w:t>
      </w:r>
      <w:r>
        <w:rPr>
          <w:rFonts w:hint="eastAsia" w:asciiTheme="minorEastAsia" w:hAnsiTheme="minorEastAsia" w:eastAsiaTheme="minorEastAsia"/>
          <w:color w:val="000000" w:themeColor="text1"/>
          <w:sz w:val="28"/>
          <w:szCs w:val="28"/>
          <w:lang w:eastAsia="zh-Hans"/>
          <w14:textFill>
            <w14:solidFill>
              <w14:schemeClr w14:val="tx1"/>
            </w14:solidFill>
          </w14:textFill>
        </w:rPr>
        <w:t>公务接待费</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eastAsia="zh-Hans"/>
          <w14:textFill>
            <w14:solidFill>
              <w14:schemeClr w14:val="tx1"/>
            </w14:solidFill>
          </w14:textFill>
        </w:rPr>
        <w:t>。</w:t>
      </w:r>
      <w:r>
        <w:rPr>
          <w:rFonts w:ascii="Arial" w:hAnsi="Arial" w:cs="Arial"/>
          <w:color w:val="000000"/>
          <w:sz w:val="27"/>
          <w:szCs w:val="27"/>
        </w:rPr>
        <w:t>费用支出较年初预算数增加0.00万元，增长</w:t>
      </w:r>
      <w:r>
        <w:rPr>
          <w:rFonts w:hint="eastAsia" w:ascii="Arial" w:hAnsi="Arial" w:cs="Arial"/>
          <w:color w:val="000000"/>
          <w:sz w:val="27"/>
          <w:szCs w:val="27"/>
        </w:rPr>
        <w:t>0</w:t>
      </w:r>
      <w:r>
        <w:rPr>
          <w:rFonts w:ascii="Arial" w:hAnsi="Arial" w:cs="Arial"/>
          <w:color w:val="000000"/>
          <w:sz w:val="27"/>
          <w:szCs w:val="27"/>
        </w:rPr>
        <w:t>%，主要原因是</w:t>
      </w:r>
      <w:r>
        <w:rPr>
          <w:rFonts w:hint="eastAsia" w:asciiTheme="minorEastAsia" w:hAnsiTheme="minorEastAsia" w:eastAsiaTheme="minorEastAsia"/>
          <w:color w:val="000000" w:themeColor="text1"/>
          <w:sz w:val="28"/>
          <w:szCs w:val="28"/>
          <w14:textFill>
            <w14:solidFill>
              <w14:schemeClr w14:val="tx1"/>
            </w14:solidFill>
          </w14:textFill>
        </w:rPr>
        <w:t>与上年持平。</w:t>
      </w:r>
      <w:r>
        <w:rPr>
          <w:rFonts w:ascii="Arial" w:hAnsi="Arial" w:cs="Arial"/>
          <w:color w:val="000000"/>
          <w:sz w:val="27"/>
          <w:szCs w:val="27"/>
        </w:rPr>
        <w:t>较上年支出数减少0.19万元，下降100%，主要原因是</w:t>
      </w:r>
      <w:r>
        <w:rPr>
          <w:rFonts w:hint="eastAsia" w:ascii="Arial" w:hAnsi="Arial" w:cs="Arial"/>
          <w:color w:val="000000"/>
          <w:sz w:val="27"/>
          <w:szCs w:val="27"/>
        </w:rPr>
        <w:t>减少接待费用支出。</w:t>
      </w:r>
    </w:p>
    <w:p>
      <w:pPr>
        <w:pStyle w:val="4"/>
        <w:shd w:val="clear" w:color="auto" w:fill="FFFFFF"/>
        <w:spacing w:before="0" w:beforeAutospacing="0" w:after="0" w:afterAutospacing="0"/>
        <w:ind w:firstLine="542" w:firstLineChars="200"/>
        <w:rPr>
          <w:rFonts w:ascii="Arial" w:hAnsi="Arial" w:cs="Arial"/>
          <w:color w:val="000000"/>
          <w:sz w:val="18"/>
          <w:szCs w:val="18"/>
        </w:rPr>
      </w:pPr>
      <w:r>
        <w:rPr>
          <w:rStyle w:val="7"/>
          <w:rFonts w:ascii="Arial" w:hAnsi="Arial" w:cs="Arial"/>
          <w:color w:val="000000"/>
          <w:sz w:val="27"/>
          <w:szCs w:val="27"/>
        </w:rPr>
        <w:t>  （三）“三公”经费实物量情况。</w:t>
      </w:r>
    </w:p>
    <w:p>
      <w:pPr>
        <w:pStyle w:val="4"/>
        <w:shd w:val="clear" w:color="auto" w:fill="FFFFFF"/>
        <w:spacing w:before="0" w:beforeAutospacing="0" w:after="0" w:afterAutospacing="0"/>
        <w:ind w:firstLine="540" w:firstLineChars="200"/>
        <w:rPr>
          <w:rFonts w:ascii="Arial" w:hAnsi="Arial" w:cs="Arial"/>
          <w:color w:val="000000"/>
          <w:sz w:val="18"/>
          <w:szCs w:val="18"/>
        </w:rPr>
      </w:pPr>
      <w:r>
        <w:rPr>
          <w:rFonts w:ascii="Arial" w:hAnsi="Arial" w:cs="Arial"/>
          <w:color w:val="000000"/>
          <w:sz w:val="27"/>
          <w:szCs w:val="27"/>
        </w:rPr>
        <w:t>  2021年度本部门因公出国（境）共计0个团组，0人；公务用车购置0辆，公务车保有量为0辆；国内公务接待0批次0人，其中：国内外事接待0批次，0人；国（境）外公务接待0批次，0人。2021年本部门人均接待费0.00元，车均购置费0.00万元，车均维护费0.00万元。</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四、其他需要说明的事项</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（一）一般公共预算财政拨款会议费和培训费情况说明。</w:t>
      </w:r>
    </w:p>
    <w:p>
      <w:pPr>
        <w:pStyle w:val="4"/>
        <w:shd w:val="clear" w:color="auto" w:fill="FFFFFF"/>
        <w:spacing w:before="0" w:beforeAutospacing="0" w:after="0" w:afterAutospacing="0"/>
        <w:ind w:firstLine="540" w:firstLineChars="200"/>
        <w:rPr>
          <w:rFonts w:ascii="Arial" w:hAnsi="Arial" w:cs="Arial"/>
          <w:color w:val="000000"/>
          <w:sz w:val="18"/>
          <w:szCs w:val="18"/>
        </w:rPr>
      </w:pPr>
      <w:r>
        <w:rPr>
          <w:rFonts w:ascii="Arial" w:hAnsi="Arial" w:cs="Arial"/>
          <w:color w:val="000000"/>
          <w:sz w:val="27"/>
          <w:szCs w:val="27"/>
        </w:rPr>
        <w:t>  本年度会议费支出0.00万元，较上年决算数增加0.00万元，增长%，</w:t>
      </w:r>
      <w:r>
        <w:rPr>
          <w:rFonts w:hint="eastAsia" w:asciiTheme="minorEastAsia" w:hAnsiTheme="minorEastAsia" w:eastAsiaTheme="minorEastAsia"/>
          <w:color w:val="000000" w:themeColor="text1"/>
          <w:sz w:val="28"/>
          <w:szCs w:val="28"/>
          <w:lang w:eastAsia="zh-Hans"/>
          <w14:textFill>
            <w14:solidFill>
              <w14:schemeClr w14:val="tx1"/>
            </w14:solidFill>
          </w14:textFill>
        </w:rPr>
        <w:t>主要原因是</w:t>
      </w:r>
      <w:r>
        <w:rPr>
          <w:rFonts w:hint="eastAsia" w:asciiTheme="minorEastAsia" w:hAnsiTheme="minorEastAsia" w:eastAsiaTheme="minorEastAsia"/>
          <w:color w:val="000000" w:themeColor="text1"/>
          <w:sz w:val="28"/>
          <w:szCs w:val="28"/>
          <w14:textFill>
            <w14:solidFill>
              <w14:schemeClr w14:val="tx1"/>
            </w14:solidFill>
          </w14:textFill>
        </w:rPr>
        <w:t>本单位2021年度未发生</w:t>
      </w:r>
      <w:r>
        <w:rPr>
          <w:rFonts w:hint="eastAsia" w:asciiTheme="minorEastAsia" w:hAnsiTheme="minorEastAsia" w:eastAsiaTheme="minorEastAsia"/>
          <w:color w:val="000000" w:themeColor="text1"/>
          <w:sz w:val="28"/>
          <w:szCs w:val="28"/>
          <w:lang w:eastAsia="zh-Hans"/>
          <w14:textFill>
            <w14:solidFill>
              <w14:schemeClr w14:val="tx1"/>
            </w14:solidFill>
          </w14:textFill>
        </w:rPr>
        <w:t>会议费</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eastAsia="zh-Hans"/>
          <w14:textFill>
            <w14:solidFill>
              <w14:schemeClr w14:val="tx1"/>
            </w14:solidFill>
          </w14:textFill>
        </w:rPr>
        <w:t>。</w:t>
      </w:r>
      <w:r>
        <w:rPr>
          <w:rFonts w:ascii="Arial" w:hAnsi="Arial" w:cs="Arial"/>
          <w:color w:val="000000"/>
          <w:sz w:val="27"/>
          <w:szCs w:val="27"/>
        </w:rPr>
        <w:t>本年度培训费支出3.15万元，较上年决算数减少0.67万元，下降17.5%，主要原因是</w:t>
      </w:r>
      <w:r>
        <w:rPr>
          <w:rFonts w:hint="eastAsia"/>
          <w:color w:val="333333"/>
        </w:rPr>
        <w:t>教育科研活动次数减少,导致支出减少。</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（二）机关运行经费情况说明。</w:t>
      </w:r>
    </w:p>
    <w:p>
      <w:pPr>
        <w:pStyle w:val="4"/>
        <w:shd w:val="clear" w:color="auto" w:fill="FFFFFF"/>
        <w:ind w:firstLine="540" w:firstLineChars="200"/>
        <w:rPr>
          <w:rStyle w:val="7"/>
          <w:rFonts w:asciiTheme="minorEastAsia" w:hAnsiTheme="minorEastAsia" w:eastAsiaTheme="minorEastAsia"/>
          <w:color w:val="000000" w:themeColor="text1"/>
          <w:sz w:val="28"/>
          <w:szCs w:val="28"/>
          <w14:textFill>
            <w14:solidFill>
              <w14:schemeClr w14:val="tx1"/>
            </w14:solidFill>
          </w14:textFill>
        </w:rPr>
      </w:pPr>
      <w:r>
        <w:rPr>
          <w:rFonts w:ascii="Arial" w:hAnsi="Arial" w:cs="Arial"/>
          <w:color w:val="000000"/>
          <w:sz w:val="27"/>
          <w:szCs w:val="27"/>
        </w:rPr>
        <w:t xml:space="preserve">  </w:t>
      </w:r>
      <w:r>
        <w:rPr>
          <w:rFonts w:hint="eastAsia" w:asciiTheme="minorEastAsia" w:hAnsiTheme="minorEastAsia" w:eastAsiaTheme="minorEastAsia"/>
          <w:color w:val="000000" w:themeColor="text1"/>
          <w:sz w:val="28"/>
          <w:szCs w:val="28"/>
          <w:lang w:eastAsia="zh-Hans"/>
          <w14:textFill>
            <w14:solidFill>
              <w14:schemeClr w14:val="tx1"/>
            </w14:solidFill>
          </w14:textFill>
        </w:rPr>
        <w:t>2021年度本部门机关运行经费支出0.00万元</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eastAsia="zh-Hans"/>
          <w14:textFill>
            <w14:solidFill>
              <w14:schemeClr w14:val="tx1"/>
            </w14:solidFill>
          </w14:textFill>
        </w:rPr>
        <w:t>机关运行经费较上年决</w:t>
      </w:r>
      <w:r>
        <w:rPr>
          <w:rStyle w:val="7"/>
          <w:rFonts w:hint="eastAsia" w:asciiTheme="minorEastAsia" w:hAnsiTheme="minorEastAsia" w:eastAsiaTheme="minorEastAsia"/>
          <w:color w:val="000000" w:themeColor="text1"/>
          <w:sz w:val="28"/>
          <w:szCs w:val="28"/>
          <w14:textFill>
            <w14:solidFill>
              <w14:schemeClr w14:val="tx1"/>
            </w14:solidFill>
          </w14:textFill>
        </w:rPr>
        <w:t>算数增加0.00万元，增长0%.</w:t>
      </w:r>
    </w:p>
    <w:p>
      <w:pPr>
        <w:pStyle w:val="4"/>
        <w:shd w:val="clear" w:color="auto" w:fill="FFFFFF"/>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Style w:val="7"/>
          <w:rFonts w:hint="eastAsia" w:asciiTheme="minorEastAsia" w:hAnsiTheme="minorEastAsia" w:eastAsiaTheme="minorEastAsia"/>
          <w:color w:val="000000" w:themeColor="text1"/>
          <w:sz w:val="28"/>
          <w:szCs w:val="28"/>
          <w14:textFill>
            <w14:solidFill>
              <w14:schemeClr w14:val="tx1"/>
            </w14:solidFill>
          </w14:textFill>
        </w:rPr>
        <w:t xml:space="preserve">说明：按照部门决算列报口径，我单位不在机关运行经费统计范围之内。  </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（三）国有资产占用情况说明。</w:t>
      </w:r>
    </w:p>
    <w:p>
      <w:pPr>
        <w:pStyle w:val="4"/>
        <w:shd w:val="clear" w:color="auto" w:fill="FFFFFF"/>
        <w:ind w:firstLine="540" w:firstLineChars="200"/>
        <w:rPr>
          <w:rFonts w:hint="eastAsia" w:ascii="Arial" w:hAnsi="Arial" w:cs="Arial"/>
          <w:color w:val="000000"/>
          <w:sz w:val="27"/>
          <w:szCs w:val="27"/>
        </w:rPr>
      </w:pPr>
      <w:r>
        <w:rPr>
          <w:rFonts w:ascii="Arial" w:hAnsi="Arial" w:cs="Arial"/>
          <w:color w:val="000000"/>
          <w:sz w:val="27"/>
          <w:szCs w:val="27"/>
        </w:rPr>
        <w:t>  截至2021年12月31日，本部门共有车辆0辆，其中，副部（省）级及以上领导用车0辆、主要领导干部用车0辆、机要通信用车0辆、应急保障用车0辆、执法执勤用车0辆，特种专业技术用车0辆，离退休干部用车0辆，其他用车0辆</w:t>
      </w:r>
      <w:r>
        <w:rPr>
          <w:rFonts w:hint="eastAsia" w:ascii="Arial" w:hAnsi="Arial" w:cs="Arial"/>
          <w:color w:val="000000"/>
          <w:sz w:val="27"/>
          <w:szCs w:val="27"/>
        </w:rPr>
        <w:t>。</w:t>
      </w:r>
      <w:r>
        <w:rPr>
          <w:rFonts w:ascii="Arial" w:hAnsi="Arial" w:cs="Arial"/>
          <w:color w:val="000000"/>
          <w:sz w:val="27"/>
          <w:szCs w:val="27"/>
        </w:rPr>
        <w:t>单价50万元（含）以上通用设备0台（套），单价100万元（含）以上专用设备0台（套）。</w:t>
      </w:r>
    </w:p>
    <w:p>
      <w:pPr>
        <w:pStyle w:val="4"/>
        <w:shd w:val="clear" w:color="auto" w:fill="FFFFFF"/>
        <w:ind w:firstLine="542" w:firstLineChars="200"/>
        <w:rPr>
          <w:rFonts w:asciiTheme="minorEastAsia" w:hAnsiTheme="minorEastAsia" w:eastAsiaTheme="minorEastAsia"/>
          <w:b/>
          <w:bCs/>
          <w:color w:val="000000" w:themeColor="text1"/>
          <w:sz w:val="28"/>
          <w:szCs w:val="28"/>
          <w:lang w:eastAsia="zh-Hans"/>
          <w14:textFill>
            <w14:solidFill>
              <w14:schemeClr w14:val="tx1"/>
            </w14:solidFill>
          </w14:textFill>
        </w:rPr>
      </w:pPr>
      <w:r>
        <w:rPr>
          <w:rFonts w:hint="eastAsia" w:ascii="Arial" w:hAnsi="Arial" w:cs="Arial"/>
          <w:b/>
          <w:color w:val="000000"/>
          <w:sz w:val="27"/>
          <w:szCs w:val="27"/>
        </w:rPr>
        <w:t>说明</w:t>
      </w:r>
      <w:r>
        <w:rPr>
          <w:rFonts w:hint="eastAsia" w:ascii="Arial" w:hAnsi="Arial" w:cs="Arial"/>
          <w:color w:val="000000"/>
          <w:sz w:val="27"/>
          <w:szCs w:val="27"/>
        </w:rPr>
        <w:t>：</w:t>
      </w:r>
      <w:r>
        <w:rPr>
          <w:rStyle w:val="7"/>
          <w:rFonts w:hint="eastAsia" w:asciiTheme="minorEastAsia" w:hAnsiTheme="minorEastAsia" w:eastAsiaTheme="minorEastAsia"/>
          <w:color w:val="000000" w:themeColor="text1"/>
          <w:sz w:val="28"/>
          <w:szCs w:val="28"/>
          <w:lang w:eastAsia="zh-Hans"/>
          <w14:textFill>
            <w14:solidFill>
              <w14:schemeClr w14:val="tx1"/>
            </w14:solidFill>
          </w14:textFill>
        </w:rPr>
        <w:t>因本单位</w:t>
      </w:r>
      <w:r>
        <w:rPr>
          <w:rStyle w:val="7"/>
          <w:rFonts w:asciiTheme="minorEastAsia" w:hAnsiTheme="minorEastAsia" w:eastAsiaTheme="minorEastAsia"/>
          <w:color w:val="000000" w:themeColor="text1"/>
          <w:sz w:val="28"/>
          <w:szCs w:val="28"/>
          <w:lang w:eastAsia="zh-Hans"/>
          <w14:textFill>
            <w14:solidFill>
              <w14:schemeClr w14:val="tx1"/>
            </w14:solidFill>
          </w14:textFill>
        </w:rPr>
        <w:t>无车辆</w:t>
      </w:r>
      <w:r>
        <w:rPr>
          <w:rStyle w:val="7"/>
          <w:rFonts w:hint="eastAsia" w:asciiTheme="minorEastAsia" w:hAnsiTheme="minorEastAsia" w:eastAsiaTheme="minorEastAsia"/>
          <w:color w:val="000000" w:themeColor="text1"/>
          <w:sz w:val="28"/>
          <w:szCs w:val="28"/>
          <w:lang w:eastAsia="zh-Hans"/>
          <w14:textFill>
            <w14:solidFill>
              <w14:schemeClr w14:val="tx1"/>
            </w14:solidFill>
          </w14:textFill>
        </w:rPr>
        <w:t>，故我单位无车辆</w:t>
      </w:r>
      <w:r>
        <w:rPr>
          <w:rStyle w:val="7"/>
          <w:rFonts w:asciiTheme="minorEastAsia" w:hAnsiTheme="minorEastAsia" w:eastAsiaTheme="minorEastAsia"/>
          <w:color w:val="000000" w:themeColor="text1"/>
          <w:sz w:val="28"/>
          <w:szCs w:val="28"/>
          <w:lang w:eastAsia="zh-Hans"/>
          <w14:textFill>
            <w14:solidFill>
              <w14:schemeClr w14:val="tx1"/>
            </w14:solidFill>
          </w14:textFill>
        </w:rPr>
        <w:t>类</w:t>
      </w:r>
      <w:r>
        <w:rPr>
          <w:rStyle w:val="7"/>
          <w:rFonts w:hint="eastAsia" w:asciiTheme="minorEastAsia" w:hAnsiTheme="minorEastAsia" w:eastAsiaTheme="minorEastAsia"/>
          <w:color w:val="000000" w:themeColor="text1"/>
          <w:sz w:val="28"/>
          <w:szCs w:val="28"/>
          <w:lang w:eastAsia="zh-Hans"/>
          <w14:textFill>
            <w14:solidFill>
              <w14:schemeClr w14:val="tx1"/>
            </w14:solidFill>
          </w14:textFill>
        </w:rPr>
        <w:t>资产纳入部门决算报表。</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（四）政府采购支出情况说明。</w:t>
      </w:r>
    </w:p>
    <w:p>
      <w:pPr>
        <w:pStyle w:val="4"/>
        <w:shd w:val="clear" w:color="auto" w:fill="FFFFFF"/>
        <w:spacing w:before="0" w:beforeAutospacing="0" w:after="0" w:afterAutospacing="0"/>
        <w:ind w:firstLine="540" w:firstLineChars="200"/>
        <w:rPr>
          <w:rFonts w:ascii="Arial" w:hAnsi="Arial" w:cs="Arial"/>
          <w:color w:val="000000"/>
          <w:sz w:val="18"/>
          <w:szCs w:val="18"/>
        </w:rPr>
      </w:pPr>
      <w:r>
        <w:rPr>
          <w:rFonts w:ascii="Arial" w:hAnsi="Arial" w:cs="Arial"/>
          <w:color w:val="000000"/>
          <w:sz w:val="27"/>
          <w:szCs w:val="27"/>
        </w:rPr>
        <w:t>  2021年度本部门政府采购支出总额2.12万元，其中：政府采购货物支出2.12万元、政府采购工程支出0.00万元、政府采购服务支出0.00万元。授予中小企业合同金额0.00万元，占政府采购支出总额的0%，其中：授予小微企业合同金额0.00万元，占政府采购支出总额的0%。</w:t>
      </w:r>
    </w:p>
    <w:p>
      <w:pPr>
        <w:pStyle w:val="4"/>
        <w:numPr>
          <w:ilvl w:val="0"/>
          <w:numId w:val="1"/>
        </w:numPr>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预算绩效管理情况说明</w:t>
      </w:r>
    </w:p>
    <w:p>
      <w:pPr>
        <w:pStyle w:val="4"/>
        <w:numPr>
          <w:ilvl w:val="0"/>
          <w:numId w:val="2"/>
        </w:numPr>
        <w:shd w:val="clear" w:color="auto" w:fill="FFFFFF"/>
        <w:spacing w:before="0" w:beforeAutospacing="0" w:after="0" w:afterAutospacing="0" w:line="420" w:lineRule="atLeast"/>
        <w:rPr>
          <w:rStyle w:val="7"/>
          <w:b w:val="0"/>
          <w:bCs w:val="0"/>
          <w:color w:val="333333"/>
          <w:sz w:val="28"/>
          <w:szCs w:val="28"/>
        </w:rPr>
      </w:pPr>
      <w:r>
        <w:rPr>
          <w:rStyle w:val="7"/>
          <w:rFonts w:ascii="Arial" w:hAnsi="Arial" w:cs="Arial"/>
          <w:color w:val="000000"/>
          <w:sz w:val="27"/>
          <w:szCs w:val="27"/>
        </w:rPr>
        <w:t>预算绩效管理工作开展情况。</w:t>
      </w:r>
    </w:p>
    <w:p>
      <w:pPr>
        <w:pStyle w:val="4"/>
        <w:shd w:val="clear" w:color="auto" w:fill="FFFFFF"/>
        <w:spacing w:before="0" w:beforeAutospacing="0" w:after="0" w:afterAutospacing="0" w:line="420" w:lineRule="atLeast"/>
        <w:ind w:left="210" w:firstLine="560" w:firstLineChars="200"/>
        <w:rPr>
          <w:color w:val="333333"/>
          <w:sz w:val="28"/>
          <w:szCs w:val="28"/>
        </w:rPr>
      </w:pPr>
      <w:r>
        <w:rPr>
          <w:rFonts w:hint="eastAsia"/>
          <w:color w:val="333333"/>
          <w:sz w:val="28"/>
          <w:szCs w:val="28"/>
        </w:rPr>
        <w:t>根据预算绩效管理要求,本部门对5个项目开展了绩效自评,涉及资金80.886429万元。从评价情况来看,项目立项较为规范,绩效目标明确,预算编制合理,管理科学规范,资金到位及时,总体完成情况良好。现将有关开展情况汇报如下:</w:t>
      </w:r>
    </w:p>
    <w:p>
      <w:pPr>
        <w:widowControl/>
        <w:shd w:val="clear" w:color="auto" w:fill="FFFFFF"/>
        <w:spacing w:line="420"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一是各级领导高度重视预算绩效管理工作;</w:t>
      </w:r>
    </w:p>
    <w:p>
      <w:pPr>
        <w:widowControl/>
        <w:shd w:val="clear" w:color="auto" w:fill="FFFFFF"/>
        <w:spacing w:line="420"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二是合理选择项目、合理分配资金使有限的财政资金发挥更大的效益;</w:t>
      </w:r>
    </w:p>
    <w:p>
      <w:pPr>
        <w:widowControl/>
        <w:shd w:val="clear" w:color="auto" w:fill="FFFFFF"/>
        <w:spacing w:line="420"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三是通过开展预算资金绩效评价,健全了项目资金的核算与管理,逐步形成自我约束,内部规范的良性机制;</w:t>
      </w:r>
    </w:p>
    <w:p>
      <w:pPr>
        <w:widowControl/>
        <w:shd w:val="clear" w:color="auto" w:fill="FFFFFF"/>
        <w:spacing w:line="420"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四是预算绩效评价,提高了管理水平和资金的使用效益。</w:t>
      </w:r>
    </w:p>
    <w:p>
      <w:pPr>
        <w:pStyle w:val="4"/>
        <w:shd w:val="clear" w:color="auto" w:fill="FFFFFF"/>
        <w:rPr>
          <w:rStyle w:val="7"/>
          <w:rFonts w:hint="eastAsia"/>
          <w:sz w:val="28"/>
          <w:szCs w:val="28"/>
        </w:rPr>
      </w:pPr>
      <w:r>
        <w:rPr>
          <w:rStyle w:val="7"/>
          <w:rFonts w:hint="eastAsia"/>
          <w:sz w:val="28"/>
          <w:szCs w:val="28"/>
          <w:lang w:eastAsia="zh-Hans"/>
        </w:rPr>
        <w:t> </w:t>
      </w:r>
    </w:p>
    <w:p>
      <w:pPr>
        <w:pStyle w:val="4"/>
        <w:shd w:val="clear" w:color="auto" w:fill="FFFFFF"/>
        <w:rPr>
          <w:sz w:val="28"/>
          <w:szCs w:val="28"/>
          <w:lang w:eastAsia="zh-Hans"/>
        </w:rPr>
      </w:pPr>
      <w:r>
        <w:rPr>
          <w:rStyle w:val="7"/>
          <w:rFonts w:hint="eastAsia"/>
          <w:sz w:val="28"/>
          <w:szCs w:val="28"/>
          <w:lang w:eastAsia="zh-Hans"/>
        </w:rPr>
        <w:t xml:space="preserve"> （二）绩效自评结果。</w:t>
      </w:r>
    </w:p>
    <w:p>
      <w:pPr>
        <w:pStyle w:val="4"/>
        <w:numPr>
          <w:ilvl w:val="0"/>
          <w:numId w:val="3"/>
        </w:numPr>
        <w:shd w:val="clear" w:color="auto" w:fill="FFFFFF"/>
        <w:rPr>
          <w:rStyle w:val="7"/>
          <w:sz w:val="28"/>
          <w:szCs w:val="28"/>
        </w:rPr>
      </w:pPr>
      <w:r>
        <w:rPr>
          <w:rStyle w:val="7"/>
          <w:rFonts w:hint="eastAsia"/>
          <w:sz w:val="28"/>
          <w:szCs w:val="28"/>
          <w:lang w:eastAsia="zh-Hans"/>
        </w:rPr>
        <w:t>绩效目标自评表。</w:t>
      </w:r>
    </w:p>
    <w:p>
      <w:pPr>
        <w:pStyle w:val="4"/>
        <w:shd w:val="clear" w:color="auto" w:fill="FFFFFF"/>
        <w:ind w:left="1425"/>
        <w:rPr>
          <w:color w:val="333333"/>
          <w:sz w:val="28"/>
          <w:szCs w:val="28"/>
        </w:rPr>
      </w:pPr>
      <w:r>
        <w:rPr>
          <w:rFonts w:hint="eastAsia"/>
          <w:b/>
          <w:color w:val="333333"/>
          <w:sz w:val="36"/>
          <w:szCs w:val="28"/>
        </w:rPr>
        <w:t>2021年度项目绩效自评表</w:t>
      </w:r>
    </w:p>
    <w:tbl>
      <w:tblPr>
        <w:tblStyle w:val="5"/>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628"/>
        <w:gridCol w:w="13"/>
        <w:gridCol w:w="390"/>
        <w:gridCol w:w="633"/>
        <w:gridCol w:w="870"/>
        <w:gridCol w:w="496"/>
        <w:gridCol w:w="1156"/>
        <w:gridCol w:w="1201"/>
        <w:gridCol w:w="1208"/>
        <w:gridCol w:w="187"/>
        <w:gridCol w:w="708"/>
        <w:gridCol w:w="164"/>
        <w:gridCol w:w="802"/>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62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项目名称</w:t>
            </w:r>
          </w:p>
        </w:tc>
        <w:tc>
          <w:tcPr>
            <w:tcW w:w="3558" w:type="dxa"/>
            <w:gridSpan w:val="6"/>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学生营养工程</w:t>
            </w:r>
          </w:p>
        </w:tc>
        <w:tc>
          <w:tcPr>
            <w:tcW w:w="1201"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自评总分</w:t>
            </w:r>
          </w:p>
        </w:tc>
        <w:tc>
          <w:tcPr>
            <w:tcW w:w="3069"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95分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41"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主管部门</w:t>
            </w:r>
          </w:p>
        </w:tc>
        <w:tc>
          <w:tcPr>
            <w:tcW w:w="354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丰都县教育委员会</w:t>
            </w:r>
          </w:p>
        </w:tc>
        <w:tc>
          <w:tcPr>
            <w:tcW w:w="1201"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实施单位</w:t>
            </w:r>
          </w:p>
        </w:tc>
        <w:tc>
          <w:tcPr>
            <w:tcW w:w="3069"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丰都县青龙乡中心小学校</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41"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项目资金(万元)</w:t>
            </w:r>
          </w:p>
        </w:tc>
        <w:tc>
          <w:tcPr>
            <w:tcW w:w="102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2021年</w:t>
            </w: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年初预算数</w:t>
            </w:r>
          </w:p>
        </w:tc>
        <w:tc>
          <w:tcPr>
            <w:tcW w:w="165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全年预算数</w:t>
            </w:r>
          </w:p>
        </w:tc>
        <w:tc>
          <w:tcPr>
            <w:tcW w:w="1201"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全年执行数</w:t>
            </w:r>
          </w:p>
        </w:tc>
        <w:tc>
          <w:tcPr>
            <w:tcW w:w="120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分值</w:t>
            </w:r>
          </w:p>
        </w:tc>
        <w:tc>
          <w:tcPr>
            <w:tcW w:w="89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执行率(%)</w:t>
            </w:r>
          </w:p>
        </w:tc>
        <w:tc>
          <w:tcPr>
            <w:tcW w:w="9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执行率得分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102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年度总金额</w:t>
            </w: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36.13</w:t>
            </w:r>
          </w:p>
        </w:tc>
        <w:tc>
          <w:tcPr>
            <w:tcW w:w="165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36.13</w:t>
            </w:r>
          </w:p>
        </w:tc>
        <w:tc>
          <w:tcPr>
            <w:tcW w:w="1201"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36.13</w:t>
            </w:r>
          </w:p>
        </w:tc>
        <w:tc>
          <w:tcPr>
            <w:tcW w:w="120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100</w:t>
            </w:r>
          </w:p>
        </w:tc>
        <w:tc>
          <w:tcPr>
            <w:tcW w:w="89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100</w:t>
            </w:r>
          </w:p>
        </w:tc>
        <w:tc>
          <w:tcPr>
            <w:tcW w:w="9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100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102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其中:财政拨款</w:t>
            </w: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36.13</w:t>
            </w:r>
          </w:p>
        </w:tc>
        <w:tc>
          <w:tcPr>
            <w:tcW w:w="165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36.13</w:t>
            </w:r>
          </w:p>
        </w:tc>
        <w:tc>
          <w:tcPr>
            <w:tcW w:w="1201"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36.13</w:t>
            </w:r>
          </w:p>
        </w:tc>
        <w:tc>
          <w:tcPr>
            <w:tcW w:w="120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100</w:t>
            </w:r>
          </w:p>
        </w:tc>
        <w:tc>
          <w:tcPr>
            <w:tcW w:w="89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100</w:t>
            </w:r>
          </w:p>
        </w:tc>
        <w:tc>
          <w:tcPr>
            <w:tcW w:w="9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100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102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上年结转结余</w:t>
            </w: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165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1201"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120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89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9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102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其他资金</w:t>
            </w: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165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1201"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120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89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c>
          <w:tcPr>
            <w:tcW w:w="9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41"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年度总体目标</w:t>
            </w:r>
          </w:p>
        </w:tc>
        <w:tc>
          <w:tcPr>
            <w:tcW w:w="354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预期目标</w:t>
            </w:r>
          </w:p>
        </w:tc>
        <w:tc>
          <w:tcPr>
            <w:tcW w:w="4270" w:type="dxa"/>
            <w:gridSpan w:val="6"/>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全年完成情况</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354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2021年度年上级根据渝财教〔2020〕221号精神:提前下达2021年农村义务教育中小学生营养改善计划资金预算36.13万元。</w:t>
            </w:r>
          </w:p>
        </w:tc>
        <w:tc>
          <w:tcPr>
            <w:tcW w:w="4270" w:type="dxa"/>
            <w:gridSpan w:val="6"/>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截至2021年底315位学生每人均享受营养工程每期500元,共计享受36.13万元。</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641"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绩效指标</w:t>
            </w:r>
          </w:p>
        </w:tc>
        <w:tc>
          <w:tcPr>
            <w:tcW w:w="3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一级指标</w:t>
            </w:r>
          </w:p>
        </w:tc>
        <w:tc>
          <w:tcPr>
            <w:tcW w:w="63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二级指标</w:t>
            </w:r>
          </w:p>
        </w:tc>
        <w:tc>
          <w:tcPr>
            <w:tcW w:w="13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三级指标</w:t>
            </w:r>
          </w:p>
        </w:tc>
        <w:tc>
          <w:tcPr>
            <w:tcW w:w="11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年度指标值</w:t>
            </w:r>
          </w:p>
        </w:tc>
        <w:tc>
          <w:tcPr>
            <w:tcW w:w="2596"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实际完成值</w:t>
            </w:r>
          </w:p>
        </w:tc>
        <w:tc>
          <w:tcPr>
            <w:tcW w:w="87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分值</w:t>
            </w:r>
          </w:p>
        </w:tc>
        <w:tc>
          <w:tcPr>
            <w:tcW w:w="8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得分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390"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产出指标</w:t>
            </w:r>
          </w:p>
        </w:tc>
        <w:tc>
          <w:tcPr>
            <w:tcW w:w="63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数指标</w:t>
            </w:r>
          </w:p>
        </w:tc>
        <w:tc>
          <w:tcPr>
            <w:tcW w:w="13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享受学生指标≥445人</w:t>
            </w:r>
          </w:p>
        </w:tc>
        <w:tc>
          <w:tcPr>
            <w:tcW w:w="11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315</w:t>
            </w:r>
          </w:p>
        </w:tc>
        <w:tc>
          <w:tcPr>
            <w:tcW w:w="2596"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315</w:t>
            </w:r>
          </w:p>
        </w:tc>
        <w:tc>
          <w:tcPr>
            <w:tcW w:w="87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15</w:t>
            </w:r>
          </w:p>
        </w:tc>
        <w:tc>
          <w:tcPr>
            <w:tcW w:w="8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63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质量指标</w:t>
            </w:r>
          </w:p>
        </w:tc>
        <w:tc>
          <w:tcPr>
            <w:tcW w:w="13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享受政策达标率100%</w:t>
            </w:r>
          </w:p>
        </w:tc>
        <w:tc>
          <w:tcPr>
            <w:tcW w:w="11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100</w:t>
            </w:r>
          </w:p>
        </w:tc>
        <w:tc>
          <w:tcPr>
            <w:tcW w:w="2596"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100</w:t>
            </w:r>
          </w:p>
        </w:tc>
        <w:tc>
          <w:tcPr>
            <w:tcW w:w="87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20</w:t>
            </w:r>
          </w:p>
        </w:tc>
        <w:tc>
          <w:tcPr>
            <w:tcW w:w="8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63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成本指标</w:t>
            </w:r>
          </w:p>
        </w:tc>
        <w:tc>
          <w:tcPr>
            <w:tcW w:w="13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享受政策额度每人每期500元</w:t>
            </w:r>
          </w:p>
        </w:tc>
        <w:tc>
          <w:tcPr>
            <w:tcW w:w="11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500</w:t>
            </w:r>
          </w:p>
        </w:tc>
        <w:tc>
          <w:tcPr>
            <w:tcW w:w="2596"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500</w:t>
            </w:r>
          </w:p>
        </w:tc>
        <w:tc>
          <w:tcPr>
            <w:tcW w:w="87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15</w:t>
            </w:r>
          </w:p>
        </w:tc>
        <w:tc>
          <w:tcPr>
            <w:tcW w:w="8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390"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效益指标</w:t>
            </w:r>
          </w:p>
        </w:tc>
        <w:tc>
          <w:tcPr>
            <w:tcW w:w="63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效益指标</w:t>
            </w:r>
          </w:p>
        </w:tc>
        <w:tc>
          <w:tcPr>
            <w:tcW w:w="13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享受政策比例100%</w:t>
            </w:r>
          </w:p>
        </w:tc>
        <w:tc>
          <w:tcPr>
            <w:tcW w:w="11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100</w:t>
            </w:r>
          </w:p>
        </w:tc>
        <w:tc>
          <w:tcPr>
            <w:tcW w:w="2596"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100</w:t>
            </w:r>
          </w:p>
        </w:tc>
        <w:tc>
          <w:tcPr>
            <w:tcW w:w="87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20</w:t>
            </w:r>
          </w:p>
        </w:tc>
        <w:tc>
          <w:tcPr>
            <w:tcW w:w="8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63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持续发展效益</w:t>
            </w:r>
          </w:p>
        </w:tc>
        <w:tc>
          <w:tcPr>
            <w:tcW w:w="13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政策持续效益</w:t>
            </w:r>
          </w:p>
        </w:tc>
        <w:tc>
          <w:tcPr>
            <w:tcW w:w="11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1年</w:t>
            </w:r>
          </w:p>
        </w:tc>
        <w:tc>
          <w:tcPr>
            <w:tcW w:w="2596"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1年</w:t>
            </w:r>
          </w:p>
        </w:tc>
        <w:tc>
          <w:tcPr>
            <w:tcW w:w="87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10</w:t>
            </w:r>
          </w:p>
        </w:tc>
        <w:tc>
          <w:tcPr>
            <w:tcW w:w="8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390"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满意度指标</w:t>
            </w:r>
          </w:p>
        </w:tc>
        <w:tc>
          <w:tcPr>
            <w:tcW w:w="63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服务对象满意度指标</w:t>
            </w:r>
          </w:p>
        </w:tc>
        <w:tc>
          <w:tcPr>
            <w:tcW w:w="13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left"/>
              <w:rPr>
                <w:rFonts w:ascii="宋体" w:hAnsi="宋体" w:cs="宋体"/>
                <w:kern w:val="0"/>
                <w:sz w:val="24"/>
                <w:szCs w:val="24"/>
              </w:rPr>
            </w:pPr>
            <w:r>
              <w:rPr>
                <w:rFonts w:hint="eastAsia" w:ascii="宋体" w:hAnsi="宋体" w:cs="宋体"/>
                <w:kern w:val="0"/>
                <w:sz w:val="24"/>
                <w:szCs w:val="24"/>
              </w:rPr>
              <w:t>学生及家长满意度(≥92%)</w:t>
            </w:r>
          </w:p>
        </w:tc>
        <w:tc>
          <w:tcPr>
            <w:tcW w:w="11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92</w:t>
            </w:r>
          </w:p>
        </w:tc>
        <w:tc>
          <w:tcPr>
            <w:tcW w:w="2596"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92</w:t>
            </w:r>
          </w:p>
        </w:tc>
        <w:tc>
          <w:tcPr>
            <w:tcW w:w="87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15</w:t>
            </w:r>
          </w:p>
        </w:tc>
        <w:tc>
          <w:tcPr>
            <w:tcW w:w="8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spacing w:line="420" w:lineRule="atLeast"/>
              <w:jc w:val="center"/>
              <w:rPr>
                <w:rFonts w:ascii="宋体" w:hAnsi="宋体" w:cs="宋体"/>
                <w:kern w:val="0"/>
                <w:sz w:val="24"/>
                <w:szCs w:val="24"/>
              </w:rPr>
            </w:pPr>
            <w:r>
              <w:rPr>
                <w:rFonts w:hint="eastAsia" w:ascii="宋体" w:hAnsi="宋体" w:cs="宋体"/>
                <w:kern w:val="0"/>
                <w:sz w:val="24"/>
                <w:szCs w:val="24"/>
              </w:rPr>
              <w:t>15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c>
          <w:tcPr>
            <w:tcW w:w="63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jc w:val="left"/>
              <w:rPr>
                <w:rFonts w:ascii="宋体" w:hAnsi="宋体" w:cs="宋体"/>
                <w:kern w:val="0"/>
                <w:sz w:val="24"/>
                <w:szCs w:val="24"/>
              </w:rPr>
            </w:pPr>
          </w:p>
        </w:tc>
        <w:tc>
          <w:tcPr>
            <w:tcW w:w="1366"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jc w:val="left"/>
              <w:rPr>
                <w:rFonts w:ascii="宋体" w:hAnsi="宋体" w:cs="宋体"/>
                <w:kern w:val="0"/>
                <w:sz w:val="24"/>
                <w:szCs w:val="24"/>
              </w:rPr>
            </w:pPr>
          </w:p>
        </w:tc>
        <w:tc>
          <w:tcPr>
            <w:tcW w:w="115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jc w:val="left"/>
              <w:rPr>
                <w:rFonts w:ascii="宋体" w:hAnsi="宋体" w:cs="宋体"/>
                <w:kern w:val="0"/>
                <w:sz w:val="24"/>
                <w:szCs w:val="24"/>
              </w:rPr>
            </w:pPr>
          </w:p>
        </w:tc>
        <w:tc>
          <w:tcPr>
            <w:tcW w:w="2596"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jc w:val="left"/>
              <w:rPr>
                <w:rFonts w:ascii="宋体" w:hAnsi="宋体" w:cs="宋体"/>
                <w:kern w:val="0"/>
                <w:sz w:val="24"/>
                <w:szCs w:val="24"/>
              </w:rPr>
            </w:pPr>
          </w:p>
        </w:tc>
        <w:tc>
          <w:tcPr>
            <w:tcW w:w="872"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jc w:val="left"/>
              <w:rPr>
                <w:rFonts w:ascii="宋体" w:hAnsi="宋体" w:cs="宋体"/>
                <w:kern w:val="0"/>
                <w:sz w:val="24"/>
                <w:szCs w:val="24"/>
              </w:rPr>
            </w:pPr>
          </w:p>
        </w:tc>
        <w:tc>
          <w:tcPr>
            <w:tcW w:w="80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jc w:val="left"/>
              <w:rPr>
                <w:rFonts w:ascii="宋体" w:hAnsi="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41"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wordWrap w:val="0"/>
              <w:spacing w:after="180"/>
              <w:jc w:val="left"/>
              <w:rPr>
                <w:rFonts w:ascii="宋体" w:hAnsi="宋体" w:cs="宋体"/>
                <w:kern w:val="0"/>
                <w:sz w:val="24"/>
                <w:szCs w:val="24"/>
              </w:rPr>
            </w:pPr>
            <w:r>
              <w:rPr>
                <w:rFonts w:hint="eastAsia" w:ascii="宋体" w:hAnsi="宋体" w:cs="宋体"/>
                <w:kern w:val="0"/>
                <w:sz w:val="24"/>
                <w:szCs w:val="24"/>
              </w:rPr>
              <w:t>说明</w:t>
            </w:r>
          </w:p>
        </w:tc>
        <w:tc>
          <w:tcPr>
            <w:tcW w:w="7815" w:type="dxa"/>
            <w:gridSpan w:val="11"/>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widowControl/>
              <w:jc w:val="left"/>
              <w:rPr>
                <w:rFonts w:ascii="宋体" w:hAnsi="宋体" w:cs="宋体"/>
                <w:kern w:val="0"/>
                <w:sz w:val="24"/>
                <w:szCs w:val="24"/>
              </w:rPr>
            </w:pPr>
          </w:p>
        </w:tc>
      </w:tr>
    </w:tbl>
    <w:p>
      <w:pPr>
        <w:pStyle w:val="4"/>
        <w:shd w:val="clear" w:color="auto" w:fill="FFFFFF"/>
        <w:spacing w:before="0" w:beforeAutospacing="0" w:after="0" w:afterAutospacing="0"/>
        <w:rPr>
          <w:rStyle w:val="7"/>
          <w:rFonts w:ascii="Arial" w:hAnsi="Arial" w:cs="Arial"/>
          <w:color w:val="000000"/>
          <w:sz w:val="27"/>
          <w:szCs w:val="27"/>
        </w:rPr>
      </w:pPr>
    </w:p>
    <w:p>
      <w:pPr>
        <w:pStyle w:val="4"/>
        <w:shd w:val="clear" w:color="auto" w:fill="FFFFFF"/>
        <w:spacing w:before="0" w:beforeAutospacing="0" w:after="0" w:afterAutospacing="0"/>
        <w:rPr>
          <w:rStyle w:val="7"/>
          <w:rFonts w:ascii="Arial" w:hAnsi="Arial" w:cs="Arial"/>
          <w:color w:val="000000"/>
          <w:sz w:val="27"/>
          <w:szCs w:val="27"/>
        </w:rPr>
      </w:pPr>
    </w:p>
    <w:p>
      <w:pPr>
        <w:pStyle w:val="4"/>
        <w:shd w:val="clear" w:color="auto" w:fill="FFFFFF"/>
        <w:spacing w:before="0" w:beforeAutospacing="0" w:after="0" w:afterAutospacing="0"/>
        <w:rPr>
          <w:rStyle w:val="7"/>
          <w:rFonts w:ascii="Arial" w:hAnsi="Arial" w:cs="Arial"/>
          <w:color w:val="000000"/>
          <w:sz w:val="27"/>
          <w:szCs w:val="27"/>
        </w:rPr>
      </w:pPr>
    </w:p>
    <w:p>
      <w:pPr>
        <w:pStyle w:val="4"/>
        <w:shd w:val="clear" w:color="auto" w:fill="FFFFFF"/>
        <w:spacing w:before="0" w:beforeAutospacing="0" w:after="0" w:afterAutospacing="0"/>
        <w:rPr>
          <w:rStyle w:val="7"/>
          <w:rFonts w:ascii="Arial" w:hAnsi="Arial" w:cs="Arial"/>
          <w:color w:val="000000"/>
          <w:sz w:val="27"/>
          <w:szCs w:val="27"/>
        </w:rPr>
      </w:pPr>
    </w:p>
    <w:p>
      <w:pPr>
        <w:pStyle w:val="4"/>
        <w:shd w:val="clear" w:color="auto" w:fill="FFFFFF"/>
        <w:spacing w:before="0" w:beforeAutospacing="0" w:after="0" w:afterAutospacing="0"/>
        <w:rPr>
          <w:rStyle w:val="7"/>
          <w:rFonts w:ascii="Arial" w:hAnsi="Arial" w:cs="Arial"/>
          <w:color w:val="000000"/>
          <w:sz w:val="27"/>
          <w:szCs w:val="27"/>
        </w:rPr>
      </w:pPr>
    </w:p>
    <w:p>
      <w:pPr>
        <w:pStyle w:val="4"/>
        <w:shd w:val="clear" w:color="auto" w:fill="FFFFFF"/>
        <w:spacing w:before="0" w:beforeAutospacing="0" w:after="0" w:afterAutospacing="0"/>
        <w:rPr>
          <w:rStyle w:val="7"/>
          <w:rFonts w:ascii="Arial" w:hAnsi="Arial" w:cs="Arial"/>
          <w:color w:val="000000"/>
          <w:sz w:val="27"/>
          <w:szCs w:val="27"/>
        </w:rPr>
      </w:pP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2.绩效自评报告或案例。</w:t>
      </w:r>
    </w:p>
    <w:p>
      <w:pPr>
        <w:pStyle w:val="4"/>
        <w:shd w:val="clear" w:color="auto" w:fill="FFFFFF"/>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我单位本年度未委托第三方开展重点绩效评价。</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3.关于绩效自评结果的说明。</w:t>
      </w:r>
    </w:p>
    <w:p>
      <w:pPr>
        <w:pStyle w:val="4"/>
        <w:shd w:val="clear" w:color="auto" w:fill="FFFFFF"/>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我单位本年度未委托第三方开展重点绩效评价。</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（三）重点绩效评价结果。</w:t>
      </w:r>
    </w:p>
    <w:p>
      <w:pPr>
        <w:pStyle w:val="4"/>
        <w:shd w:val="clear" w:color="auto" w:fill="FFFFFF"/>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我单位本年度未委托第三方开展重点绩效评价。</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六、专业名词解释</w:t>
      </w:r>
    </w:p>
    <w:p>
      <w:pPr>
        <w:pStyle w:val="4"/>
        <w:shd w:val="clear" w:color="auto" w:fill="FFFFFF"/>
        <w:spacing w:before="0" w:beforeAutospacing="0" w:after="0" w:afterAutospacing="0"/>
        <w:rPr>
          <w:rFonts w:ascii="Arial" w:hAnsi="Arial" w:cs="Arial"/>
          <w:color w:val="000000"/>
          <w:sz w:val="18"/>
          <w:szCs w:val="18"/>
        </w:rPr>
      </w:pPr>
      <w:bookmarkStart w:id="0" w:name="_GoBack"/>
      <w:bookmarkEnd w:id="0"/>
      <w:r>
        <w:rPr>
          <w:rStyle w:val="7"/>
          <w:rFonts w:ascii="Arial" w:hAnsi="Arial" w:cs="Arial"/>
          <w:color w:val="000000"/>
          <w:sz w:val="27"/>
          <w:szCs w:val="27"/>
        </w:rPr>
        <w:t>  （一）财政拨款收入</w:t>
      </w:r>
      <w:r>
        <w:rPr>
          <w:rFonts w:ascii="Arial" w:hAnsi="Arial" w:cs="Arial"/>
          <w:color w:val="000000"/>
          <w:sz w:val="27"/>
          <w:szCs w:val="27"/>
        </w:rPr>
        <w:t>：指本年度从本级财政部门取得的财政拨款，包括一般公共预算财政拨款和政府性基金预算财政拨款。</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（二）事业收入</w:t>
      </w:r>
      <w:r>
        <w:rPr>
          <w:rFonts w:ascii="Arial" w:hAnsi="Arial" w:cs="Arial"/>
          <w:color w:val="000000"/>
          <w:sz w:val="27"/>
          <w:szCs w:val="27"/>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（三）经营收入</w:t>
      </w:r>
      <w:r>
        <w:rPr>
          <w:rFonts w:ascii="Arial" w:hAnsi="Arial" w:cs="Arial"/>
          <w:color w:val="000000"/>
          <w:sz w:val="27"/>
          <w:szCs w:val="27"/>
        </w:rPr>
        <w:t>：指事业单位在专业业务活动及其辅助活动之外开展非独立核算经营活动取得的现金流入。</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（四）其他收入</w:t>
      </w:r>
      <w:r>
        <w:rPr>
          <w:rFonts w:ascii="Arial" w:hAnsi="Arial" w:cs="Arial"/>
          <w:color w:val="000000"/>
          <w:sz w:val="27"/>
          <w:szCs w:val="27"/>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（五）使用非财政拨款结余</w:t>
      </w:r>
      <w:r>
        <w:rPr>
          <w:rFonts w:ascii="Arial" w:hAnsi="Arial" w:cs="Arial"/>
          <w:color w:val="000000"/>
          <w:sz w:val="27"/>
          <w:szCs w:val="27"/>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（六）年初结转和结余</w:t>
      </w:r>
      <w:r>
        <w:rPr>
          <w:rFonts w:ascii="Arial" w:hAnsi="Arial" w:cs="Arial"/>
          <w:color w:val="000000"/>
          <w:sz w:val="27"/>
          <w:szCs w:val="27"/>
        </w:rPr>
        <w:t>：指单位上年结转本年使用的基本支出结转、项目支出结转和结余、经营结余。</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（七）结余分配</w:t>
      </w:r>
      <w:r>
        <w:rPr>
          <w:rFonts w:ascii="Arial" w:hAnsi="Arial" w:cs="Arial"/>
          <w:color w:val="000000"/>
          <w:sz w:val="27"/>
          <w:szCs w:val="27"/>
        </w:rPr>
        <w:t>：指单位按照国家有关规定，缴纳所得税、提取专用基金、转入非财政拨款结余等当年结余的分配情况。</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（八）年末结转和结余</w:t>
      </w:r>
      <w:r>
        <w:rPr>
          <w:rFonts w:ascii="Arial" w:hAnsi="Arial" w:cs="Arial"/>
          <w:color w:val="000000"/>
          <w:sz w:val="27"/>
          <w:szCs w:val="27"/>
        </w:rPr>
        <w:t>：指单位结转下年的基本支出结转、项目支出结转和结余、经营结余。</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（九）基本支出</w:t>
      </w:r>
      <w:r>
        <w:rPr>
          <w:rFonts w:ascii="Arial" w:hAnsi="Arial" w:cs="Arial"/>
          <w:color w:val="000000"/>
          <w:sz w:val="27"/>
          <w:szCs w:val="27"/>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（十）项目支出</w:t>
      </w:r>
      <w:r>
        <w:rPr>
          <w:rFonts w:ascii="Arial" w:hAnsi="Arial" w:cs="Arial"/>
          <w:color w:val="000000"/>
          <w:sz w:val="27"/>
          <w:szCs w:val="27"/>
        </w:rPr>
        <w:t>：指在基本支出之外为完成特定行政任务和事业发展目标所发生的支出。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（十一）经营支出</w:t>
      </w:r>
      <w:r>
        <w:rPr>
          <w:rFonts w:ascii="Arial" w:hAnsi="Arial" w:cs="Arial"/>
          <w:color w:val="000000"/>
          <w:sz w:val="27"/>
          <w:szCs w:val="27"/>
        </w:rPr>
        <w:t>：指事业单位在专业业务活动及其辅助活动之外开展非独立核算经营活动发生的支出。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（十二）“三公”经费</w:t>
      </w:r>
      <w:r>
        <w:rPr>
          <w:rFonts w:ascii="Arial" w:hAnsi="Arial" w:cs="Arial"/>
          <w:color w:val="000000"/>
          <w:sz w:val="27"/>
          <w:szCs w:val="27"/>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（十三）机关运行经费</w:t>
      </w:r>
      <w:r>
        <w:rPr>
          <w:rFonts w:ascii="Arial" w:hAnsi="Arial" w:cs="Arial"/>
          <w:color w:val="000000"/>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（十四）工资福利支出（支出经济分类科目类级）</w:t>
      </w:r>
      <w:r>
        <w:rPr>
          <w:rFonts w:ascii="Arial" w:hAnsi="Arial" w:cs="Arial"/>
          <w:color w:val="000000"/>
          <w:sz w:val="27"/>
          <w:szCs w:val="27"/>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（十五）商品和服务支出（支出经济分类科目类级）</w:t>
      </w:r>
      <w:r>
        <w:rPr>
          <w:rFonts w:ascii="Arial" w:hAnsi="Arial" w:cs="Arial"/>
          <w:color w:val="000000"/>
          <w:sz w:val="27"/>
          <w:szCs w:val="27"/>
        </w:rPr>
        <w:t>：反映单位购买商品和服务的支出（不包括用于购置固定资产的支出、战略性和应急储备支出）。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（十六）对个人和家庭的补助（支出经济分类科目类级）</w:t>
      </w:r>
      <w:r>
        <w:rPr>
          <w:rFonts w:ascii="Arial" w:hAnsi="Arial" w:cs="Arial"/>
          <w:color w:val="000000"/>
          <w:sz w:val="27"/>
          <w:szCs w:val="27"/>
        </w:rPr>
        <w:t>：反映用于对个人和家庭的补助支出。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（十七）其他资本性支出（支出经济分类科目类级）</w:t>
      </w:r>
      <w:r>
        <w:rPr>
          <w:rFonts w:ascii="Arial" w:hAnsi="Arial" w:cs="Arial"/>
          <w:color w:val="000000"/>
          <w:sz w:val="27"/>
          <w:szCs w:val="27"/>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七、决算公开联系方式及信息反馈渠道</w:t>
      </w:r>
    </w:p>
    <w:p>
      <w:pPr>
        <w:widowControl/>
        <w:shd w:val="clear" w:color="auto" w:fill="FFFFFF"/>
        <w:spacing w:line="420" w:lineRule="atLeast"/>
        <w:ind w:firstLine="480"/>
        <w:jc w:val="left"/>
        <w:rPr>
          <w:rFonts w:ascii="Arial" w:hAnsi="Arial" w:eastAsia="宋体" w:cs="Arial"/>
          <w:color w:val="000000"/>
          <w:kern w:val="0"/>
          <w:sz w:val="27"/>
          <w:szCs w:val="27"/>
        </w:rPr>
      </w:pPr>
      <w:r>
        <w:rPr>
          <w:rFonts w:ascii="Arial" w:hAnsi="Arial" w:cs="Arial"/>
          <w:color w:val="000000"/>
          <w:sz w:val="27"/>
          <w:szCs w:val="27"/>
        </w:rPr>
        <w:t> </w:t>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rPr>
        <w:t>本单位决算公开信息反馈和联系方式023-70693111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61A7"/>
    <w:multiLevelType w:val="multilevel"/>
    <w:tmpl w:val="140961A7"/>
    <w:lvl w:ilvl="0" w:tentative="0">
      <w:start w:val="5"/>
      <w:numFmt w:val="japaneseCounting"/>
      <w:lvlText w:val="%1、"/>
      <w:lvlJc w:val="left"/>
      <w:pPr>
        <w:ind w:left="930" w:hanging="720"/>
      </w:pPr>
      <w:rPr>
        <w:rFonts w:hint="default"/>
        <w:b/>
        <w:sz w:val="27"/>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55E570B9"/>
    <w:multiLevelType w:val="multilevel"/>
    <w:tmpl w:val="55E570B9"/>
    <w:lvl w:ilvl="0" w:tentative="0">
      <w:start w:val="1"/>
      <w:numFmt w:val="decimal"/>
      <w:lvlText w:val="%1."/>
      <w:lvlJc w:val="left"/>
      <w:pPr>
        <w:ind w:left="1425" w:hanging="360"/>
      </w:pPr>
      <w:rPr>
        <w:rFonts w:hint="default"/>
      </w:rPr>
    </w:lvl>
    <w:lvl w:ilvl="1" w:tentative="0">
      <w:start w:val="1"/>
      <w:numFmt w:val="lowerLetter"/>
      <w:lvlText w:val="%2)"/>
      <w:lvlJc w:val="left"/>
      <w:pPr>
        <w:ind w:left="1905" w:hanging="420"/>
      </w:pPr>
    </w:lvl>
    <w:lvl w:ilvl="2" w:tentative="0">
      <w:start w:val="1"/>
      <w:numFmt w:val="lowerRoman"/>
      <w:lvlText w:val="%3."/>
      <w:lvlJc w:val="right"/>
      <w:pPr>
        <w:ind w:left="2325" w:hanging="420"/>
      </w:pPr>
    </w:lvl>
    <w:lvl w:ilvl="3" w:tentative="0">
      <w:start w:val="1"/>
      <w:numFmt w:val="decimal"/>
      <w:lvlText w:val="%4."/>
      <w:lvlJc w:val="left"/>
      <w:pPr>
        <w:ind w:left="2745" w:hanging="420"/>
      </w:pPr>
    </w:lvl>
    <w:lvl w:ilvl="4" w:tentative="0">
      <w:start w:val="1"/>
      <w:numFmt w:val="lowerLetter"/>
      <w:lvlText w:val="%5)"/>
      <w:lvlJc w:val="left"/>
      <w:pPr>
        <w:ind w:left="3165" w:hanging="420"/>
      </w:pPr>
    </w:lvl>
    <w:lvl w:ilvl="5" w:tentative="0">
      <w:start w:val="1"/>
      <w:numFmt w:val="lowerRoman"/>
      <w:lvlText w:val="%6."/>
      <w:lvlJc w:val="right"/>
      <w:pPr>
        <w:ind w:left="3585" w:hanging="420"/>
      </w:pPr>
    </w:lvl>
    <w:lvl w:ilvl="6" w:tentative="0">
      <w:start w:val="1"/>
      <w:numFmt w:val="decimal"/>
      <w:lvlText w:val="%7."/>
      <w:lvlJc w:val="left"/>
      <w:pPr>
        <w:ind w:left="4005" w:hanging="420"/>
      </w:pPr>
    </w:lvl>
    <w:lvl w:ilvl="7" w:tentative="0">
      <w:start w:val="1"/>
      <w:numFmt w:val="lowerLetter"/>
      <w:lvlText w:val="%8)"/>
      <w:lvlJc w:val="left"/>
      <w:pPr>
        <w:ind w:left="4425" w:hanging="420"/>
      </w:pPr>
    </w:lvl>
    <w:lvl w:ilvl="8" w:tentative="0">
      <w:start w:val="1"/>
      <w:numFmt w:val="lowerRoman"/>
      <w:lvlText w:val="%9."/>
      <w:lvlJc w:val="right"/>
      <w:pPr>
        <w:ind w:left="4845" w:hanging="420"/>
      </w:pPr>
    </w:lvl>
  </w:abstractNum>
  <w:abstractNum w:abstractNumId="2">
    <w:nsid w:val="6469548E"/>
    <w:multiLevelType w:val="multilevel"/>
    <w:tmpl w:val="6469548E"/>
    <w:lvl w:ilvl="0" w:tentative="0">
      <w:start w:val="1"/>
      <w:numFmt w:val="japaneseCounting"/>
      <w:lvlText w:val="（%1）"/>
      <w:lvlJc w:val="left"/>
      <w:pPr>
        <w:ind w:left="1065" w:hanging="855"/>
      </w:pPr>
      <w:rPr>
        <w:rFonts w:hint="default"/>
        <w:lang w:val="en-US"/>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I0NTVlZWE1YzY4MmM3Y2ZkNjk0NWEwNWU3NjQifQ=="/>
  </w:docVars>
  <w:rsids>
    <w:rsidRoot w:val="00AB4A86"/>
    <w:rsid w:val="00056829"/>
    <w:rsid w:val="00170D2E"/>
    <w:rsid w:val="003A20CE"/>
    <w:rsid w:val="00421455"/>
    <w:rsid w:val="00433D5D"/>
    <w:rsid w:val="006378C4"/>
    <w:rsid w:val="00713D7E"/>
    <w:rsid w:val="00741575"/>
    <w:rsid w:val="007B03F8"/>
    <w:rsid w:val="00831514"/>
    <w:rsid w:val="008464FC"/>
    <w:rsid w:val="008F1940"/>
    <w:rsid w:val="008F3D97"/>
    <w:rsid w:val="0091628D"/>
    <w:rsid w:val="009E09DA"/>
    <w:rsid w:val="009F071A"/>
    <w:rsid w:val="00A57600"/>
    <w:rsid w:val="00AB4A86"/>
    <w:rsid w:val="00AE33F9"/>
    <w:rsid w:val="00BE7FD4"/>
    <w:rsid w:val="00CC67BA"/>
    <w:rsid w:val="00E415C2"/>
    <w:rsid w:val="39BB5B22"/>
    <w:rsid w:val="56F9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CE99-7509-4962-8012-E21F80DFCA7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5189</Words>
  <Characters>5776</Characters>
  <Lines>43</Lines>
  <Paragraphs>12</Paragraphs>
  <TotalTime>0</TotalTime>
  <ScaleCrop>false</ScaleCrop>
  <LinksUpToDate>false</LinksUpToDate>
  <CharactersWithSpaces>5928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2022-10-08T01:51:00Z</dcterms:created>
  <dc:creator>微软用户</dc:creator>
  <cp:lastModifiedBy>丰都</cp:lastModifiedBy>
  <dcterms:modified xsi:type="dcterms:W3CDTF">2022-10-13T08:42:32Z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D396A778F1084257A26B1B61700E344D</vt:lpwstr>
  </property>
</Properties>
</file>