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color w:val="000000"/>
          <w:sz w:val="18"/>
          <w:szCs w:val="18"/>
        </w:rPr>
      </w:pPr>
      <w:r>
        <w:rPr>
          <w:rFonts w:ascii="Arial" w:hAnsi="Arial" w:cs="Arial"/>
          <w:color w:val="000000"/>
          <w:sz w:val="54"/>
          <w:szCs w:val="54"/>
        </w:rPr>
        <w:t>重庆市丰都县南天湖镇三抚完全小学校2021年度部门决算情况说明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33"/>
          <w:szCs w:val="33"/>
        </w:rPr>
        <w:t>  一、部门基本情况</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（一）职能职责。</w:t>
      </w:r>
    </w:p>
    <w:p>
      <w:pPr>
        <w:pStyle w:val="4"/>
        <w:shd w:val="clear" w:color="auto" w:fill="FFFFFF"/>
        <w:spacing w:before="0" w:beforeAutospacing="0" w:after="0" w:afterAutospacing="0"/>
        <w:ind w:firstLine="540" w:firstLineChars="200"/>
        <w:rPr>
          <w:rFonts w:ascii="Arial" w:hAnsi="Arial" w:cs="Arial"/>
          <w:color w:val="000000"/>
          <w:sz w:val="27"/>
          <w:szCs w:val="27"/>
        </w:rPr>
      </w:pPr>
      <w:r>
        <w:rPr>
          <w:rFonts w:hint="eastAsia" w:ascii="Arial" w:hAnsi="Arial" w:cs="Arial"/>
          <w:color w:val="000000"/>
          <w:sz w:val="27"/>
          <w:szCs w:val="27"/>
        </w:rPr>
        <w:t>实施小学义务教育,促进基础教育发展。承担辖区内小学学历教育;推进课程改革和教法学法改革;提高学生综合素质;培养学生多样化发展;培养学生良好品德;从事义务教育的相关社会服务。</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（二）机构设置。</w:t>
      </w:r>
    </w:p>
    <w:p>
      <w:pPr>
        <w:pStyle w:val="4"/>
        <w:shd w:val="clear" w:color="auto" w:fill="FFFFFF"/>
        <w:spacing w:before="0" w:beforeAutospacing="0" w:after="0" w:afterAutospacing="0"/>
        <w:ind w:firstLine="540" w:firstLineChars="200"/>
        <w:rPr>
          <w:rFonts w:ascii="Arial" w:hAnsi="Arial" w:cs="Arial"/>
          <w:color w:val="000000"/>
          <w:sz w:val="27"/>
          <w:szCs w:val="27"/>
        </w:rPr>
      </w:pPr>
      <w:r>
        <w:rPr>
          <w:rFonts w:hint="eastAsia" w:ascii="Arial" w:hAnsi="Arial" w:cs="Arial"/>
          <w:color w:val="000000"/>
          <w:sz w:val="27"/>
          <w:szCs w:val="27"/>
        </w:rPr>
        <w:t>学校设有办公室、德育处、教务处、后勤处。</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（三）单位构成。</w:t>
      </w:r>
    </w:p>
    <w:p>
      <w:pPr>
        <w:pStyle w:val="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从预算单位构成看，无纳入本单位</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年度决算编制的下级预算单位。</w:t>
      </w:r>
    </w:p>
    <w:p>
      <w:pPr>
        <w:pStyle w:val="4"/>
        <w:shd w:val="clear" w:color="auto" w:fill="FFFFFF"/>
        <w:spacing w:before="0" w:beforeAutospacing="0" w:after="0" w:afterAutospacing="0"/>
        <w:rPr>
          <w:rFonts w:ascii="Arial" w:hAnsi="Arial" w:cs="Arial"/>
          <w:color w:val="000000"/>
          <w:sz w:val="27"/>
          <w:szCs w:val="27"/>
        </w:rPr>
      </w:pP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33"/>
          <w:szCs w:val="33"/>
        </w:rPr>
        <w:t>  二、部门决算情况说明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（一）收入支出决算总体情况说明。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1.总体情况。</w:t>
      </w:r>
      <w:r>
        <w:rPr>
          <w:rFonts w:ascii="Arial" w:hAnsi="Arial" w:cs="Arial"/>
          <w:color w:val="000000"/>
          <w:sz w:val="27"/>
          <w:szCs w:val="27"/>
        </w:rPr>
        <w:t>2021年度收入总计894.25万元，支出总计894.25万元。收支较上年决算数减少3.01万元、下降0.3%，</w:t>
      </w:r>
      <w:r>
        <w:rPr>
          <w:rFonts w:hint="eastAsia" w:ascii="Arial" w:hAnsi="Arial" w:cs="Arial"/>
          <w:color w:val="000000"/>
          <w:sz w:val="27"/>
          <w:szCs w:val="27"/>
        </w:rPr>
        <w:t>主要原因是学生人数和学校工程项目减少导致。</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2.收入情况。</w:t>
      </w:r>
      <w:r>
        <w:rPr>
          <w:rFonts w:ascii="Arial" w:hAnsi="Arial" w:cs="Arial"/>
          <w:color w:val="000000"/>
          <w:sz w:val="27"/>
          <w:szCs w:val="27"/>
        </w:rPr>
        <w:t>2021年度收入合计894.25万元，较上年决算数减少3.01万元，下降0.3%，</w:t>
      </w:r>
      <w:r>
        <w:rPr>
          <w:rFonts w:hint="eastAsia" w:ascii="Arial" w:hAnsi="Arial" w:cs="Arial"/>
          <w:color w:val="000000"/>
          <w:sz w:val="27"/>
          <w:szCs w:val="27"/>
        </w:rPr>
        <w:t>主要原因是学生人数和学校工程项目减少导致。</w:t>
      </w:r>
      <w:r>
        <w:rPr>
          <w:rFonts w:ascii="Arial" w:hAnsi="Arial" w:cs="Arial"/>
          <w:color w:val="000000"/>
          <w:sz w:val="27"/>
          <w:szCs w:val="27"/>
        </w:rPr>
        <w:t>其中：财政拨款收入880.97万元，占98.5%；事业收入13.28万元，占1.5%；经营收入0.00万元，占0%；其他收入0.00万元，占0%。此外，使用非财政拨款结余0.00万元，年初结转和结余0.00万元。</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3.支出情况。</w:t>
      </w:r>
      <w:r>
        <w:rPr>
          <w:rFonts w:ascii="Arial" w:hAnsi="Arial" w:cs="Arial"/>
          <w:color w:val="000000"/>
          <w:sz w:val="27"/>
          <w:szCs w:val="27"/>
        </w:rPr>
        <w:t>2021年度支出合计893.65万元，较上年决算数减少3.61万元，下降0.4%，</w:t>
      </w:r>
      <w:r>
        <w:rPr>
          <w:rFonts w:hint="eastAsia" w:ascii="Arial" w:hAnsi="Arial" w:cs="Arial"/>
          <w:color w:val="000000"/>
          <w:sz w:val="27"/>
          <w:szCs w:val="27"/>
        </w:rPr>
        <w:t>主要原因是学生人数和学校工程项目减少导致。</w:t>
      </w:r>
      <w:r>
        <w:rPr>
          <w:rFonts w:ascii="Arial" w:hAnsi="Arial" w:cs="Arial"/>
          <w:color w:val="000000"/>
          <w:sz w:val="27"/>
          <w:szCs w:val="27"/>
        </w:rPr>
        <w:t>其中：基本支出818.29万元，占91.6%；项目支出75.37万元，占8.4%；经营支出0.00万元，占0%。此外，结余分配0.00万元。</w:t>
      </w:r>
    </w:p>
    <w:p>
      <w:pPr>
        <w:pStyle w:val="4"/>
        <w:shd w:val="clear" w:color="auto" w:fill="FFFFFF"/>
        <w:spacing w:before="0" w:beforeAutospacing="0" w:after="0" w:afterAutospacing="0"/>
        <w:rPr>
          <w:rFonts w:ascii="Arial" w:hAnsi="Arial" w:cs="Arial"/>
          <w:color w:val="000000"/>
          <w:sz w:val="27"/>
          <w:szCs w:val="27"/>
        </w:rPr>
      </w:pPr>
      <w:r>
        <w:rPr>
          <w:rStyle w:val="7"/>
          <w:rFonts w:ascii="Arial" w:hAnsi="Arial" w:cs="Arial"/>
          <w:color w:val="000000"/>
          <w:sz w:val="27"/>
          <w:szCs w:val="27"/>
        </w:rPr>
        <w:t>  4.结转结余情况。</w:t>
      </w:r>
      <w:r>
        <w:rPr>
          <w:rFonts w:ascii="Arial" w:hAnsi="Arial" w:cs="Arial"/>
          <w:color w:val="000000"/>
          <w:sz w:val="27"/>
          <w:szCs w:val="27"/>
        </w:rPr>
        <w:t>2021年度年末结转和结余0.60万元，较上年决算数增加0.60万元，增长</w:t>
      </w:r>
      <w:r>
        <w:rPr>
          <w:rFonts w:hint="eastAsia" w:ascii="Arial" w:hAnsi="Arial" w:cs="Arial"/>
          <w:color w:val="000000"/>
          <w:sz w:val="27"/>
          <w:szCs w:val="27"/>
        </w:rPr>
        <w:t>0</w:t>
      </w:r>
      <w:r>
        <w:rPr>
          <w:rFonts w:ascii="Arial" w:hAnsi="Arial" w:cs="Arial"/>
          <w:color w:val="000000"/>
          <w:sz w:val="27"/>
          <w:szCs w:val="27"/>
        </w:rPr>
        <w:t>%，主要原因是</w:t>
      </w:r>
      <w:r>
        <w:rPr>
          <w:rFonts w:hint="eastAsia" w:ascii="Arial" w:hAnsi="Arial" w:cs="Arial"/>
          <w:color w:val="000000"/>
          <w:sz w:val="27"/>
          <w:szCs w:val="27"/>
        </w:rPr>
        <w:t>学前教育保育教育费结转5952.32元。</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（二）财政拨款收入支出决算总体情况说明。</w:t>
      </w:r>
    </w:p>
    <w:p>
      <w:pPr>
        <w:pStyle w:val="4"/>
        <w:shd w:val="clear" w:color="auto" w:fill="FFFFFF"/>
        <w:spacing w:before="0" w:beforeAutospacing="0" w:after="0" w:afterAutospacing="0"/>
        <w:ind w:firstLine="540" w:firstLineChars="200"/>
        <w:rPr>
          <w:rStyle w:val="7"/>
          <w:rFonts w:ascii="Arial" w:hAnsi="Arial" w:cs="Arial"/>
          <w:color w:val="000000"/>
          <w:sz w:val="27"/>
          <w:szCs w:val="27"/>
        </w:rPr>
      </w:pPr>
      <w:r>
        <w:rPr>
          <w:rFonts w:ascii="Arial" w:hAnsi="Arial" w:cs="Arial"/>
          <w:color w:val="000000"/>
          <w:sz w:val="27"/>
          <w:szCs w:val="27"/>
        </w:rPr>
        <w:t>2021年度财政拨款收、支总计880.97万元。与2020年相比，财政拨款收、支总计各增加3.18万元，增长0.4%。</w:t>
      </w:r>
      <w:r>
        <w:rPr>
          <w:rFonts w:hint="eastAsia" w:ascii="Arial" w:hAnsi="Arial" w:cs="Arial"/>
          <w:color w:val="000000"/>
          <w:sz w:val="27"/>
          <w:szCs w:val="27"/>
        </w:rPr>
        <w:t>主要原因是工资晋级调整及绩效目标提高标准导致</w:t>
      </w:r>
      <w:r>
        <w:rPr>
          <w:rStyle w:val="7"/>
          <w:rFonts w:ascii="Arial" w:hAnsi="Arial" w:cs="Arial"/>
          <w:color w:val="000000"/>
          <w:sz w:val="27"/>
          <w:szCs w:val="27"/>
        </w:rPr>
        <w:t xml:space="preserve">  </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（三）一般公共预算财政拨款收入支出决算情况说明。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1.收入情况。</w:t>
      </w:r>
      <w:r>
        <w:rPr>
          <w:rFonts w:ascii="Arial" w:hAnsi="Arial" w:cs="Arial"/>
          <w:color w:val="000000"/>
          <w:sz w:val="27"/>
          <w:szCs w:val="27"/>
        </w:rPr>
        <w:t>2021年度一般公共预算财政拨款收入880.97万元，较上年决算数增加3.18万元，增长0.4%。</w:t>
      </w:r>
      <w:r>
        <w:rPr>
          <w:rFonts w:hint="eastAsia" w:ascii="Arial" w:hAnsi="Arial" w:cs="Arial"/>
          <w:color w:val="000000"/>
          <w:sz w:val="27"/>
          <w:szCs w:val="27"/>
        </w:rPr>
        <w:t>主要原因是工资晋级调整及绩效目标提高标</w:t>
      </w:r>
      <w:r>
        <w:rPr>
          <w:rFonts w:hint="eastAsia" w:ascii="Arial" w:hAnsi="Arial" w:cs="Arial"/>
          <w:color w:val="000000" w:themeColor="text1"/>
          <w:sz w:val="27"/>
          <w:szCs w:val="27"/>
        </w:rPr>
        <w:t>准导致。</w:t>
      </w:r>
      <w:r>
        <w:rPr>
          <w:rFonts w:ascii="Arial" w:hAnsi="Arial" w:cs="Arial"/>
          <w:color w:val="000000"/>
          <w:sz w:val="27"/>
          <w:szCs w:val="27"/>
        </w:rPr>
        <w:t>较年初预算数增加335.13万元，增长61.4%。</w:t>
      </w:r>
      <w:r>
        <w:rPr>
          <w:rFonts w:hint="eastAsia" w:ascii="Arial" w:hAnsi="Arial" w:cs="Arial"/>
          <w:color w:val="000000"/>
          <w:sz w:val="27"/>
          <w:szCs w:val="27"/>
        </w:rPr>
        <w:t>主要原因是工资晋级调整及绩效目标提高标准导致。</w:t>
      </w:r>
      <w:r>
        <w:rPr>
          <w:rFonts w:ascii="Arial" w:hAnsi="Arial" w:cs="Arial"/>
          <w:color w:val="000000"/>
          <w:sz w:val="27"/>
          <w:szCs w:val="27"/>
        </w:rPr>
        <w:t>此外，年初财政拨款结转和结余0.00万元。</w:t>
      </w:r>
    </w:p>
    <w:p>
      <w:pPr>
        <w:pStyle w:val="4"/>
        <w:shd w:val="clear" w:color="auto" w:fill="FFFFFF"/>
        <w:spacing w:before="0" w:beforeAutospacing="0" w:after="0" w:afterAutospacing="0"/>
        <w:rPr>
          <w:rFonts w:ascii="Arial" w:hAnsi="Arial" w:cs="Arial"/>
          <w:color w:val="000000"/>
          <w:sz w:val="27"/>
          <w:szCs w:val="27"/>
        </w:rPr>
      </w:pPr>
      <w:r>
        <w:rPr>
          <w:rStyle w:val="7"/>
          <w:rFonts w:ascii="Arial" w:hAnsi="Arial" w:cs="Arial"/>
          <w:color w:val="000000"/>
          <w:sz w:val="27"/>
          <w:szCs w:val="27"/>
        </w:rPr>
        <w:t>  2.支出情况。</w:t>
      </w:r>
      <w:r>
        <w:rPr>
          <w:rFonts w:ascii="Arial" w:hAnsi="Arial" w:cs="Arial"/>
          <w:color w:val="000000"/>
          <w:sz w:val="27"/>
          <w:szCs w:val="27"/>
        </w:rPr>
        <w:t>2021年度一般公共预算财政拨款支出880.97万元，较上年决算数增加3.18万元，增长0.4%。</w:t>
      </w:r>
      <w:r>
        <w:rPr>
          <w:rFonts w:hint="eastAsia" w:ascii="Arial" w:hAnsi="Arial" w:cs="Arial"/>
          <w:color w:val="000000"/>
          <w:sz w:val="27"/>
          <w:szCs w:val="27"/>
        </w:rPr>
        <w:t>主要原因是工资晋级调整及绩效目标提高标准导致。</w:t>
      </w:r>
      <w:r>
        <w:rPr>
          <w:rFonts w:ascii="Arial" w:hAnsi="Arial" w:cs="Arial"/>
          <w:color w:val="000000"/>
          <w:sz w:val="27"/>
          <w:szCs w:val="27"/>
        </w:rPr>
        <w:t>较年初预算数增加335.13万元，增长61.4%。</w:t>
      </w:r>
      <w:r>
        <w:rPr>
          <w:rFonts w:hint="eastAsia" w:ascii="Arial" w:hAnsi="Arial" w:cs="Arial"/>
          <w:color w:val="000000"/>
          <w:sz w:val="27"/>
          <w:szCs w:val="27"/>
        </w:rPr>
        <w:t>主要原因是工资晋级调整及绩效目标提高标准导致。</w:t>
      </w:r>
    </w:p>
    <w:p>
      <w:pPr>
        <w:pStyle w:val="4"/>
        <w:shd w:val="clear" w:color="auto" w:fill="FFFFFF"/>
        <w:spacing w:before="0" w:beforeAutospacing="0" w:after="0" w:afterAutospacing="0"/>
        <w:rPr>
          <w:rFonts w:ascii="Arial" w:hAnsi="Arial" w:cs="Arial"/>
          <w:color w:val="000000" w:themeColor="text1"/>
          <w:sz w:val="18"/>
          <w:szCs w:val="18"/>
        </w:rPr>
      </w:pPr>
      <w:r>
        <w:rPr>
          <w:rStyle w:val="7"/>
          <w:rFonts w:ascii="Arial" w:hAnsi="Arial" w:cs="Arial"/>
          <w:color w:val="000000"/>
          <w:sz w:val="27"/>
          <w:szCs w:val="27"/>
        </w:rPr>
        <w:t>  3.结转结余情况。</w:t>
      </w:r>
      <w:r>
        <w:rPr>
          <w:rFonts w:ascii="Arial" w:hAnsi="Arial" w:cs="Arial"/>
          <w:color w:val="000000"/>
          <w:sz w:val="27"/>
          <w:szCs w:val="27"/>
        </w:rPr>
        <w:t>2021年度年末一般公共预算财政拨款结转和结余</w:t>
      </w:r>
      <w:r>
        <w:rPr>
          <w:rFonts w:ascii="Arial" w:hAnsi="Arial" w:cs="Arial"/>
          <w:color w:val="000000" w:themeColor="text1"/>
          <w:sz w:val="27"/>
          <w:szCs w:val="27"/>
        </w:rPr>
        <w:t>0.00万元，较上年决算数增加0.00万元，增长%，主要原因是</w:t>
      </w:r>
      <w:r>
        <w:rPr>
          <w:rFonts w:hint="eastAsia" w:ascii="Arial" w:hAnsi="Arial" w:cs="Arial"/>
          <w:color w:val="000000" w:themeColor="text1"/>
          <w:sz w:val="27"/>
          <w:szCs w:val="27"/>
        </w:rPr>
        <w:t>无结转结余。</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4.比较情况。</w:t>
      </w:r>
      <w:r>
        <w:rPr>
          <w:rFonts w:ascii="Arial" w:hAnsi="Arial" w:cs="Arial"/>
          <w:color w:val="000000"/>
          <w:sz w:val="27"/>
          <w:szCs w:val="27"/>
        </w:rPr>
        <w:t>本部门2021年度一般公共预算财政拨款支出主要用于以下几个方面：</w:t>
      </w:r>
      <w:r>
        <w:rPr>
          <w:rFonts w:ascii="Arial" w:hAnsi="Arial" w:cs="Arial"/>
          <w:color w:val="000000"/>
          <w:sz w:val="18"/>
          <w:szCs w:val="18"/>
        </w:rPr>
        <w:t xml:space="preserve"> </w:t>
      </w:r>
    </w:p>
    <w:p>
      <w:pPr>
        <w:pStyle w:val="4"/>
        <w:numPr>
          <w:ilvl w:val="0"/>
          <w:numId w:val="1"/>
        </w:numPr>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教育支出690.32万元，占78.4%，较年初预算数增加243.86万元，增长54.6%，</w:t>
      </w:r>
      <w:r>
        <w:rPr>
          <w:rFonts w:hint="eastAsia" w:ascii="Arial" w:hAnsi="Arial" w:cs="Arial"/>
          <w:color w:val="000000"/>
          <w:sz w:val="27"/>
          <w:szCs w:val="27"/>
        </w:rPr>
        <w:t>主要原因是工资晋级调整及绩效目标提高标准导致。</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r>
        <w:rPr>
          <w:rFonts w:hint="eastAsia" w:ascii="Arial" w:hAnsi="Arial" w:cs="Arial"/>
          <w:color w:val="000000"/>
          <w:sz w:val="27"/>
          <w:szCs w:val="27"/>
        </w:rPr>
        <w:t>2</w:t>
      </w:r>
      <w:r>
        <w:rPr>
          <w:rFonts w:ascii="Arial" w:hAnsi="Arial" w:cs="Arial"/>
          <w:color w:val="000000"/>
          <w:sz w:val="27"/>
          <w:szCs w:val="27"/>
        </w:rPr>
        <w:t>）社会保障与就业支出104.94万元，占11.9%，较年初预算数增加88.94万元，增长555.9%，</w:t>
      </w:r>
      <w:r>
        <w:rPr>
          <w:rFonts w:hint="eastAsia" w:ascii="Arial" w:hAnsi="Arial" w:cs="Arial"/>
          <w:color w:val="000000"/>
          <w:sz w:val="27"/>
          <w:szCs w:val="27"/>
        </w:rPr>
        <w:t>主要原因是缴费基数调整导致。</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r>
        <w:rPr>
          <w:rFonts w:hint="eastAsia" w:ascii="Arial" w:hAnsi="Arial" w:cs="Arial"/>
          <w:color w:val="000000"/>
          <w:sz w:val="27"/>
          <w:szCs w:val="27"/>
        </w:rPr>
        <w:t>3</w:t>
      </w:r>
      <w:r>
        <w:rPr>
          <w:rFonts w:ascii="Arial" w:hAnsi="Arial" w:cs="Arial"/>
          <w:color w:val="000000"/>
          <w:sz w:val="27"/>
          <w:szCs w:val="27"/>
        </w:rPr>
        <w:t>）卫生健康支出45.95万元，占5.2%，较年初预算数增加0.56万元，增长1.2%，</w:t>
      </w:r>
      <w:r>
        <w:rPr>
          <w:rFonts w:hint="eastAsia" w:ascii="Arial" w:hAnsi="Arial" w:cs="Arial"/>
          <w:color w:val="000000"/>
          <w:sz w:val="27"/>
          <w:szCs w:val="27"/>
        </w:rPr>
        <w:t>主要原因是缴费基数调整导致。</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r>
        <w:rPr>
          <w:rFonts w:hint="eastAsia" w:ascii="Arial" w:hAnsi="Arial" w:cs="Arial"/>
          <w:color w:val="000000"/>
          <w:sz w:val="27"/>
          <w:szCs w:val="27"/>
        </w:rPr>
        <w:t>4</w:t>
      </w:r>
      <w:r>
        <w:rPr>
          <w:rFonts w:ascii="Arial" w:hAnsi="Arial" w:cs="Arial"/>
          <w:color w:val="000000"/>
          <w:sz w:val="27"/>
          <w:szCs w:val="27"/>
        </w:rPr>
        <w:t>）住房保障支出39.75万元，占4.5%，较年初预算数增加1.77万元，增长4.7%，</w:t>
      </w:r>
      <w:r>
        <w:rPr>
          <w:rFonts w:hint="eastAsia" w:ascii="Arial" w:hAnsi="Arial" w:cs="Arial"/>
          <w:color w:val="000000"/>
          <w:sz w:val="27"/>
          <w:szCs w:val="27"/>
        </w:rPr>
        <w:t>主要原因是缴费基数调整导致。</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（四）一般公共预算财政拨款基本支出决算情况说明。</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xml:space="preserve">  </w:t>
      </w:r>
      <w:r>
        <w:rPr>
          <w:rFonts w:hint="eastAsia" w:ascii="Arial" w:hAnsi="Arial" w:cs="Arial"/>
          <w:color w:val="000000"/>
          <w:sz w:val="27"/>
          <w:szCs w:val="27"/>
        </w:rPr>
        <w:t xml:space="preserve">  </w:t>
      </w:r>
      <w:r>
        <w:rPr>
          <w:rFonts w:ascii="Arial" w:hAnsi="Arial" w:cs="Arial"/>
          <w:color w:val="000000"/>
          <w:sz w:val="27"/>
          <w:szCs w:val="27"/>
        </w:rPr>
        <w:t>2021年度一般公共财政拨款基本支出805.60万元。其中：人员经费741.53万元，较上年决算数增加7.16万元，增长1%，主要原因</w:t>
      </w:r>
      <w:r>
        <w:rPr>
          <w:rFonts w:hint="eastAsia" w:ascii="Arial" w:hAnsi="Arial" w:cs="Arial"/>
          <w:color w:val="000000"/>
          <w:sz w:val="27"/>
          <w:szCs w:val="27"/>
        </w:rPr>
        <w:t>是工资晋级调整及绩效目标标准提高导致。</w:t>
      </w:r>
      <w:r>
        <w:rPr>
          <w:rFonts w:ascii="Arial" w:hAnsi="Arial" w:cs="Arial"/>
          <w:color w:val="000000"/>
          <w:sz w:val="27"/>
          <w:szCs w:val="27"/>
        </w:rPr>
        <w:t>人员经费用途主要</w:t>
      </w:r>
      <w:r>
        <w:rPr>
          <w:rFonts w:hint="eastAsia" w:ascii="Arial" w:hAnsi="Arial" w:cs="Arial"/>
          <w:color w:val="000000"/>
          <w:sz w:val="27"/>
          <w:szCs w:val="27"/>
        </w:rPr>
        <w:t>包括基本工资、津贴补贴、奖金、绩效工资、社会保障缴费、其他福利支出等。</w:t>
      </w:r>
      <w:r>
        <w:rPr>
          <w:rFonts w:ascii="Arial" w:hAnsi="Arial" w:cs="Arial"/>
          <w:color w:val="000000"/>
          <w:sz w:val="27"/>
          <w:szCs w:val="27"/>
        </w:rPr>
        <w:t>公用经费64.07万元，较上年决算数减少2.94万元，下降4.4%，公用经费用途主要包括</w:t>
      </w:r>
      <w:r>
        <w:rPr>
          <w:rFonts w:hint="eastAsia" w:ascii="Arial" w:hAnsi="Arial" w:cs="Arial"/>
          <w:color w:val="000000"/>
          <w:sz w:val="27"/>
          <w:szCs w:val="27"/>
        </w:rPr>
        <w:t>办公费、印刷费、培训费、劳务费、工会经费、维修费、水费、电费、邮电费等。</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（五）政府性基金预算收支决算情况说明。</w:t>
      </w:r>
    </w:p>
    <w:p>
      <w:pPr>
        <w:pStyle w:val="4"/>
        <w:shd w:val="clear" w:color="auto" w:fill="FFFFFF"/>
        <w:spacing w:before="0" w:beforeAutospacing="0" w:after="0" w:afterAutospacing="0"/>
        <w:ind w:firstLine="270" w:firstLineChars="100"/>
        <w:rPr>
          <w:rFonts w:ascii="Arial" w:hAnsi="Arial" w:cs="Arial"/>
          <w:color w:val="000000"/>
          <w:sz w:val="27"/>
          <w:szCs w:val="27"/>
        </w:rPr>
      </w:pPr>
      <w:r>
        <w:rPr>
          <w:rFonts w:ascii="Arial" w:hAnsi="Arial" w:cs="Arial"/>
          <w:color w:val="000000"/>
          <w:sz w:val="27"/>
          <w:szCs w:val="27"/>
        </w:rPr>
        <w:t> </w:t>
      </w:r>
      <w:r>
        <w:rPr>
          <w:rFonts w:hint="eastAsia" w:ascii="Arial" w:hAnsi="Arial" w:cs="Arial"/>
          <w:color w:val="000000"/>
          <w:sz w:val="27"/>
          <w:szCs w:val="27"/>
        </w:rPr>
        <w:t>本部门202</w:t>
      </w:r>
      <w:r>
        <w:rPr>
          <w:rFonts w:ascii="Arial" w:hAnsi="Arial" w:cs="Arial"/>
          <w:color w:val="000000"/>
          <w:sz w:val="27"/>
          <w:szCs w:val="27"/>
        </w:rPr>
        <w:t>1</w:t>
      </w:r>
      <w:r>
        <w:rPr>
          <w:rFonts w:hint="eastAsia" w:ascii="Arial" w:hAnsi="Arial" w:cs="Arial"/>
          <w:color w:val="000000"/>
          <w:sz w:val="27"/>
          <w:szCs w:val="27"/>
        </w:rPr>
        <w:t>年度无政府性基金预算财政拨款收支。</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（六）国有资本经营预算财政拨款支出决算情况说明。</w:t>
      </w:r>
    </w:p>
    <w:p>
      <w:pPr>
        <w:pStyle w:val="4"/>
        <w:shd w:val="clear" w:color="auto" w:fill="FFFFFF"/>
        <w:spacing w:before="0" w:beforeAutospacing="0" w:after="0" w:afterAutospacing="0"/>
        <w:ind w:firstLine="270" w:firstLineChars="100"/>
        <w:rPr>
          <w:rFonts w:ascii="Arial" w:hAnsi="Arial" w:cs="Arial"/>
          <w:color w:val="000000"/>
          <w:sz w:val="27"/>
          <w:szCs w:val="27"/>
        </w:rPr>
      </w:pPr>
      <w:r>
        <w:rPr>
          <w:rFonts w:ascii="Arial" w:hAnsi="Arial" w:cs="Arial"/>
          <w:color w:val="000000"/>
          <w:sz w:val="27"/>
          <w:szCs w:val="27"/>
        </w:rPr>
        <w:t>本部门2021年度无国有资本经营预算财政拨款支出。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三、“三公”经费情况说明</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（一）“三公”经费支出总体情况说明。</w:t>
      </w:r>
    </w:p>
    <w:p>
      <w:pPr>
        <w:pStyle w:val="4"/>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r>
        <w:rPr>
          <w:rFonts w:hint="eastAsia" w:ascii="Arial" w:hAnsi="Arial" w:cs="Arial"/>
          <w:color w:val="000000"/>
          <w:sz w:val="27"/>
          <w:szCs w:val="27"/>
        </w:rPr>
        <w:t xml:space="preserve">  </w:t>
      </w:r>
      <w:r>
        <w:rPr>
          <w:rFonts w:ascii="Arial" w:hAnsi="Arial" w:cs="Arial"/>
          <w:color w:val="000000"/>
          <w:sz w:val="27"/>
          <w:szCs w:val="27"/>
        </w:rPr>
        <w:t xml:space="preserve"> 2021年度“三公”经费支出共计0.00万元，较年初预算数增加0.00万元，增长</w:t>
      </w:r>
      <w:r>
        <w:rPr>
          <w:rFonts w:hint="eastAsia" w:ascii="Arial" w:hAnsi="Arial" w:cs="Arial"/>
          <w:color w:val="000000"/>
          <w:sz w:val="27"/>
          <w:szCs w:val="27"/>
        </w:rPr>
        <w:t>0</w:t>
      </w:r>
      <w:r>
        <w:rPr>
          <w:rFonts w:ascii="Arial" w:hAnsi="Arial" w:cs="Arial"/>
          <w:color w:val="000000"/>
          <w:sz w:val="27"/>
          <w:szCs w:val="27"/>
        </w:rPr>
        <w:t>%，主要原因是</w:t>
      </w:r>
      <w:r>
        <w:rPr>
          <w:rFonts w:hint="eastAsia" w:ascii="Arial" w:hAnsi="Arial" w:cs="Arial"/>
          <w:color w:val="000000"/>
          <w:sz w:val="27"/>
          <w:szCs w:val="27"/>
        </w:rPr>
        <w:t>本部门202</w:t>
      </w:r>
      <w:r>
        <w:rPr>
          <w:rFonts w:ascii="Arial" w:hAnsi="Arial" w:cs="Arial"/>
          <w:color w:val="000000"/>
          <w:sz w:val="27"/>
          <w:szCs w:val="27"/>
        </w:rPr>
        <w:t>1</w:t>
      </w:r>
      <w:r>
        <w:rPr>
          <w:rFonts w:hint="eastAsia" w:ascii="Arial" w:hAnsi="Arial" w:cs="Arial"/>
          <w:color w:val="000000"/>
          <w:sz w:val="27"/>
          <w:szCs w:val="27"/>
        </w:rPr>
        <w:t>年度无“三公”经费支出,</w:t>
      </w:r>
      <w:r>
        <w:rPr>
          <w:rFonts w:ascii="Arial" w:hAnsi="Arial" w:cs="Arial"/>
          <w:color w:val="000000"/>
          <w:sz w:val="27"/>
          <w:szCs w:val="27"/>
        </w:rPr>
        <w:t>较上年支出数增加0.00万元，增长</w:t>
      </w:r>
      <w:r>
        <w:rPr>
          <w:rFonts w:hint="eastAsia" w:ascii="Arial" w:hAnsi="Arial" w:cs="Arial"/>
          <w:color w:val="000000"/>
          <w:sz w:val="27"/>
          <w:szCs w:val="27"/>
        </w:rPr>
        <w:t>0</w:t>
      </w:r>
      <w:r>
        <w:rPr>
          <w:rFonts w:ascii="Arial" w:hAnsi="Arial" w:cs="Arial"/>
          <w:color w:val="000000"/>
          <w:sz w:val="27"/>
          <w:szCs w:val="27"/>
        </w:rPr>
        <w:t>%，</w:t>
      </w:r>
      <w:r>
        <w:rPr>
          <w:rFonts w:hint="eastAsia" w:ascii="Arial" w:hAnsi="Arial" w:cs="Arial"/>
          <w:color w:val="000000"/>
          <w:sz w:val="27"/>
          <w:szCs w:val="27"/>
        </w:rPr>
        <w:t>与年初预算数持平。</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（二）“三公”经费分项支出情况。</w:t>
      </w:r>
    </w:p>
    <w:p>
      <w:pPr>
        <w:pStyle w:val="4"/>
        <w:shd w:val="clear" w:color="auto" w:fill="FFFFFF"/>
        <w:spacing w:before="0" w:beforeAutospacing="0" w:after="0" w:afterAutospacing="0"/>
        <w:rPr>
          <w:rFonts w:ascii="Arial" w:hAnsi="Arial" w:cs="Arial"/>
          <w:color w:val="000000" w:themeColor="text1"/>
          <w:sz w:val="18"/>
          <w:szCs w:val="18"/>
        </w:rPr>
      </w:pPr>
      <w:r>
        <w:rPr>
          <w:rFonts w:ascii="Arial" w:hAnsi="Arial" w:cs="Arial"/>
          <w:color w:val="000000"/>
          <w:sz w:val="27"/>
          <w:szCs w:val="27"/>
        </w:rPr>
        <w:t> </w:t>
      </w:r>
      <w:r>
        <w:rPr>
          <w:rFonts w:hint="eastAsia" w:ascii="Arial" w:hAnsi="Arial" w:cs="Arial"/>
          <w:color w:val="000000"/>
          <w:sz w:val="27"/>
          <w:szCs w:val="27"/>
          <w:lang w:val="en-US" w:eastAsia="zh-CN"/>
        </w:rPr>
        <w:t xml:space="preserve">   </w:t>
      </w:r>
      <w:r>
        <w:rPr>
          <w:rFonts w:ascii="Arial" w:hAnsi="Arial" w:cs="Arial"/>
          <w:color w:val="000000"/>
          <w:sz w:val="27"/>
          <w:szCs w:val="27"/>
        </w:rPr>
        <w:t xml:space="preserve"> 2021年度本部门因公出国（境）费用0.00万元，费用支出较年初预算数增加0.00万元，增长</w:t>
      </w:r>
      <w:r>
        <w:rPr>
          <w:rFonts w:hint="eastAsia" w:ascii="Arial" w:hAnsi="Arial" w:cs="Arial"/>
          <w:color w:val="000000"/>
          <w:sz w:val="27"/>
          <w:szCs w:val="27"/>
        </w:rPr>
        <w:t>0</w:t>
      </w:r>
      <w:r>
        <w:rPr>
          <w:rFonts w:ascii="Arial" w:hAnsi="Arial" w:cs="Arial"/>
          <w:color w:val="000000"/>
          <w:sz w:val="27"/>
          <w:szCs w:val="27"/>
        </w:rPr>
        <w:t>%，主要原因是本部门</w:t>
      </w:r>
      <w:r>
        <w:rPr>
          <w:rFonts w:hint="eastAsia" w:ascii="Arial" w:hAnsi="Arial" w:cs="Arial"/>
          <w:color w:val="000000"/>
          <w:sz w:val="27"/>
          <w:szCs w:val="27"/>
        </w:rPr>
        <w:t>无</w:t>
      </w:r>
      <w:r>
        <w:rPr>
          <w:rFonts w:ascii="Arial" w:hAnsi="Arial" w:cs="Arial"/>
          <w:color w:val="000000"/>
          <w:sz w:val="27"/>
          <w:szCs w:val="27"/>
        </w:rPr>
        <w:t>因公出国（境）费用</w:t>
      </w:r>
      <w:r>
        <w:rPr>
          <w:rFonts w:hint="eastAsia" w:ascii="Arial" w:hAnsi="Arial" w:cs="Arial"/>
          <w:color w:val="000000"/>
          <w:sz w:val="27"/>
          <w:szCs w:val="27"/>
        </w:rPr>
        <w:t>，</w:t>
      </w:r>
      <w:r>
        <w:rPr>
          <w:rFonts w:ascii="Arial" w:hAnsi="Arial" w:cs="Arial"/>
          <w:color w:val="000000"/>
          <w:sz w:val="27"/>
          <w:szCs w:val="27"/>
        </w:rPr>
        <w:t>较上年支出数增加0.00万元，增长</w:t>
      </w:r>
      <w:r>
        <w:rPr>
          <w:rFonts w:hint="eastAsia" w:ascii="Arial" w:hAnsi="Arial" w:cs="Arial"/>
          <w:color w:val="000000"/>
          <w:sz w:val="27"/>
          <w:szCs w:val="27"/>
        </w:rPr>
        <w:t>0</w:t>
      </w:r>
      <w:r>
        <w:rPr>
          <w:rFonts w:ascii="Arial" w:hAnsi="Arial" w:cs="Arial"/>
          <w:color w:val="000000"/>
          <w:sz w:val="27"/>
          <w:szCs w:val="27"/>
        </w:rPr>
        <w:t>%，主要原因是本部门</w:t>
      </w:r>
      <w:r>
        <w:rPr>
          <w:rFonts w:hint="eastAsia" w:ascii="Arial" w:hAnsi="Arial" w:cs="Arial"/>
          <w:color w:val="000000"/>
          <w:sz w:val="27"/>
          <w:szCs w:val="27"/>
        </w:rPr>
        <w:t>无</w:t>
      </w:r>
      <w:r>
        <w:rPr>
          <w:rFonts w:ascii="Arial" w:hAnsi="Arial" w:cs="Arial"/>
          <w:color w:val="000000"/>
          <w:sz w:val="27"/>
          <w:szCs w:val="27"/>
        </w:rPr>
        <w:t>因公出国</w:t>
      </w:r>
      <w:r>
        <w:rPr>
          <w:rFonts w:ascii="Arial" w:hAnsi="Arial" w:cs="Arial"/>
          <w:color w:val="000000" w:themeColor="text1"/>
          <w:sz w:val="27"/>
          <w:szCs w:val="27"/>
        </w:rPr>
        <w:t>（境）费用。</w:t>
      </w:r>
    </w:p>
    <w:p>
      <w:pPr>
        <w:pStyle w:val="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hint="eastAsia" w:ascii="Arial" w:hAnsi="Arial" w:cs="Arial"/>
          <w:color w:val="000000"/>
          <w:sz w:val="27"/>
          <w:szCs w:val="27"/>
          <w:lang w:val="en-US" w:eastAsia="zh-CN"/>
        </w:rPr>
        <w:t xml:space="preserve">   </w:t>
      </w:r>
      <w:r>
        <w:rPr>
          <w:rFonts w:ascii="Arial" w:hAnsi="Arial" w:cs="Arial"/>
          <w:color w:val="000000"/>
          <w:sz w:val="27"/>
          <w:szCs w:val="27"/>
        </w:rPr>
        <w:t>公务车购置费0.00万元。费用支出较年初预算数增加0.00万元，增长</w:t>
      </w:r>
      <w:r>
        <w:rPr>
          <w:rFonts w:hint="eastAsia" w:ascii="Arial" w:hAnsi="Arial" w:cs="Arial"/>
          <w:color w:val="000000"/>
          <w:sz w:val="27"/>
          <w:szCs w:val="27"/>
        </w:rPr>
        <w:t>0</w:t>
      </w:r>
      <w:r>
        <w:rPr>
          <w:rFonts w:ascii="Arial" w:hAnsi="Arial" w:cs="Arial"/>
          <w:color w:val="000000"/>
          <w:sz w:val="27"/>
          <w:szCs w:val="27"/>
        </w:rPr>
        <w:t>%，主要原因是</w:t>
      </w:r>
      <w:r>
        <w:rPr>
          <w:rFonts w:hint="eastAsia" w:ascii="Arial" w:hAnsi="Arial" w:cs="Arial"/>
          <w:color w:val="000000"/>
          <w:sz w:val="27"/>
          <w:szCs w:val="27"/>
        </w:rPr>
        <w:t>无</w:t>
      </w:r>
      <w:r>
        <w:rPr>
          <w:rFonts w:ascii="Arial" w:hAnsi="Arial" w:cs="Arial"/>
          <w:color w:val="000000"/>
          <w:sz w:val="27"/>
          <w:szCs w:val="27"/>
        </w:rPr>
        <w:t>公务车购置费。较上年支出数增加0.00万元，增长</w:t>
      </w:r>
      <w:r>
        <w:rPr>
          <w:rFonts w:hint="eastAsia" w:ascii="Arial" w:hAnsi="Arial" w:cs="Arial"/>
          <w:color w:val="000000"/>
          <w:sz w:val="27"/>
          <w:szCs w:val="27"/>
        </w:rPr>
        <w:t>0</w:t>
      </w:r>
      <w:r>
        <w:rPr>
          <w:rFonts w:ascii="Arial" w:hAnsi="Arial" w:cs="Arial"/>
          <w:color w:val="000000"/>
          <w:sz w:val="27"/>
          <w:szCs w:val="27"/>
        </w:rPr>
        <w:t>%，主要原因是</w:t>
      </w:r>
      <w:r>
        <w:rPr>
          <w:rFonts w:hint="eastAsia" w:ascii="Arial" w:hAnsi="Arial" w:cs="Arial"/>
          <w:color w:val="000000"/>
          <w:sz w:val="27"/>
          <w:szCs w:val="27"/>
        </w:rPr>
        <w:t>无</w:t>
      </w:r>
      <w:r>
        <w:rPr>
          <w:rFonts w:ascii="Arial" w:hAnsi="Arial" w:cs="Arial"/>
          <w:color w:val="000000"/>
          <w:sz w:val="27"/>
          <w:szCs w:val="27"/>
        </w:rPr>
        <w:t>公务车购置费。</w:t>
      </w:r>
    </w:p>
    <w:p>
      <w:pPr>
        <w:pStyle w:val="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hint="eastAsia" w:ascii="Arial" w:hAnsi="Arial" w:cs="Arial"/>
          <w:color w:val="000000"/>
          <w:sz w:val="27"/>
          <w:szCs w:val="27"/>
          <w:lang w:val="en-US" w:eastAsia="zh-CN"/>
        </w:rPr>
        <w:t xml:space="preserve">   </w:t>
      </w:r>
      <w:r>
        <w:rPr>
          <w:rFonts w:ascii="Arial" w:hAnsi="Arial" w:cs="Arial"/>
          <w:color w:val="000000"/>
          <w:sz w:val="27"/>
          <w:szCs w:val="27"/>
        </w:rPr>
        <w:t>公务车运行维护</w:t>
      </w:r>
      <w:r>
        <w:rPr>
          <w:rFonts w:ascii="Arial" w:hAnsi="Arial" w:cs="Arial"/>
          <w:color w:val="000000" w:themeColor="text1"/>
          <w:sz w:val="27"/>
          <w:szCs w:val="27"/>
        </w:rPr>
        <w:t>费0.00万元。费用</w:t>
      </w:r>
      <w:r>
        <w:rPr>
          <w:rFonts w:ascii="Arial" w:hAnsi="Arial" w:cs="Arial"/>
          <w:color w:val="000000"/>
          <w:sz w:val="27"/>
          <w:szCs w:val="27"/>
        </w:rPr>
        <w:t>支出较年初预算数增加0.00万元，增长</w:t>
      </w:r>
      <w:r>
        <w:rPr>
          <w:rFonts w:hint="eastAsia" w:ascii="Arial" w:hAnsi="Arial" w:cs="Arial"/>
          <w:color w:val="000000"/>
          <w:sz w:val="27"/>
          <w:szCs w:val="27"/>
        </w:rPr>
        <w:t>0</w:t>
      </w:r>
      <w:r>
        <w:rPr>
          <w:rFonts w:ascii="Arial" w:hAnsi="Arial" w:cs="Arial"/>
          <w:color w:val="000000"/>
          <w:sz w:val="27"/>
          <w:szCs w:val="27"/>
        </w:rPr>
        <w:t>%，</w:t>
      </w:r>
      <w:r>
        <w:rPr>
          <w:rFonts w:ascii="Arial" w:hAnsi="Arial" w:cs="Arial"/>
          <w:color w:val="000000" w:themeColor="text1"/>
          <w:sz w:val="27"/>
          <w:szCs w:val="27"/>
        </w:rPr>
        <w:t>主要原因是</w:t>
      </w:r>
      <w:r>
        <w:rPr>
          <w:rFonts w:hint="eastAsia" w:ascii="Arial" w:hAnsi="Arial" w:cs="Arial"/>
          <w:color w:val="000000" w:themeColor="text1"/>
          <w:sz w:val="27"/>
          <w:szCs w:val="27"/>
        </w:rPr>
        <w:t>无</w:t>
      </w:r>
      <w:r>
        <w:rPr>
          <w:rFonts w:ascii="Arial" w:hAnsi="Arial" w:cs="Arial"/>
          <w:color w:val="000000" w:themeColor="text1"/>
          <w:sz w:val="27"/>
          <w:szCs w:val="27"/>
        </w:rPr>
        <w:t>公务车运行维护费。较</w:t>
      </w:r>
      <w:r>
        <w:rPr>
          <w:rFonts w:ascii="Arial" w:hAnsi="Arial" w:cs="Arial"/>
          <w:color w:val="000000"/>
          <w:sz w:val="27"/>
          <w:szCs w:val="27"/>
        </w:rPr>
        <w:t>上年支出数增加0.00万元，增长</w:t>
      </w:r>
      <w:r>
        <w:rPr>
          <w:rFonts w:hint="eastAsia" w:ascii="Arial" w:hAnsi="Arial" w:cs="Arial"/>
          <w:color w:val="000000"/>
          <w:sz w:val="27"/>
          <w:szCs w:val="27"/>
        </w:rPr>
        <w:t>0</w:t>
      </w:r>
      <w:r>
        <w:rPr>
          <w:rFonts w:ascii="Arial" w:hAnsi="Arial" w:cs="Arial"/>
          <w:color w:val="000000"/>
          <w:sz w:val="27"/>
          <w:szCs w:val="27"/>
        </w:rPr>
        <w:t>%，</w:t>
      </w:r>
      <w:r>
        <w:rPr>
          <w:rFonts w:ascii="Arial" w:hAnsi="Arial" w:cs="Arial"/>
          <w:color w:val="000000" w:themeColor="text1"/>
          <w:sz w:val="27"/>
          <w:szCs w:val="27"/>
        </w:rPr>
        <w:t>主要原因是</w:t>
      </w:r>
      <w:r>
        <w:rPr>
          <w:rFonts w:hint="eastAsia" w:ascii="Arial" w:hAnsi="Arial" w:cs="Arial"/>
          <w:color w:val="000000" w:themeColor="text1"/>
          <w:sz w:val="27"/>
          <w:szCs w:val="27"/>
        </w:rPr>
        <w:t>无</w:t>
      </w:r>
      <w:r>
        <w:rPr>
          <w:rFonts w:ascii="Arial" w:hAnsi="Arial" w:cs="Arial"/>
          <w:color w:val="000000" w:themeColor="text1"/>
          <w:sz w:val="27"/>
          <w:szCs w:val="27"/>
        </w:rPr>
        <w:t>公务车运行维护费。</w:t>
      </w:r>
    </w:p>
    <w:p>
      <w:pPr>
        <w:pStyle w:val="4"/>
        <w:shd w:val="clear" w:color="auto" w:fill="FFFFFF"/>
        <w:spacing w:before="0" w:beforeAutospacing="0" w:after="0" w:afterAutospacing="0"/>
        <w:rPr>
          <w:rFonts w:ascii="Arial" w:hAnsi="Arial" w:cs="Arial"/>
          <w:color w:val="000000" w:themeColor="text1"/>
          <w:sz w:val="27"/>
          <w:szCs w:val="27"/>
        </w:rPr>
      </w:pPr>
      <w:r>
        <w:rPr>
          <w:rFonts w:ascii="Arial" w:hAnsi="Arial" w:cs="Arial"/>
          <w:color w:val="000000"/>
          <w:sz w:val="27"/>
          <w:szCs w:val="27"/>
        </w:rPr>
        <w:t xml:space="preserve">  </w:t>
      </w:r>
      <w:r>
        <w:rPr>
          <w:rFonts w:hint="eastAsia" w:ascii="Arial" w:hAnsi="Arial" w:cs="Arial"/>
          <w:color w:val="000000"/>
          <w:sz w:val="27"/>
          <w:szCs w:val="27"/>
          <w:lang w:val="en-US" w:eastAsia="zh-CN"/>
        </w:rPr>
        <w:t xml:space="preserve">   </w:t>
      </w:r>
      <w:bookmarkStart w:id="0" w:name="_GoBack"/>
      <w:bookmarkEnd w:id="0"/>
      <w:r>
        <w:rPr>
          <w:rFonts w:ascii="Arial" w:hAnsi="Arial" w:cs="Arial"/>
          <w:color w:val="000000"/>
          <w:sz w:val="27"/>
          <w:szCs w:val="27"/>
        </w:rPr>
        <w:t>公务接待费0.00万元，费用支出较年初预算数增加0.00万元，增长</w:t>
      </w:r>
      <w:r>
        <w:rPr>
          <w:rFonts w:hint="eastAsia" w:ascii="Arial" w:hAnsi="Arial" w:cs="Arial"/>
          <w:color w:val="000000"/>
          <w:sz w:val="27"/>
          <w:szCs w:val="27"/>
        </w:rPr>
        <w:t>0</w:t>
      </w:r>
      <w:r>
        <w:rPr>
          <w:rFonts w:ascii="Arial" w:hAnsi="Arial" w:cs="Arial"/>
          <w:color w:val="000000"/>
          <w:sz w:val="27"/>
          <w:szCs w:val="27"/>
        </w:rPr>
        <w:t>%，主要原因</w:t>
      </w:r>
      <w:r>
        <w:rPr>
          <w:rFonts w:ascii="Arial" w:hAnsi="Arial" w:cs="Arial"/>
          <w:color w:val="000000" w:themeColor="text1"/>
          <w:sz w:val="27"/>
          <w:szCs w:val="27"/>
        </w:rPr>
        <w:t>是</w:t>
      </w:r>
      <w:r>
        <w:rPr>
          <w:rFonts w:hint="eastAsia" w:ascii="Arial" w:hAnsi="Arial" w:cs="Arial"/>
          <w:color w:val="000000" w:themeColor="text1"/>
          <w:sz w:val="27"/>
          <w:szCs w:val="27"/>
        </w:rPr>
        <w:t>无</w:t>
      </w:r>
      <w:r>
        <w:rPr>
          <w:rFonts w:ascii="Arial" w:hAnsi="Arial" w:cs="Arial"/>
          <w:color w:val="000000" w:themeColor="text1"/>
          <w:sz w:val="27"/>
          <w:szCs w:val="27"/>
        </w:rPr>
        <w:t>公务接待费。</w:t>
      </w:r>
      <w:r>
        <w:rPr>
          <w:rFonts w:ascii="Arial" w:hAnsi="Arial" w:cs="Arial"/>
          <w:color w:val="000000"/>
          <w:sz w:val="27"/>
          <w:szCs w:val="27"/>
        </w:rPr>
        <w:t>较上年支出数增加0.00万元，增长</w:t>
      </w:r>
      <w:r>
        <w:rPr>
          <w:rFonts w:hint="eastAsia" w:ascii="Arial" w:hAnsi="Arial" w:cs="Arial"/>
          <w:color w:val="000000"/>
          <w:sz w:val="27"/>
          <w:szCs w:val="27"/>
        </w:rPr>
        <w:t>0</w:t>
      </w:r>
      <w:r>
        <w:rPr>
          <w:rFonts w:ascii="Arial" w:hAnsi="Arial" w:cs="Arial"/>
          <w:color w:val="000000"/>
          <w:sz w:val="27"/>
          <w:szCs w:val="27"/>
        </w:rPr>
        <w:t>%，主要原因</w:t>
      </w:r>
      <w:r>
        <w:rPr>
          <w:rFonts w:ascii="Arial" w:hAnsi="Arial" w:cs="Arial"/>
          <w:color w:val="000000" w:themeColor="text1"/>
          <w:sz w:val="27"/>
          <w:szCs w:val="27"/>
        </w:rPr>
        <w:t>是</w:t>
      </w:r>
      <w:r>
        <w:rPr>
          <w:rFonts w:hint="eastAsia" w:ascii="Arial" w:hAnsi="Arial" w:cs="Arial"/>
          <w:color w:val="000000" w:themeColor="text1"/>
          <w:sz w:val="27"/>
          <w:szCs w:val="27"/>
        </w:rPr>
        <w:t>无</w:t>
      </w:r>
      <w:r>
        <w:rPr>
          <w:rFonts w:ascii="Arial" w:hAnsi="Arial" w:cs="Arial"/>
          <w:color w:val="000000" w:themeColor="text1"/>
          <w:sz w:val="27"/>
          <w:szCs w:val="27"/>
        </w:rPr>
        <w:t>公务接待费。</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（三）“三公”经费实物量情况。</w:t>
      </w:r>
    </w:p>
    <w:p>
      <w:pPr>
        <w:pStyle w:val="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hint="eastAsia" w:ascii="Arial" w:hAnsi="Arial" w:cs="Arial"/>
          <w:color w:val="000000"/>
          <w:sz w:val="27"/>
          <w:szCs w:val="27"/>
        </w:rPr>
        <w:t xml:space="preserve">  </w:t>
      </w:r>
      <w:r>
        <w:rPr>
          <w:rFonts w:ascii="Arial" w:hAnsi="Arial" w:cs="Arial"/>
          <w:color w:val="000000"/>
          <w:sz w:val="27"/>
          <w:szCs w:val="27"/>
        </w:rPr>
        <w:t>2021年度本部门因公出国（境）共计0个团组，0人；公务用车购置0辆，公务车保有量为0辆；国内公务接待0批次0人，其中：国内外事接待0批次，0人；国（境）外公务接待0批次，0人。2021年本部门人均接待费0.00元，车均购置费0.00万元，车均维护费0.00万元。</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四、其他需要说明的事项</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（一）一般公共预算财政拨款会议费和培训费情况说明。</w:t>
      </w:r>
    </w:p>
    <w:p>
      <w:pPr>
        <w:pStyle w:val="4"/>
        <w:shd w:val="clear" w:color="auto" w:fill="FFFFFF"/>
        <w:spacing w:before="0" w:beforeAutospacing="0" w:after="0" w:afterAutospacing="0"/>
        <w:rPr>
          <w:rFonts w:ascii="Arial" w:hAnsi="Arial" w:cs="Arial"/>
          <w:color w:val="000000"/>
          <w:sz w:val="27"/>
          <w:szCs w:val="27"/>
          <w:shd w:val="clear" w:color="auto" w:fill="FFFF00"/>
        </w:rPr>
      </w:pPr>
      <w:r>
        <w:rPr>
          <w:rFonts w:ascii="Arial" w:hAnsi="Arial" w:cs="Arial"/>
          <w:color w:val="000000"/>
          <w:sz w:val="27"/>
          <w:szCs w:val="27"/>
        </w:rPr>
        <w:t xml:space="preserve">  </w:t>
      </w:r>
      <w:r>
        <w:rPr>
          <w:rFonts w:hint="eastAsia" w:ascii="Arial" w:hAnsi="Arial" w:cs="Arial"/>
          <w:color w:val="000000"/>
          <w:sz w:val="27"/>
          <w:szCs w:val="27"/>
        </w:rPr>
        <w:t xml:space="preserve">  </w:t>
      </w:r>
      <w:r>
        <w:rPr>
          <w:rFonts w:ascii="Arial" w:hAnsi="Arial" w:cs="Arial"/>
          <w:color w:val="000000"/>
          <w:sz w:val="27"/>
          <w:szCs w:val="27"/>
        </w:rPr>
        <w:t>本年度会议费支出0.00万元，较上年决算数增加0.00万元，增长%，主要原因是本年度</w:t>
      </w:r>
      <w:r>
        <w:rPr>
          <w:rFonts w:hint="eastAsia" w:ascii="Arial" w:hAnsi="Arial" w:cs="Arial"/>
          <w:color w:val="000000"/>
          <w:sz w:val="27"/>
          <w:szCs w:val="27"/>
        </w:rPr>
        <w:t>无</w:t>
      </w:r>
      <w:r>
        <w:rPr>
          <w:rFonts w:ascii="Arial" w:hAnsi="Arial" w:cs="Arial"/>
          <w:color w:val="000000"/>
          <w:sz w:val="27"/>
          <w:szCs w:val="27"/>
        </w:rPr>
        <w:t>会议费</w:t>
      </w:r>
      <w:r>
        <w:rPr>
          <w:rFonts w:hint="eastAsia" w:ascii="Arial" w:hAnsi="Arial" w:cs="Arial"/>
          <w:color w:val="000000"/>
          <w:sz w:val="27"/>
          <w:szCs w:val="27"/>
        </w:rPr>
        <w:t>支出</w:t>
      </w:r>
      <w:r>
        <w:rPr>
          <w:rFonts w:ascii="Arial" w:hAnsi="Arial" w:cs="Arial"/>
          <w:color w:val="000000"/>
          <w:sz w:val="27"/>
          <w:szCs w:val="27"/>
        </w:rPr>
        <w:t>。本年度培训费支出2.56万元，较上年决算数增加1.00万元，增长64.1%，主要原因是</w:t>
      </w:r>
      <w:r>
        <w:rPr>
          <w:rFonts w:hint="eastAsia" w:ascii="Arial" w:hAnsi="Arial" w:cs="Arial"/>
          <w:color w:val="000000"/>
          <w:sz w:val="27"/>
          <w:szCs w:val="27"/>
        </w:rPr>
        <w:t>教师迫切</w:t>
      </w:r>
      <w:r>
        <w:rPr>
          <w:rFonts w:ascii="Arial" w:hAnsi="Arial" w:cs="Arial"/>
          <w:color w:val="000000"/>
          <w:sz w:val="27"/>
          <w:szCs w:val="27"/>
        </w:rPr>
        <w:t>需要提升自身业务水平，</w:t>
      </w:r>
      <w:r>
        <w:rPr>
          <w:rFonts w:hint="eastAsia" w:ascii="Arial" w:hAnsi="Arial" w:cs="Arial"/>
          <w:color w:val="000000"/>
          <w:sz w:val="27"/>
          <w:szCs w:val="27"/>
        </w:rPr>
        <w:t>培训</w:t>
      </w:r>
      <w:r>
        <w:rPr>
          <w:rFonts w:ascii="Arial" w:hAnsi="Arial" w:cs="Arial"/>
          <w:color w:val="000000"/>
          <w:sz w:val="27"/>
          <w:szCs w:val="27"/>
        </w:rPr>
        <w:t>需</w:t>
      </w:r>
      <w:r>
        <w:rPr>
          <w:rFonts w:hint="eastAsia" w:ascii="Arial" w:hAnsi="Arial" w:cs="Arial"/>
          <w:color w:val="000000"/>
          <w:sz w:val="27"/>
          <w:szCs w:val="27"/>
        </w:rPr>
        <w:t>求</w:t>
      </w:r>
      <w:r>
        <w:rPr>
          <w:rFonts w:ascii="Arial" w:hAnsi="Arial" w:cs="Arial"/>
          <w:color w:val="000000"/>
          <w:sz w:val="27"/>
          <w:szCs w:val="27"/>
        </w:rPr>
        <w:t>增加。</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（二）机关运行经费情况说明。</w:t>
      </w:r>
    </w:p>
    <w:p>
      <w:pPr>
        <w:pStyle w:val="4"/>
        <w:shd w:val="clear" w:color="auto" w:fill="FFFFFF"/>
        <w:spacing w:before="0" w:beforeAutospacing="0" w:after="0" w:afterAutospacing="0"/>
        <w:ind w:firstLine="405" w:firstLineChars="150"/>
        <w:rPr>
          <w:rFonts w:ascii="Arial" w:hAnsi="Arial" w:cs="Arial"/>
          <w:color w:val="000000"/>
          <w:sz w:val="18"/>
          <w:szCs w:val="18"/>
        </w:rPr>
      </w:pPr>
      <w:r>
        <w:rPr>
          <w:rFonts w:hint="eastAsia" w:ascii="Arial" w:hAnsi="Arial" w:cs="Arial"/>
          <w:color w:val="000000"/>
          <w:sz w:val="27"/>
          <w:szCs w:val="27"/>
        </w:rPr>
        <w:t>按照部门决算列报口径,我单位不在机关运行经费统计范围之内。</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（三）国有资产占用情况说明。</w:t>
      </w:r>
    </w:p>
    <w:p>
      <w:pPr>
        <w:pStyle w:val="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截至2021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（四）政府采购支出情况说明。</w:t>
      </w:r>
    </w:p>
    <w:p>
      <w:pPr>
        <w:pStyle w:val="4"/>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2021年度本部门政府采购支出总额1.02万元，其中：政府采购货物支出1.02万元、政府采购工程支出0.00万元、政府采购服务支出0.00万元。授予中小企业合同金额1.02万元，占政府采购支出总额的100%，其中：授予小微企业合同金额1.02万元，占政府采购支出总额的100%。主要用于采</w:t>
      </w:r>
      <w:r>
        <w:rPr>
          <w:rFonts w:ascii="Arial" w:hAnsi="Arial" w:cs="Arial"/>
          <w:color w:val="000000" w:themeColor="text1"/>
          <w:sz w:val="27"/>
          <w:szCs w:val="27"/>
        </w:rPr>
        <w:t>购</w:t>
      </w:r>
      <w:r>
        <w:rPr>
          <w:rFonts w:hint="eastAsia" w:ascii="Arial" w:hAnsi="Arial" w:cs="Arial"/>
          <w:color w:val="000000" w:themeColor="text1"/>
          <w:sz w:val="27"/>
          <w:szCs w:val="27"/>
        </w:rPr>
        <w:t>同步课堂教室笔记本电脑2台</w:t>
      </w:r>
      <w:r>
        <w:rPr>
          <w:rFonts w:ascii="Arial" w:hAnsi="Arial" w:cs="Arial"/>
          <w:color w:val="000000" w:themeColor="text1"/>
          <w:sz w:val="27"/>
          <w:szCs w:val="27"/>
        </w:rPr>
        <w:t>。</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五、预算绩效管理情况说明</w:t>
      </w:r>
    </w:p>
    <w:p>
      <w:pPr>
        <w:pStyle w:val="4"/>
        <w:numPr>
          <w:ilvl w:val="0"/>
          <w:numId w:val="2"/>
        </w:numPr>
        <w:shd w:val="clear" w:color="auto" w:fill="FFFFFF"/>
        <w:spacing w:before="0" w:beforeAutospacing="0" w:after="0" w:afterAutospacing="0"/>
        <w:rPr>
          <w:rStyle w:val="7"/>
          <w:rFonts w:ascii="Arial" w:hAnsi="Arial" w:cs="Arial"/>
          <w:color w:val="000000"/>
          <w:sz w:val="27"/>
          <w:szCs w:val="27"/>
        </w:rPr>
      </w:pPr>
      <w:r>
        <w:rPr>
          <w:rStyle w:val="7"/>
          <w:rFonts w:ascii="Arial" w:hAnsi="Arial" w:cs="Arial"/>
          <w:color w:val="000000"/>
          <w:sz w:val="27"/>
          <w:szCs w:val="27"/>
        </w:rPr>
        <w:t>预算绩效管理工作开展情况。</w:t>
      </w:r>
    </w:p>
    <w:p>
      <w:pPr>
        <w:pStyle w:val="4"/>
        <w:shd w:val="clear" w:color="auto" w:fill="FFFFFF"/>
        <w:spacing w:before="0" w:beforeAutospacing="0" w:after="0" w:afterAutospacing="0"/>
        <w:ind w:firstLine="540" w:firstLineChars="200"/>
        <w:rPr>
          <w:rFonts w:ascii="Arial" w:hAnsi="Arial" w:cs="Arial"/>
          <w:color w:val="000000"/>
          <w:sz w:val="27"/>
          <w:szCs w:val="27"/>
        </w:rPr>
      </w:pPr>
      <w:r>
        <w:rPr>
          <w:rFonts w:hint="eastAsia" w:ascii="Arial" w:hAnsi="Arial" w:cs="Arial"/>
          <w:color w:val="000000"/>
          <w:sz w:val="27"/>
          <w:szCs w:val="27"/>
        </w:rPr>
        <w:t>根据预算绩效管理要求，</w:t>
      </w:r>
      <w:r>
        <w:rPr>
          <w:rFonts w:ascii="Arial" w:hAnsi="Arial" w:cs="Arial"/>
          <w:color w:val="000000"/>
          <w:sz w:val="27"/>
          <w:szCs w:val="27"/>
        </w:rPr>
        <w:t>本部门</w:t>
      </w:r>
      <w:r>
        <w:rPr>
          <w:rFonts w:hint="eastAsia" w:ascii="Arial" w:hAnsi="Arial" w:cs="Arial"/>
          <w:color w:val="000000"/>
          <w:sz w:val="27"/>
          <w:szCs w:val="27"/>
        </w:rPr>
        <w:t>项目立项较为规范,绩效目标明确,预算编制合理,管理科学规范,资金到位及时,总体完成情况较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（二）绩效自评结果。</w:t>
      </w:r>
    </w:p>
    <w:p>
      <w:pPr>
        <w:pStyle w:val="4"/>
        <w:numPr>
          <w:ilvl w:val="0"/>
          <w:numId w:val="3"/>
        </w:numPr>
        <w:shd w:val="clear" w:color="auto" w:fill="FFFFFF"/>
        <w:spacing w:before="0" w:beforeAutospacing="0" w:after="0" w:afterAutospacing="0"/>
        <w:rPr>
          <w:rStyle w:val="7"/>
          <w:rFonts w:ascii="Arial" w:hAnsi="Arial" w:cs="Arial"/>
          <w:color w:val="000000"/>
          <w:sz w:val="27"/>
          <w:szCs w:val="27"/>
        </w:rPr>
      </w:pPr>
      <w:r>
        <w:rPr>
          <w:rStyle w:val="7"/>
          <w:rFonts w:ascii="Arial" w:hAnsi="Arial" w:cs="Arial"/>
          <w:color w:val="000000"/>
          <w:sz w:val="27"/>
          <w:szCs w:val="27"/>
        </w:rPr>
        <w:t>绩效目标自评表。</w:t>
      </w:r>
    </w:p>
    <w:tbl>
      <w:tblPr>
        <w:tblStyle w:val="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项目</w:t>
            </w:r>
            <w:r>
              <w:rPr>
                <w:rFonts w:hint="eastAsia" w:ascii="宋体" w:hAnsi="宋体" w:eastAsia="等线" w:cs="宋体"/>
                <w:kern w:val="0"/>
                <w:sz w:val="20"/>
                <w:szCs w:val="20"/>
              </w:rPr>
              <w:t>名称</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贫困学生资助款</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自评总分</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主管部门</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hint="eastAsia" w:ascii="宋体" w:hAnsi="宋体" w:eastAsia="宋体" w:cs="宋体"/>
                <w:kern w:val="0"/>
                <w:sz w:val="16"/>
                <w:szCs w:val="16"/>
              </w:rPr>
              <w:t>丰都县教育委员会</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实施单位</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丰都县南天湖</w:t>
            </w:r>
          </w:p>
          <w:p>
            <w:pPr>
              <w:widowControl/>
              <w:jc w:val="center"/>
              <w:rPr>
                <w:rFonts w:ascii="宋体" w:hAnsi="宋体" w:eastAsia="等线" w:cs="宋体"/>
                <w:kern w:val="0"/>
                <w:sz w:val="20"/>
                <w:szCs w:val="20"/>
              </w:rPr>
            </w:pPr>
            <w:r>
              <w:rPr>
                <w:rFonts w:hint="eastAsia" w:ascii="宋体" w:hAnsi="宋体" w:eastAsia="等线" w:cs="宋体"/>
                <w:kern w:val="0"/>
                <w:sz w:val="20"/>
                <w:szCs w:val="20"/>
              </w:rPr>
              <w:t>镇三抚完全小学校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项目资金（万元）</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50400</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年初预算数</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全年预算数</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全年执行数</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年度总金额</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50400</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50400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50400</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其中：财政拨款</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50400</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50400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50400</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上年结转结余</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0</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0</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其他资金</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0</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0</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年度总体目标</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预期目标</w:t>
            </w:r>
          </w:p>
        </w:tc>
        <w:tc>
          <w:tcPr>
            <w:tcW w:w="3525" w:type="dxa"/>
            <w:gridSpan w:val="3"/>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p>
        </w:tc>
        <w:tc>
          <w:tcPr>
            <w:tcW w:w="5200" w:type="dxa"/>
            <w:gridSpan w:val="4"/>
            <w:shd w:val="clear" w:color="auto" w:fill="auto"/>
            <w:vAlign w:val="center"/>
          </w:tcPr>
          <w:p>
            <w:pPr>
              <w:widowControl/>
              <w:jc w:val="center"/>
              <w:rPr>
                <w:rFonts w:ascii="宋体" w:hAnsi="宋体" w:eastAsia="等线" w:cs="宋体"/>
                <w:kern w:val="0"/>
                <w:sz w:val="20"/>
                <w:szCs w:val="20"/>
              </w:rPr>
            </w:pPr>
          </w:p>
        </w:tc>
        <w:tc>
          <w:tcPr>
            <w:tcW w:w="3525" w:type="dxa"/>
            <w:gridSpan w:val="3"/>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绩效指标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一级指标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二级指标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三级指标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年度指标值</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实际完成值</w:t>
            </w:r>
          </w:p>
        </w:tc>
        <w:tc>
          <w:tcPr>
            <w:tcW w:w="808"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分值</w:t>
            </w:r>
          </w:p>
        </w:tc>
        <w:tc>
          <w:tcPr>
            <w:tcW w:w="1417"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widowControl/>
              <w:jc w:val="center"/>
              <w:rPr>
                <w:rFonts w:ascii="宋体" w:hAnsi="宋体" w:eastAsia="等线" w:cs="宋体"/>
                <w:kern w:val="0"/>
                <w:sz w:val="20"/>
                <w:szCs w:val="20"/>
              </w:rPr>
            </w:pPr>
          </w:p>
        </w:tc>
        <w:tc>
          <w:tcPr>
            <w:tcW w:w="1300" w:type="dxa"/>
            <w:vMerge w:val="restart"/>
            <w:shd w:val="clear" w:color="auto" w:fill="auto"/>
            <w:vAlign w:val="center"/>
          </w:tcPr>
          <w:p>
            <w:pPr>
              <w:widowControl/>
              <w:rPr>
                <w:rFonts w:ascii="宋体" w:hAnsi="宋体" w:eastAsia="等线" w:cs="宋体"/>
                <w:kern w:val="0"/>
                <w:sz w:val="20"/>
                <w:szCs w:val="20"/>
              </w:rPr>
            </w:pPr>
            <w:r>
              <w:rPr>
                <w:rFonts w:ascii="宋体" w:hAnsi="宋体" w:eastAsia="等线" w:cs="宋体"/>
                <w:kern w:val="0"/>
                <w:sz w:val="20"/>
                <w:szCs w:val="20"/>
              </w:rPr>
              <w:t>产出指标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宋体" w:cs="宋体"/>
                <w:kern w:val="0"/>
                <w:sz w:val="16"/>
                <w:szCs w:val="16"/>
              </w:rPr>
              <w:t>数量指标</w:t>
            </w:r>
          </w:p>
        </w:tc>
        <w:tc>
          <w:tcPr>
            <w:tcW w:w="1300"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资助建档立卡贫困户子女人数(≥1350人)</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cs="宋体"/>
                <w:kern w:val="0"/>
                <w:sz w:val="16"/>
                <w:szCs w:val="16"/>
              </w:rPr>
              <w:t>306</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cs="宋体"/>
                <w:kern w:val="0"/>
                <w:sz w:val="16"/>
                <w:szCs w:val="16"/>
              </w:rPr>
              <w:t>306</w:t>
            </w:r>
          </w:p>
        </w:tc>
        <w:tc>
          <w:tcPr>
            <w:tcW w:w="808"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20</w:t>
            </w:r>
          </w:p>
        </w:tc>
        <w:tc>
          <w:tcPr>
            <w:tcW w:w="1417"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宋体" w:cs="宋体"/>
                <w:kern w:val="0"/>
                <w:sz w:val="16"/>
                <w:szCs w:val="16"/>
              </w:rPr>
              <w:t>质量指标</w:t>
            </w:r>
          </w:p>
        </w:tc>
        <w:tc>
          <w:tcPr>
            <w:tcW w:w="1300"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资助标准达标率(100%)</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cs="宋体"/>
                <w:kern w:val="0"/>
                <w:sz w:val="16"/>
                <w:szCs w:val="16"/>
              </w:rPr>
              <w:t>306</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cs="宋体"/>
                <w:kern w:val="0"/>
                <w:sz w:val="16"/>
                <w:szCs w:val="16"/>
              </w:rPr>
              <w:t>306</w:t>
            </w:r>
          </w:p>
        </w:tc>
        <w:tc>
          <w:tcPr>
            <w:tcW w:w="808"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20</w:t>
            </w:r>
          </w:p>
        </w:tc>
        <w:tc>
          <w:tcPr>
            <w:tcW w:w="1417"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宋体" w:cs="宋体"/>
                <w:kern w:val="0"/>
                <w:sz w:val="16"/>
                <w:szCs w:val="16"/>
              </w:rPr>
              <w:t>成本指标</w:t>
            </w:r>
          </w:p>
        </w:tc>
        <w:tc>
          <w:tcPr>
            <w:tcW w:w="1300"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建档立卡贫困户子女生均资助标准(1250元/学年)</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1250</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1250</w:t>
            </w:r>
          </w:p>
        </w:tc>
        <w:tc>
          <w:tcPr>
            <w:tcW w:w="808"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17</w:t>
            </w:r>
          </w:p>
        </w:tc>
        <w:tc>
          <w:tcPr>
            <w:tcW w:w="1417"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效益指标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宋体" w:cs="宋体"/>
                <w:kern w:val="0"/>
                <w:sz w:val="16"/>
                <w:szCs w:val="16"/>
              </w:rPr>
              <w:t>社会效益指标</w:t>
            </w:r>
          </w:p>
        </w:tc>
        <w:tc>
          <w:tcPr>
            <w:tcW w:w="1300"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建档立卡贫困户子女全程全部接受资助的比例(≥100%)</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100</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100</w:t>
            </w:r>
          </w:p>
        </w:tc>
        <w:tc>
          <w:tcPr>
            <w:tcW w:w="808"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20</w:t>
            </w:r>
          </w:p>
        </w:tc>
        <w:tc>
          <w:tcPr>
            <w:tcW w:w="1417"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满意度指标</w:t>
            </w:r>
          </w:p>
        </w:tc>
        <w:tc>
          <w:tcPr>
            <w:tcW w:w="1300" w:type="dxa"/>
            <w:shd w:val="clear" w:color="auto" w:fill="auto"/>
            <w:vAlign w:val="center"/>
          </w:tcPr>
          <w:p>
            <w:pPr>
              <w:widowControl/>
              <w:jc w:val="center"/>
              <w:rPr>
                <w:rFonts w:ascii="宋体" w:hAnsi="宋体" w:cs="宋体"/>
                <w:kern w:val="0"/>
                <w:sz w:val="16"/>
                <w:szCs w:val="16"/>
              </w:rPr>
            </w:pPr>
            <w:r>
              <w:rPr>
                <w:rFonts w:hint="eastAsia" w:ascii="宋体" w:hAnsi="宋体" w:eastAsia="宋体" w:cs="宋体"/>
                <w:kern w:val="0"/>
                <w:sz w:val="16"/>
                <w:szCs w:val="16"/>
              </w:rPr>
              <w:t>服务对象</w:t>
            </w:r>
          </w:p>
          <w:p>
            <w:pPr>
              <w:widowControl/>
              <w:jc w:val="center"/>
              <w:rPr>
                <w:rFonts w:ascii="宋体" w:hAnsi="宋体" w:eastAsia="等线" w:cs="宋体"/>
                <w:kern w:val="0"/>
                <w:sz w:val="20"/>
                <w:szCs w:val="20"/>
              </w:rPr>
            </w:pPr>
            <w:r>
              <w:rPr>
                <w:rFonts w:hint="eastAsia" w:ascii="宋体" w:hAnsi="宋体" w:eastAsia="宋体" w:cs="宋体"/>
                <w:kern w:val="0"/>
                <w:sz w:val="16"/>
                <w:szCs w:val="16"/>
              </w:rPr>
              <w:t>满意度</w:t>
            </w:r>
          </w:p>
        </w:tc>
        <w:tc>
          <w:tcPr>
            <w:tcW w:w="1300"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学生及家长满意度(≥90%)</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90</w:t>
            </w:r>
          </w:p>
        </w:tc>
        <w:tc>
          <w:tcPr>
            <w:tcW w:w="1300"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97</w:t>
            </w:r>
          </w:p>
        </w:tc>
        <w:tc>
          <w:tcPr>
            <w:tcW w:w="808" w:type="dxa"/>
            <w:shd w:val="clear" w:color="auto" w:fill="auto"/>
            <w:vAlign w:val="center"/>
          </w:tcPr>
          <w:p>
            <w:pPr>
              <w:widowControl/>
              <w:spacing w:line="420" w:lineRule="atLeast"/>
              <w:jc w:val="left"/>
              <w:rPr>
                <w:rFonts w:ascii="宋体" w:hAnsi="宋体" w:eastAsia="宋体" w:cs="宋体"/>
                <w:kern w:val="0"/>
                <w:sz w:val="16"/>
                <w:szCs w:val="16"/>
              </w:rPr>
            </w:pPr>
            <w:r>
              <w:rPr>
                <w:rFonts w:hint="eastAsia" w:ascii="宋体" w:hAnsi="宋体" w:eastAsia="宋体" w:cs="宋体"/>
                <w:kern w:val="0"/>
                <w:sz w:val="16"/>
                <w:szCs w:val="16"/>
              </w:rPr>
              <w:t>20</w:t>
            </w:r>
          </w:p>
        </w:tc>
        <w:tc>
          <w:tcPr>
            <w:tcW w:w="1417" w:type="dxa"/>
            <w:shd w:val="clear" w:color="auto" w:fill="auto"/>
            <w:vAlign w:val="center"/>
          </w:tcPr>
          <w:p>
            <w:pPr>
              <w:widowControl/>
              <w:spacing w:line="420" w:lineRule="atLeast"/>
              <w:ind w:firstLine="480"/>
              <w:jc w:val="left"/>
              <w:rPr>
                <w:rFonts w:ascii="宋体" w:hAnsi="宋体" w:eastAsia="宋体" w:cs="宋体"/>
                <w:kern w:val="0"/>
                <w:sz w:val="16"/>
                <w:szCs w:val="16"/>
              </w:rPr>
            </w:pPr>
            <w:r>
              <w:rPr>
                <w:rFonts w:hint="eastAsia" w:ascii="宋体" w:hAnsi="宋体" w:eastAsia="宋体" w:cs="宋体"/>
                <w:kern w:val="0"/>
                <w:sz w:val="16"/>
                <w:szCs w:val="16"/>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说明</w:t>
            </w:r>
          </w:p>
        </w:tc>
        <w:tc>
          <w:tcPr>
            <w:tcW w:w="8725" w:type="dxa"/>
            <w:gridSpan w:val="7"/>
            <w:shd w:val="clear" w:color="auto" w:fill="auto"/>
            <w:vAlign w:val="center"/>
          </w:tcPr>
          <w:p>
            <w:pPr>
              <w:widowControl/>
              <w:ind w:firstLine="200" w:firstLineChars="100"/>
              <w:rPr>
                <w:rFonts w:ascii="宋体" w:hAnsi="宋体" w:eastAsia="等线" w:cs="宋体"/>
                <w:kern w:val="0"/>
                <w:sz w:val="20"/>
                <w:szCs w:val="20"/>
              </w:rPr>
            </w:pPr>
          </w:p>
        </w:tc>
      </w:tr>
    </w:tbl>
    <w:p>
      <w:pPr>
        <w:pStyle w:val="4"/>
        <w:shd w:val="clear" w:color="auto" w:fill="FFFFFF"/>
        <w:spacing w:before="0" w:beforeAutospacing="0" w:after="0" w:afterAutospacing="0"/>
        <w:ind w:left="195"/>
        <w:rPr>
          <w:rFonts w:ascii="Arial" w:hAnsi="Arial" w:cs="Arial"/>
          <w:color w:val="000000"/>
          <w:sz w:val="18"/>
          <w:szCs w:val="18"/>
        </w:rPr>
      </w:pPr>
    </w:p>
    <w:p>
      <w:pPr>
        <w:pStyle w:val="4"/>
        <w:numPr>
          <w:ilvl w:val="0"/>
          <w:numId w:val="3"/>
        </w:numPr>
        <w:shd w:val="clear" w:color="auto" w:fill="FFFFFF"/>
        <w:spacing w:before="0" w:beforeAutospacing="0" w:after="0" w:afterAutospacing="0"/>
        <w:rPr>
          <w:rStyle w:val="7"/>
          <w:rFonts w:ascii="Arial" w:hAnsi="Arial" w:cs="Arial"/>
          <w:color w:val="000000"/>
          <w:sz w:val="27"/>
          <w:szCs w:val="27"/>
          <w:shd w:val="clear" w:color="auto" w:fill="FFFF00"/>
        </w:rPr>
      </w:pPr>
      <w:r>
        <w:rPr>
          <w:rStyle w:val="7"/>
          <w:rFonts w:ascii="Arial" w:hAnsi="Arial" w:cs="Arial"/>
          <w:color w:val="000000"/>
          <w:sz w:val="27"/>
          <w:szCs w:val="27"/>
        </w:rPr>
        <w:t>绩效自评报告或案例。</w:t>
      </w:r>
    </w:p>
    <w:p>
      <w:pPr>
        <w:pStyle w:val="4"/>
        <w:shd w:val="clear" w:color="auto" w:fill="FFFFFF"/>
        <w:spacing w:before="0" w:beforeAutospacing="0" w:after="0" w:afterAutospacing="0"/>
        <w:ind w:left="195"/>
        <w:rPr>
          <w:rFonts w:ascii="Arial" w:hAnsi="Arial" w:cs="Arial"/>
          <w:color w:val="000000"/>
          <w:sz w:val="27"/>
          <w:szCs w:val="27"/>
        </w:rPr>
      </w:pPr>
      <w:r>
        <w:rPr>
          <w:rFonts w:hint="eastAsia" w:ascii="Arial" w:hAnsi="Arial" w:cs="Arial"/>
          <w:color w:val="000000"/>
          <w:sz w:val="27"/>
          <w:szCs w:val="27"/>
        </w:rPr>
        <w:t>本部门无委托第三方开展绩效自评的。</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3.关于绩效自评结果的说明。</w:t>
      </w:r>
    </w:p>
    <w:p>
      <w:pPr>
        <w:pStyle w:val="4"/>
        <w:shd w:val="clear" w:color="auto" w:fill="FFFFFF"/>
        <w:spacing w:before="0" w:beforeAutospacing="0" w:after="0" w:afterAutospacing="0"/>
        <w:rPr>
          <w:rFonts w:ascii="Arial" w:hAnsi="Arial" w:cs="Arial"/>
          <w:color w:val="000000"/>
          <w:sz w:val="27"/>
          <w:szCs w:val="27"/>
        </w:rPr>
      </w:pPr>
      <w:r>
        <w:rPr>
          <w:rFonts w:hint="eastAsia" w:ascii="Arial" w:hAnsi="Arial" w:cs="Arial"/>
          <w:color w:val="000000"/>
          <w:sz w:val="27"/>
          <w:szCs w:val="27"/>
        </w:rPr>
        <w:t>本部门无委托第三方对部门绩效</w:t>
      </w:r>
      <w:r>
        <w:rPr>
          <w:rFonts w:ascii="Arial" w:hAnsi="Arial" w:cs="Arial"/>
          <w:color w:val="000000"/>
          <w:sz w:val="27"/>
          <w:szCs w:val="27"/>
        </w:rPr>
        <w:t>自评结果的说明</w:t>
      </w:r>
      <w:r>
        <w:rPr>
          <w:rFonts w:hint="eastAsia" w:ascii="Arial" w:hAnsi="Arial" w:cs="Arial"/>
          <w:color w:val="000000"/>
          <w:sz w:val="27"/>
          <w:szCs w:val="27"/>
        </w:rPr>
        <w:t>。</w:t>
      </w:r>
    </w:p>
    <w:p>
      <w:pPr>
        <w:pStyle w:val="4"/>
        <w:numPr>
          <w:ilvl w:val="0"/>
          <w:numId w:val="2"/>
        </w:numPr>
        <w:shd w:val="clear" w:color="auto" w:fill="FFFFFF"/>
        <w:spacing w:before="0" w:beforeAutospacing="0" w:after="0" w:afterAutospacing="0"/>
        <w:rPr>
          <w:rStyle w:val="7"/>
          <w:rFonts w:ascii="Arial" w:hAnsi="Arial" w:cs="Arial"/>
          <w:color w:val="000000"/>
          <w:sz w:val="27"/>
          <w:szCs w:val="27"/>
        </w:rPr>
      </w:pPr>
      <w:r>
        <w:rPr>
          <w:rStyle w:val="7"/>
          <w:rFonts w:ascii="Arial" w:hAnsi="Arial" w:cs="Arial"/>
          <w:color w:val="000000"/>
          <w:sz w:val="27"/>
          <w:szCs w:val="27"/>
        </w:rPr>
        <w:t>重点绩效评价结果。</w:t>
      </w:r>
    </w:p>
    <w:p>
      <w:pPr>
        <w:pStyle w:val="4"/>
        <w:shd w:val="clear" w:color="auto" w:fill="FFFFFF"/>
        <w:spacing w:before="0" w:beforeAutospacing="0" w:after="0" w:afterAutospacing="0"/>
        <w:ind w:left="195" w:leftChars="93" w:firstLine="540" w:firstLineChars="200"/>
        <w:rPr>
          <w:rFonts w:ascii="Arial" w:hAnsi="Arial" w:cs="Arial"/>
          <w:color w:val="000000"/>
          <w:sz w:val="27"/>
          <w:szCs w:val="27"/>
        </w:rPr>
      </w:pPr>
      <w:r>
        <w:rPr>
          <w:rFonts w:hint="eastAsia" w:ascii="Arial" w:hAnsi="Arial" w:cs="Arial"/>
          <w:color w:val="000000"/>
          <w:sz w:val="27"/>
          <w:szCs w:val="27"/>
        </w:rPr>
        <w:t>本部门无委托第三方对部门政策或项目开展重点绩效评价。</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六、专业名词解释</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（一）财政拨款收入</w:t>
      </w:r>
      <w:r>
        <w:rPr>
          <w:rFonts w:ascii="Arial" w:hAnsi="Arial" w:cs="Arial"/>
          <w:color w:val="000000"/>
          <w:sz w:val="27"/>
          <w:szCs w:val="27"/>
        </w:rPr>
        <w:t>：指本年度从本级财政部门取得的财政拨款，包括一般公共预算财政拨款和政府性基金预算财政拨款。</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（二）事业收入</w:t>
      </w:r>
      <w:r>
        <w:rPr>
          <w:rFonts w:ascii="Arial" w:hAnsi="Arial" w:cs="Arial"/>
          <w:color w:val="000000"/>
          <w:sz w:val="27"/>
          <w:szCs w:val="27"/>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（三）经营收入</w:t>
      </w:r>
      <w:r>
        <w:rPr>
          <w:rFonts w:ascii="Arial" w:hAnsi="Arial" w:cs="Arial"/>
          <w:color w:val="000000"/>
          <w:sz w:val="27"/>
          <w:szCs w:val="27"/>
        </w:rPr>
        <w:t>：指事业单位在专业业务活动及其辅助活动之外开展非独立核算经营活动取得的现金流入。</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（四）其他收入</w:t>
      </w:r>
      <w:r>
        <w:rPr>
          <w:rFonts w:ascii="Arial" w:hAnsi="Arial" w:cs="Arial"/>
          <w:color w:val="000000"/>
          <w:sz w:val="27"/>
          <w:szCs w:val="27"/>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（五）使用非财政拨款结余</w:t>
      </w:r>
      <w:r>
        <w:rPr>
          <w:rFonts w:ascii="Arial" w:hAnsi="Arial" w:cs="Arial"/>
          <w:color w:val="000000"/>
          <w:sz w:val="27"/>
          <w:szCs w:val="27"/>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（六）年初结转和结余</w:t>
      </w:r>
      <w:r>
        <w:rPr>
          <w:rFonts w:ascii="Arial" w:hAnsi="Arial" w:cs="Arial"/>
          <w:color w:val="000000"/>
          <w:sz w:val="27"/>
          <w:szCs w:val="27"/>
        </w:rPr>
        <w:t>：指单位上年结转本年使用的基本支出结转、项目支出结转和结余、经营结余。</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（七）结余分配</w:t>
      </w:r>
      <w:r>
        <w:rPr>
          <w:rFonts w:ascii="Arial" w:hAnsi="Arial" w:cs="Arial"/>
          <w:color w:val="000000"/>
          <w:sz w:val="27"/>
          <w:szCs w:val="27"/>
        </w:rPr>
        <w:t>：指单位按照国家有关规定，缴纳所得税、提取专用基金、转入非财政拨款结余等当年结余的分配情况。</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（八）年末结转和结余</w:t>
      </w:r>
      <w:r>
        <w:rPr>
          <w:rFonts w:ascii="Arial" w:hAnsi="Arial" w:cs="Arial"/>
          <w:color w:val="000000"/>
          <w:sz w:val="27"/>
          <w:szCs w:val="27"/>
        </w:rPr>
        <w:t>：指单位结转下年的基本支出结转、项目支出结转和结余、经营结余。</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（九）基本支出</w:t>
      </w:r>
      <w:r>
        <w:rPr>
          <w:rFonts w:ascii="Arial" w:hAnsi="Arial" w:cs="Arial"/>
          <w:color w:val="000000"/>
          <w:sz w:val="27"/>
          <w:szCs w:val="27"/>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（十）项目支出</w:t>
      </w:r>
      <w:r>
        <w:rPr>
          <w:rFonts w:ascii="Arial" w:hAnsi="Arial" w:cs="Arial"/>
          <w:color w:val="000000"/>
          <w:sz w:val="27"/>
          <w:szCs w:val="27"/>
        </w:rPr>
        <w:t>：指在基本支出之外为完成特定行政任务和事业发展目标所发生的支出。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（十一）经营支出</w:t>
      </w:r>
      <w:r>
        <w:rPr>
          <w:rFonts w:ascii="Arial" w:hAnsi="Arial" w:cs="Arial"/>
          <w:color w:val="000000"/>
          <w:sz w:val="27"/>
          <w:szCs w:val="27"/>
        </w:rPr>
        <w:t>：指事业单位在专业业务活动及其辅助活动之外开展非独立核算经营活动发生的支出。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（十二）“三公”经费</w:t>
      </w:r>
      <w:r>
        <w:rPr>
          <w:rFonts w:ascii="Arial" w:hAnsi="Arial" w:cs="Arial"/>
          <w:color w:val="000000"/>
          <w:sz w:val="27"/>
          <w:szCs w:val="27"/>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（十三）机关运行经费</w:t>
      </w:r>
      <w:r>
        <w:rPr>
          <w:rFonts w:ascii="Arial" w:hAnsi="Arial" w:cs="Arial"/>
          <w:color w:val="000000"/>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（十四）工资福利支出（支出经济分类科目类级）</w:t>
      </w:r>
      <w:r>
        <w:rPr>
          <w:rFonts w:ascii="Arial" w:hAnsi="Arial" w:cs="Arial"/>
          <w:color w:val="000000"/>
          <w:sz w:val="27"/>
          <w:szCs w:val="27"/>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（十五）商品和服务支出（支出经济分类科目类级）</w:t>
      </w:r>
      <w:r>
        <w:rPr>
          <w:rFonts w:ascii="Arial" w:hAnsi="Arial" w:cs="Arial"/>
          <w:color w:val="000000"/>
          <w:sz w:val="27"/>
          <w:szCs w:val="27"/>
        </w:rPr>
        <w:t>：反映单位购买商品和服务的支出（不包括用于购置固定资产的支出、战略性和应急储备支出）。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（十六）对个人和家庭的补助（支出经济分类科目类级）</w:t>
      </w:r>
      <w:r>
        <w:rPr>
          <w:rFonts w:ascii="Arial" w:hAnsi="Arial" w:cs="Arial"/>
          <w:color w:val="000000"/>
          <w:sz w:val="27"/>
          <w:szCs w:val="27"/>
        </w:rPr>
        <w:t>：反映用于对个人和家庭的补助支出。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（十七）其他资本性支出（支出经济分类科目类级）</w:t>
      </w:r>
      <w:r>
        <w:rPr>
          <w:rFonts w:ascii="Arial" w:hAnsi="Arial" w:cs="Arial"/>
          <w:color w:val="000000"/>
          <w:sz w:val="27"/>
          <w:szCs w:val="27"/>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rPr>
          <w:rFonts w:ascii="Arial" w:hAnsi="Arial" w:cs="Arial"/>
          <w:color w:val="000000"/>
          <w:sz w:val="18"/>
          <w:szCs w:val="18"/>
        </w:rPr>
      </w:pPr>
      <w:r>
        <w:rPr>
          <w:rStyle w:val="7"/>
          <w:rFonts w:ascii="Arial" w:hAnsi="Arial" w:cs="Arial"/>
          <w:color w:val="000000"/>
          <w:sz w:val="27"/>
          <w:szCs w:val="27"/>
        </w:rPr>
        <w:t>  七、决算公开联系方式及信息反馈渠道</w:t>
      </w:r>
    </w:p>
    <w:p>
      <w:pPr>
        <w:pStyle w:val="4"/>
        <w:shd w:val="clear" w:color="auto" w:fill="FFFFFF"/>
        <w:spacing w:before="0" w:beforeAutospacing="0" w:after="0" w:afterAutospacing="0"/>
        <w:ind w:firstLine="540" w:firstLineChars="200"/>
        <w:rPr>
          <w:rFonts w:ascii="Arial" w:hAnsi="Arial" w:cs="Arial"/>
          <w:color w:val="000000"/>
          <w:sz w:val="18"/>
          <w:szCs w:val="18"/>
        </w:rPr>
      </w:pPr>
      <w:r>
        <w:rPr>
          <w:rFonts w:hint="eastAsia" w:ascii="Arial" w:hAnsi="Arial" w:cs="Arial"/>
          <w:color w:val="000000"/>
          <w:sz w:val="27"/>
          <w:szCs w:val="27"/>
        </w:rPr>
        <w:t>本单位决算公开信息反馈和联系方式:</w:t>
      </w:r>
      <w:r>
        <w:fldChar w:fldCharType="begin"/>
      </w:r>
      <w:r>
        <w:instrText xml:space="preserve"> HYPERLINK "mailto:442012741@qq.com%E3%80%8215023535940" </w:instrText>
      </w:r>
      <w:r>
        <w:fldChar w:fldCharType="separate"/>
      </w:r>
      <w:r>
        <w:rPr>
          <w:rFonts w:hint="eastAsia" w:ascii="Arial" w:hAnsi="Arial" w:cs="Arial"/>
          <w:color w:val="000000"/>
          <w:sz w:val="27"/>
          <w:szCs w:val="27"/>
        </w:rPr>
        <w:t>442012741@qq.com。15023535940</w:t>
      </w:r>
      <w:r>
        <w:rPr>
          <w:rFonts w:hint="eastAsia" w:ascii="Arial" w:hAnsi="Arial" w:cs="Arial"/>
          <w:color w:val="000000"/>
          <w:sz w:val="27"/>
          <w:szCs w:val="27"/>
        </w:rPr>
        <w:fldChar w:fldCharType="end"/>
      </w:r>
      <w:r>
        <w:rPr>
          <w:rFonts w:hint="eastAsia" w:ascii="Arial" w:hAnsi="Arial" w:cs="Arial"/>
          <w:color w:val="000000"/>
          <w:sz w:val="27"/>
          <w:szCs w:val="27"/>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D7DBD"/>
    <w:multiLevelType w:val="multilevel"/>
    <w:tmpl w:val="0D4D7DBD"/>
    <w:lvl w:ilvl="0" w:tentative="0">
      <w:start w:val="1"/>
      <w:numFmt w:val="japaneseCounting"/>
      <w:lvlText w:val="（%1）"/>
      <w:lvlJc w:val="left"/>
      <w:pPr>
        <w:ind w:left="1050" w:hanging="855"/>
      </w:pPr>
      <w:rPr>
        <w:rFonts w:hint="default"/>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1">
    <w:nsid w:val="6E7D7FCE"/>
    <w:multiLevelType w:val="multilevel"/>
    <w:tmpl w:val="6E7D7FCE"/>
    <w:lvl w:ilvl="0" w:tentative="0">
      <w:start w:val="1"/>
      <w:numFmt w:val="decimal"/>
      <w:lvlText w:val="（%1）"/>
      <w:lvlJc w:val="left"/>
      <w:pPr>
        <w:ind w:left="915" w:hanging="720"/>
      </w:pPr>
      <w:rPr>
        <w:rFonts w:hint="default"/>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2">
    <w:nsid w:val="78A23727"/>
    <w:multiLevelType w:val="multilevel"/>
    <w:tmpl w:val="78A23727"/>
    <w:lvl w:ilvl="0" w:tentative="0">
      <w:start w:val="1"/>
      <w:numFmt w:val="decimal"/>
      <w:lvlText w:val="%1."/>
      <w:lvlJc w:val="left"/>
      <w:pPr>
        <w:ind w:left="555" w:hanging="360"/>
      </w:pPr>
      <w:rPr>
        <w:rFonts w:hint="default"/>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mOGI0NTVlZWE1YzY4MmM3Y2ZkNjk0NWEwNWU3NjQifQ=="/>
  </w:docVars>
  <w:rsids>
    <w:rsidRoot w:val="00C94713"/>
    <w:rsid w:val="000A0F5C"/>
    <w:rsid w:val="000B10AA"/>
    <w:rsid w:val="000D772B"/>
    <w:rsid w:val="000F6E7B"/>
    <w:rsid w:val="00187E92"/>
    <w:rsid w:val="001937B4"/>
    <w:rsid w:val="001B249C"/>
    <w:rsid w:val="00203D17"/>
    <w:rsid w:val="00227AC4"/>
    <w:rsid w:val="00352A9A"/>
    <w:rsid w:val="003E0A7F"/>
    <w:rsid w:val="00423B55"/>
    <w:rsid w:val="004366D9"/>
    <w:rsid w:val="004A4E1D"/>
    <w:rsid w:val="004F162D"/>
    <w:rsid w:val="0059627B"/>
    <w:rsid w:val="005A0CD2"/>
    <w:rsid w:val="00632D25"/>
    <w:rsid w:val="006460FE"/>
    <w:rsid w:val="006D0496"/>
    <w:rsid w:val="006E2D3A"/>
    <w:rsid w:val="007B2445"/>
    <w:rsid w:val="007D1784"/>
    <w:rsid w:val="0080193C"/>
    <w:rsid w:val="00830541"/>
    <w:rsid w:val="00852BDB"/>
    <w:rsid w:val="00871837"/>
    <w:rsid w:val="00897717"/>
    <w:rsid w:val="00917A63"/>
    <w:rsid w:val="009B672A"/>
    <w:rsid w:val="009C5D48"/>
    <w:rsid w:val="00A27051"/>
    <w:rsid w:val="00AA4697"/>
    <w:rsid w:val="00AA4A05"/>
    <w:rsid w:val="00AC4346"/>
    <w:rsid w:val="00B2099D"/>
    <w:rsid w:val="00B848C2"/>
    <w:rsid w:val="00BA35A8"/>
    <w:rsid w:val="00C261FC"/>
    <w:rsid w:val="00C871FF"/>
    <w:rsid w:val="00C94713"/>
    <w:rsid w:val="00CC265E"/>
    <w:rsid w:val="00CF3093"/>
    <w:rsid w:val="00DF4500"/>
    <w:rsid w:val="00DF54F3"/>
    <w:rsid w:val="00E662C5"/>
    <w:rsid w:val="00E721BE"/>
    <w:rsid w:val="00E80B18"/>
    <w:rsid w:val="00E95F00"/>
    <w:rsid w:val="00F01E0A"/>
    <w:rsid w:val="00F658E0"/>
    <w:rsid w:val="00FB7E31"/>
    <w:rsid w:val="00FC491B"/>
    <w:rsid w:val="11E34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4653</Words>
  <Characters>5194</Characters>
  <Lines>39</Lines>
  <Paragraphs>11</Paragraphs>
  <TotalTime>0</TotalTime>
  <ScaleCrop>false</ScaleCrop>
  <LinksUpToDate>false</LinksUpToDate>
  <CharactersWithSpaces>5331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2022-10-08T01:44:00Z</dcterms:created>
  <dc:creator>微软用户</dc:creator>
  <cp:lastModifiedBy>丰都</cp:lastModifiedBy>
  <dcterms:modified xsi:type="dcterms:W3CDTF">2022-10-11T07:02:25Z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1764EE3C05B54E0FAD6132F74FE30149</vt:lpwstr>
  </property>
</Properties>
</file>