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shd w:val="clear" w:color="auto" w:fill="FFFFFF"/>
        </w:rPr>
        <w:t>重庆市丰都县兴龙镇接龙完全小学校</w:t>
      </w:r>
    </w:p>
    <w:p>
      <w:pPr>
        <w:pStyle w:val="4"/>
        <w:widowControl/>
        <w:shd w:val="clear" w:color="auto" w:fill="FFFFFF"/>
        <w:spacing w:beforeAutospacing="0" w:afterAutospacing="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shd w:val="clear" w:color="auto" w:fill="FFFFFF"/>
        </w:rPr>
        <w:t>2021年度部门决算情况说明</w:t>
      </w:r>
    </w:p>
    <w:p>
      <w:pPr>
        <w:rPr>
          <w:rStyle w:val="7"/>
          <w:rFonts w:ascii="Times New Roman" w:hAnsi="Times New Roman" w:eastAsia="方正仿宋_GBK" w:cs="Times New Roman"/>
          <w:color w:val="000000"/>
          <w:sz w:val="32"/>
          <w:szCs w:val="32"/>
          <w:shd w:val="clear" w:color="auto" w:fill="FFFFFF"/>
        </w:rPr>
      </w:pPr>
      <w:r>
        <w:rPr>
          <w:rStyle w:val="7"/>
          <w:rFonts w:ascii="Times New Roman" w:hAnsi="Times New Roman" w:eastAsia="方正仿宋_GBK" w:cs="Times New Roman"/>
          <w:color w:val="000000"/>
          <w:sz w:val="32"/>
          <w:szCs w:val="32"/>
          <w:shd w:val="clear" w:color="auto" w:fill="FFFFFF"/>
        </w:rPr>
        <w:t xml:space="preserve">  </w:t>
      </w:r>
    </w:p>
    <w:p>
      <w:pPr>
        <w:ind w:firstLine="723" w:firstLineChars="200"/>
        <w:rPr>
          <w:rFonts w:ascii="Times New Roman" w:hAnsi="Times New Roman" w:eastAsia="方正仿宋_GBK" w:cs="Times New Roman"/>
          <w:sz w:val="36"/>
          <w:szCs w:val="36"/>
        </w:rPr>
      </w:pPr>
      <w:r>
        <w:rPr>
          <w:rStyle w:val="7"/>
          <w:rFonts w:ascii="Times New Roman" w:hAnsi="Times New Roman" w:eastAsia="方正仿宋_GBK" w:cs="Times New Roman"/>
          <w:color w:val="000000"/>
          <w:sz w:val="36"/>
          <w:szCs w:val="36"/>
          <w:shd w:val="clear" w:color="auto" w:fill="FFFFFF"/>
        </w:rPr>
        <w:t>一、部门基本情况</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（一）职能职责。</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实施小学义务教育，促进基础教育发展。承担辖区内小学义务教育；推进课程改革和教法学法改革；提高学生综合素质；培养学生多样化发展；培养学生良好品德；从事小学义务教育及学前教育的相关社会服务。</w:t>
      </w:r>
    </w:p>
    <w:p>
      <w:pPr>
        <w:ind w:firstLine="643" w:firstLineChars="200"/>
        <w:rPr>
          <w:rStyle w:val="7"/>
          <w:rFonts w:ascii="Times New Roman" w:hAnsi="Times New Roman" w:eastAsia="方正仿宋_GBK" w:cs="Times New Roman"/>
          <w:color w:val="000000"/>
          <w:sz w:val="32"/>
          <w:szCs w:val="32"/>
          <w:shd w:val="clear" w:color="auto" w:fill="FFFFFF"/>
        </w:rPr>
      </w:pPr>
      <w:r>
        <w:rPr>
          <w:rStyle w:val="7"/>
          <w:rFonts w:ascii="Times New Roman" w:hAnsi="Times New Roman" w:eastAsia="方正仿宋_GBK" w:cs="Times New Roman"/>
          <w:color w:val="000000"/>
          <w:sz w:val="32"/>
          <w:szCs w:val="32"/>
          <w:shd w:val="clear" w:color="auto" w:fill="FFFFFF"/>
        </w:rPr>
        <w:t>（二）机构设置。</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学校设有办公室、德育处、教务处、后勤处。</w:t>
      </w:r>
    </w:p>
    <w:p>
      <w:pPr>
        <w:ind w:firstLine="643" w:firstLineChars="200"/>
        <w:rPr>
          <w:rStyle w:val="7"/>
          <w:rFonts w:ascii="Times New Roman" w:hAnsi="Times New Roman" w:eastAsia="方正仿宋_GBK" w:cs="Times New Roman"/>
          <w:color w:val="000000"/>
          <w:sz w:val="32"/>
          <w:szCs w:val="32"/>
          <w:shd w:val="clear" w:color="auto" w:fill="FFFFFF"/>
        </w:rPr>
      </w:pPr>
      <w:r>
        <w:rPr>
          <w:rStyle w:val="7"/>
          <w:rFonts w:ascii="Times New Roman" w:hAnsi="Times New Roman" w:eastAsia="方正仿宋_GBK" w:cs="Times New Roman"/>
          <w:color w:val="000000"/>
          <w:sz w:val="32"/>
          <w:szCs w:val="32"/>
          <w:shd w:val="clear" w:color="auto" w:fill="FFFFFF"/>
        </w:rPr>
        <w:t>（三）单位构成。</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从预算单位构成看，无纳入本单位2021年度决算编制的下级预算单位。</w:t>
      </w:r>
      <w:bookmarkStart w:id="0" w:name="_GoBack"/>
      <w:bookmarkEnd w:id="0"/>
    </w:p>
    <w:p>
      <w:pPr>
        <w:ind w:firstLine="723" w:firstLineChars="200"/>
        <w:rPr>
          <w:rStyle w:val="7"/>
          <w:rFonts w:ascii="Times New Roman" w:hAnsi="Times New Roman" w:cs="Times New Roman"/>
          <w:color w:val="000000"/>
          <w:sz w:val="36"/>
          <w:szCs w:val="36"/>
          <w:shd w:val="clear" w:color="auto" w:fill="FFFFFF"/>
        </w:rPr>
      </w:pPr>
      <w:r>
        <w:rPr>
          <w:rStyle w:val="7"/>
          <w:rFonts w:ascii="Times New Roman" w:hAnsi="Times New Roman" w:eastAsia="方正仿宋_GBK" w:cs="Times New Roman"/>
          <w:color w:val="000000"/>
          <w:sz w:val="36"/>
          <w:szCs w:val="36"/>
          <w:shd w:val="clear" w:color="auto" w:fill="FFFFFF"/>
        </w:rPr>
        <w:t>二、部门决算情况说明</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（一）收入支出决算总体情况说明。</w:t>
      </w:r>
    </w:p>
    <w:p>
      <w:pPr>
        <w:ind w:firstLine="643" w:firstLineChars="200"/>
        <w:rPr>
          <w:rFonts w:ascii="Times New Roman" w:hAnsi="Times New Roman" w:eastAsia="方正仿宋_GBK" w:cs="Times New Roman"/>
          <w:sz w:val="32"/>
          <w:szCs w:val="32"/>
          <w:shd w:val="clear" w:color="auto" w:fill="FFFFFF"/>
        </w:rPr>
      </w:pPr>
      <w:r>
        <w:rPr>
          <w:rStyle w:val="7"/>
          <w:rFonts w:ascii="Times New Roman" w:hAnsi="Times New Roman" w:eastAsia="方正仿宋_GBK" w:cs="Times New Roman"/>
          <w:color w:val="000000"/>
          <w:sz w:val="32"/>
          <w:szCs w:val="32"/>
          <w:shd w:val="clear" w:color="auto" w:fill="FFFFFF"/>
        </w:rPr>
        <w:t>1.总体情况。</w:t>
      </w:r>
      <w:r>
        <w:rPr>
          <w:rFonts w:ascii="Times New Roman" w:hAnsi="Times New Roman" w:eastAsia="方正仿宋_GBK" w:cs="Times New Roman"/>
          <w:sz w:val="32"/>
          <w:szCs w:val="32"/>
          <w:shd w:val="clear" w:color="auto" w:fill="FFFFFF"/>
        </w:rPr>
        <w:t>2021年度收入总计344.76万元，支出总计344.76万元。收支较上年决算数减少49.53万元、下降12.6%，主要原因是未兑现2020年部分超额绩效，以及学生减少导致公用经费、学生资助、营养改善资金减少。</w:t>
      </w:r>
    </w:p>
    <w:p>
      <w:pPr>
        <w:ind w:firstLine="643" w:firstLineChars="200"/>
        <w:rPr>
          <w:rFonts w:ascii="Times New Roman" w:hAnsi="Times New Roman" w:eastAsia="方正仿宋_GBK" w:cs="Times New Roman"/>
          <w:sz w:val="32"/>
          <w:szCs w:val="32"/>
          <w:shd w:val="clear" w:color="auto" w:fill="FFFFFF"/>
        </w:rPr>
      </w:pPr>
      <w:r>
        <w:rPr>
          <w:rStyle w:val="7"/>
          <w:rFonts w:ascii="Times New Roman" w:hAnsi="Times New Roman" w:eastAsia="方正仿宋_GBK" w:cs="Times New Roman"/>
          <w:color w:val="000000"/>
          <w:sz w:val="32"/>
          <w:szCs w:val="32"/>
          <w:shd w:val="clear" w:color="auto" w:fill="FFFFFF"/>
        </w:rPr>
        <w:t>2.收入情况。</w:t>
      </w:r>
      <w:r>
        <w:rPr>
          <w:rFonts w:ascii="Times New Roman" w:hAnsi="Times New Roman" w:eastAsia="方正仿宋_GBK" w:cs="Times New Roman"/>
          <w:sz w:val="32"/>
          <w:szCs w:val="32"/>
          <w:shd w:val="clear" w:color="auto" w:fill="FFFFFF"/>
        </w:rPr>
        <w:t>2021年度收入合计344.76万元，较上年决算数减少49.53万元，下降12.6%，主要原因是未兑现2020年部分超额绩效，以及学生减少导致公用经费、学生资助、营养改善资金减少。其中：财政拨款收入344.76万元，占100%。此外，使用非财政拨款结余0.00万元，年初结转和结余0.00万元。</w:t>
      </w:r>
    </w:p>
    <w:p>
      <w:pPr>
        <w:ind w:firstLine="643" w:firstLineChars="200"/>
        <w:rPr>
          <w:rFonts w:ascii="Times New Roman" w:hAnsi="Times New Roman" w:eastAsia="方正仿宋_GBK" w:cs="Times New Roman"/>
          <w:sz w:val="32"/>
          <w:szCs w:val="32"/>
          <w:shd w:val="clear" w:color="auto" w:fill="FFFFFF"/>
        </w:rPr>
      </w:pPr>
      <w:r>
        <w:rPr>
          <w:rStyle w:val="7"/>
          <w:rFonts w:ascii="Times New Roman" w:hAnsi="Times New Roman" w:eastAsia="方正仿宋_GBK" w:cs="Times New Roman"/>
          <w:color w:val="000000"/>
          <w:sz w:val="32"/>
          <w:szCs w:val="32"/>
          <w:shd w:val="clear" w:color="auto" w:fill="FFFFFF"/>
        </w:rPr>
        <w:t>3.支出情况。</w:t>
      </w:r>
      <w:r>
        <w:rPr>
          <w:rFonts w:ascii="Times New Roman" w:hAnsi="Times New Roman" w:eastAsia="方正仿宋_GBK" w:cs="Times New Roman"/>
          <w:sz w:val="32"/>
          <w:szCs w:val="32"/>
          <w:shd w:val="clear" w:color="auto" w:fill="FFFFFF"/>
        </w:rPr>
        <w:t>2021年度支出合计344.76万元，较上年决算数减少49.53万元，下降12.6%，主要原因是未兑现2020年部分超额绩效，以及学生减少导致公用经费、学生资助、营养改善资金减少。其中：基本支出328.46万元，占95.3%；项目支出16.30万元，占4.7%。此外，结余分配0.00万元。</w:t>
      </w:r>
    </w:p>
    <w:p>
      <w:pPr>
        <w:ind w:firstLine="643" w:firstLineChars="200"/>
        <w:rPr>
          <w:rStyle w:val="7"/>
          <w:rFonts w:ascii="Times New Roman" w:hAnsi="Times New Roman" w:eastAsia="方正仿宋_GBK" w:cs="Times New Roman"/>
          <w:sz w:val="32"/>
          <w:szCs w:val="32"/>
          <w:shd w:val="clear" w:color="auto" w:fill="FFFFFF"/>
        </w:rPr>
      </w:pPr>
      <w:r>
        <w:rPr>
          <w:rStyle w:val="7"/>
          <w:rFonts w:ascii="Times New Roman" w:hAnsi="Times New Roman" w:eastAsia="方正仿宋_GBK" w:cs="Times New Roman"/>
          <w:sz w:val="32"/>
          <w:szCs w:val="32"/>
          <w:shd w:val="clear" w:color="auto" w:fill="FFFFFF"/>
        </w:rPr>
        <w:t>结转结余情况。</w:t>
      </w:r>
      <w:r>
        <w:rPr>
          <w:rFonts w:ascii="Times New Roman" w:hAnsi="Times New Roman" w:eastAsia="方正仿宋_GBK" w:cs="Times New Roman"/>
          <w:sz w:val="32"/>
          <w:szCs w:val="32"/>
          <w:shd w:val="clear" w:color="auto" w:fill="FFFFFF"/>
        </w:rPr>
        <w:t>2021年度年末结转和结余0.00万元，较上年决算数增加0.00万元，增长%，主要原因是无结转结余。</w:t>
      </w:r>
      <w:r>
        <w:rPr>
          <w:rStyle w:val="7"/>
          <w:rFonts w:ascii="Times New Roman" w:hAnsi="Times New Roman" w:eastAsia="方正仿宋_GBK" w:cs="Times New Roman"/>
          <w:sz w:val="32"/>
          <w:szCs w:val="32"/>
          <w:shd w:val="clear" w:color="auto" w:fill="FFFFFF"/>
        </w:rPr>
        <w:t> </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shd w:val="clear" w:color="auto" w:fill="FFFFFF"/>
        </w:rPr>
        <w:t>（二）财政拨款收入支出决算总体情况说明。</w:t>
      </w:r>
    </w:p>
    <w:p>
      <w:pPr>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2021年度财政拨款收、支总计344.76万元。与2020年相比，财政拨款收、支总计各减少49.53万元，下降12.6%。主要原因是未兑现2020年部分超额绩效，以及学生减少导致公用经费、学生资助、营养改善资金减少。</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shd w:val="clear" w:color="auto" w:fill="FFFFFF"/>
        </w:rPr>
        <w:t>（三）一般公共预算财政拨款收入支出决算情况说明。</w:t>
      </w:r>
    </w:p>
    <w:p>
      <w:pPr>
        <w:ind w:firstLine="643" w:firstLineChars="200"/>
        <w:rPr>
          <w:rFonts w:ascii="Times New Roman" w:hAnsi="Times New Roman" w:eastAsia="方正仿宋_GBK" w:cs="Times New Roman"/>
          <w:sz w:val="32"/>
          <w:szCs w:val="32"/>
          <w:shd w:val="clear" w:color="auto" w:fill="FFFFFF"/>
        </w:rPr>
      </w:pPr>
      <w:r>
        <w:rPr>
          <w:rStyle w:val="7"/>
          <w:rFonts w:ascii="Times New Roman" w:hAnsi="Times New Roman" w:eastAsia="方正仿宋_GBK" w:cs="Times New Roman"/>
          <w:sz w:val="32"/>
          <w:szCs w:val="32"/>
          <w:shd w:val="clear" w:color="auto" w:fill="FFFFFF"/>
        </w:rPr>
        <w:t>1.收入情况。</w:t>
      </w:r>
      <w:r>
        <w:rPr>
          <w:rFonts w:ascii="Times New Roman" w:hAnsi="Times New Roman" w:eastAsia="方正仿宋_GBK" w:cs="Times New Roman"/>
          <w:sz w:val="32"/>
          <w:szCs w:val="32"/>
          <w:shd w:val="clear" w:color="auto" w:fill="FFFFFF"/>
        </w:rPr>
        <w:t>2021年度一般公共预算财政拨款收入344.76万元，较上年决算数减少49.53万元，下降12.6%。主要原因是.未兑现2020年部分超额绩效，以及学生减少导致公用经费、学生资助、营养改善资金减少。</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较年初预算数增加72.67万元，增长26.7%。主要原因是调整工资标准。此外，年初财政拨款结转和结余0.00万元。</w:t>
      </w:r>
    </w:p>
    <w:p>
      <w:pPr>
        <w:ind w:firstLine="643" w:firstLineChars="200"/>
        <w:rPr>
          <w:rFonts w:ascii="Times New Roman" w:hAnsi="Times New Roman" w:eastAsia="方正仿宋_GBK" w:cs="Times New Roman"/>
          <w:sz w:val="32"/>
          <w:szCs w:val="32"/>
          <w:shd w:val="clear" w:color="auto" w:fill="FFFFFF"/>
        </w:rPr>
      </w:pPr>
      <w:r>
        <w:rPr>
          <w:rStyle w:val="7"/>
          <w:rFonts w:ascii="Times New Roman" w:hAnsi="Times New Roman" w:eastAsia="方正仿宋_GBK" w:cs="Times New Roman"/>
          <w:sz w:val="32"/>
          <w:szCs w:val="32"/>
          <w:shd w:val="clear" w:color="auto" w:fill="FFFFFF"/>
        </w:rPr>
        <w:t>2.支出情况。</w:t>
      </w:r>
      <w:r>
        <w:rPr>
          <w:rFonts w:ascii="Times New Roman" w:hAnsi="Times New Roman" w:eastAsia="方正仿宋_GBK" w:cs="Times New Roman"/>
          <w:sz w:val="32"/>
          <w:szCs w:val="32"/>
          <w:shd w:val="clear" w:color="auto" w:fill="FFFFFF"/>
        </w:rPr>
        <w:t>2021年度一般公共预算财政拨款支出344.76万元，较上年决算数减少49.53万元，下降12.6%。主要原因是未兑现2020年部分超额绩效，以及学生减少导致公用经费、学生资助、营养改善资金减少。较年初预算数增加72.67万元，增长26.7%。主要原因是调整工资标准。</w:t>
      </w:r>
    </w:p>
    <w:p>
      <w:pPr>
        <w:ind w:firstLine="643" w:firstLineChars="200"/>
        <w:rPr>
          <w:rFonts w:ascii="Times New Roman" w:hAnsi="Times New Roman" w:eastAsia="方正仿宋_GBK" w:cs="Times New Roman"/>
          <w:sz w:val="32"/>
          <w:szCs w:val="32"/>
          <w:shd w:val="clear" w:color="auto" w:fill="FFFFFF"/>
        </w:rPr>
      </w:pPr>
      <w:r>
        <w:rPr>
          <w:rStyle w:val="7"/>
          <w:rFonts w:ascii="Times New Roman" w:hAnsi="Times New Roman" w:eastAsia="方正仿宋_GBK" w:cs="Times New Roman"/>
          <w:sz w:val="32"/>
          <w:szCs w:val="32"/>
          <w:shd w:val="clear" w:color="auto" w:fill="FFFFFF"/>
        </w:rPr>
        <w:t>3.结转结余情况。</w:t>
      </w:r>
      <w:r>
        <w:rPr>
          <w:rFonts w:ascii="Times New Roman" w:hAnsi="Times New Roman" w:eastAsia="方正仿宋_GBK" w:cs="Times New Roman"/>
          <w:sz w:val="32"/>
          <w:szCs w:val="32"/>
          <w:shd w:val="clear" w:color="auto" w:fill="FFFFFF"/>
        </w:rPr>
        <w:t>2021年度年末一般公共预算财政拨款结转和结余0.00万元，较上年决算数增加0.00万元，增长%，主要原因是无结转结余。本部门2021年度一般公共预算财政拨款支出主要用于以下几个方面：</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（1）教育支出251.32万元，占72.9%，较年初预算数增加58.22万元，增长30.2%，主要原因是</w:t>
      </w:r>
      <w:r>
        <w:rPr>
          <w:rFonts w:ascii="Times New Roman" w:hAnsi="Times New Roman" w:eastAsia="方正仿宋_GBK" w:cs="Times New Roman"/>
          <w:sz w:val="32"/>
          <w:szCs w:val="32"/>
        </w:rPr>
        <w:t>人员增加以及工资津补贴调整。</w:t>
      </w:r>
    </w:p>
    <w:p>
      <w:pPr>
        <w:ind w:firstLine="640" w:firstLineChars="200"/>
        <w:rPr>
          <w:rFonts w:ascii="Times New Roman" w:hAnsi="Times New Roman" w:eastAsia="方正仿宋_GBK" w:cs="Times New Roman"/>
          <w:color w:val="FF0000"/>
          <w:sz w:val="32"/>
          <w:szCs w:val="32"/>
          <w:shd w:val="clear" w:color="auto" w:fill="FFFFFF"/>
        </w:rPr>
      </w:pPr>
      <w:r>
        <w:rPr>
          <w:rFonts w:ascii="Times New Roman" w:hAnsi="Times New Roman" w:eastAsia="方正仿宋_GBK" w:cs="Times New Roman"/>
          <w:sz w:val="32"/>
          <w:szCs w:val="32"/>
          <w:shd w:val="clear" w:color="auto" w:fill="FFFFFF"/>
        </w:rPr>
        <w:t>（2）社会保障与就业支出58.84万元，占17.1%，较年初预算数增加13.33万元，增长29.3%，主要原因是</w:t>
      </w:r>
      <w:r>
        <w:rPr>
          <w:rFonts w:ascii="Times New Roman" w:hAnsi="Times New Roman" w:eastAsia="方正仿宋_GBK" w:cs="Times New Roman"/>
          <w:sz w:val="32"/>
          <w:szCs w:val="32"/>
        </w:rPr>
        <w:t>人员增加以及工资津补贴调整。</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（3）卫生健康支出19.84万元，占5.8%，较年初预算数增加0.77万元，增长4%，主要原因是</w:t>
      </w:r>
      <w:r>
        <w:rPr>
          <w:rFonts w:ascii="Times New Roman" w:hAnsi="Times New Roman" w:eastAsia="方正仿宋_GBK" w:cs="Times New Roman"/>
          <w:sz w:val="32"/>
          <w:szCs w:val="32"/>
        </w:rPr>
        <w:t>人员增加以及工资津补贴调整。</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（4）住房保障支出14.77万元，占4.3%，较年初预算数增加0.36万元，增长2.5%，主要原因是</w:t>
      </w:r>
      <w:r>
        <w:rPr>
          <w:rFonts w:ascii="Times New Roman" w:hAnsi="Times New Roman" w:eastAsia="方正仿宋_GBK" w:cs="Times New Roman"/>
          <w:sz w:val="32"/>
          <w:szCs w:val="32"/>
        </w:rPr>
        <w:t>人员增加以及工资津补贴调整。</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（四）一般公共预算财政拨款基本支出决算情况说明。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2021年度一般公共财政拨款基本支出328.46万元。其中：人员经费307.43万元，较上年决算数减少34.11万元，下降10%，主要原因是未兑现2020年部分超额绩效</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人</w:t>
      </w:r>
      <w:r>
        <w:rPr>
          <w:rFonts w:ascii="Times New Roman" w:hAnsi="Times New Roman" w:eastAsia="方正仿宋_GBK" w:cs="Times New Roman"/>
          <w:sz w:val="32"/>
          <w:szCs w:val="32"/>
        </w:rPr>
        <w:t>员经费用途主要包括基本工资、津贴补贴、奖金、绩效工资、社会保障缴费、其他福利支出等。</w:t>
      </w:r>
      <w:r>
        <w:rPr>
          <w:rFonts w:ascii="Times New Roman" w:hAnsi="Times New Roman" w:eastAsia="方正仿宋_GBK" w:cs="Times New Roman"/>
          <w:sz w:val="32"/>
          <w:szCs w:val="32"/>
          <w:shd w:val="clear" w:color="auto" w:fill="FFFFFF"/>
        </w:rPr>
        <w:t>公用经费21.03万元，较上年决算数增加4.36万元，增长26.2%，主要原因是增加培训费，食堂水电气费用公用经费支出。</w:t>
      </w:r>
      <w:r>
        <w:rPr>
          <w:rFonts w:ascii="Times New Roman" w:hAnsi="Times New Roman" w:eastAsia="方正仿宋_GBK" w:cs="Times New Roman"/>
          <w:sz w:val="32"/>
          <w:szCs w:val="32"/>
        </w:rPr>
        <w:t>公用经费用途主要包括办公费、印刷费、培训费、劳务费、工会经费、维修费、水费、电费、邮电费等。</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（五）政府性基金预算收支决算情况说明。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w:t>
      </w:r>
      <w:r>
        <w:rPr>
          <w:rFonts w:ascii="Times New Roman" w:hAnsi="Times New Roman" w:eastAsia="方正仿宋_GBK" w:cs="Times New Roman"/>
          <w:sz w:val="32"/>
          <w:szCs w:val="32"/>
        </w:rPr>
        <w:t>本部门2021年度无政府性基金预算财政拨款收支。</w:t>
      </w:r>
    </w:p>
    <w:p>
      <w:pPr>
        <w:ind w:firstLine="643" w:firstLineChars="200"/>
        <w:rPr>
          <w:rStyle w:val="7"/>
          <w:rFonts w:ascii="Times New Roman" w:hAnsi="Times New Roman" w:eastAsia="方正仿宋_GBK" w:cs="Times New Roman"/>
          <w:color w:val="000000"/>
          <w:sz w:val="32"/>
          <w:szCs w:val="32"/>
          <w:shd w:val="clear" w:color="auto" w:fill="FFFFFF"/>
        </w:rPr>
      </w:pPr>
      <w:r>
        <w:rPr>
          <w:rStyle w:val="7"/>
          <w:rFonts w:ascii="Times New Roman" w:hAnsi="Times New Roman" w:eastAsia="方正仿宋_GBK" w:cs="Times New Roman"/>
          <w:color w:val="000000"/>
          <w:sz w:val="32"/>
          <w:szCs w:val="32"/>
          <w:shd w:val="clear" w:color="auto" w:fill="FFFFFF"/>
        </w:rPr>
        <w:t>国有资本经营预算财政拨款支出决算情况说明。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w:t>
      </w:r>
      <w:r>
        <w:rPr>
          <w:rFonts w:ascii="Times New Roman" w:hAnsi="Times New Roman" w:eastAsia="方正仿宋_GBK" w:cs="Times New Roman"/>
          <w:sz w:val="32"/>
          <w:szCs w:val="32"/>
        </w:rPr>
        <w:t>本部门2021年度无国有资本经营预算财政拨款支出。</w:t>
      </w:r>
    </w:p>
    <w:p>
      <w:pPr>
        <w:ind w:firstLine="723" w:firstLineChars="200"/>
        <w:rPr>
          <w:rStyle w:val="7"/>
          <w:rFonts w:ascii="Times New Roman" w:hAnsi="Times New Roman" w:cs="Times New Roman"/>
          <w:color w:val="000000"/>
          <w:sz w:val="36"/>
          <w:szCs w:val="36"/>
          <w:shd w:val="clear" w:color="auto" w:fill="FFFFFF"/>
        </w:rPr>
      </w:pPr>
      <w:r>
        <w:rPr>
          <w:rStyle w:val="7"/>
          <w:rFonts w:ascii="Times New Roman" w:hAnsi="Times New Roman" w:eastAsia="方正仿宋_GBK" w:cs="Times New Roman"/>
          <w:color w:val="000000"/>
          <w:sz w:val="36"/>
          <w:szCs w:val="36"/>
          <w:shd w:val="clear" w:color="auto" w:fill="FFFFFF"/>
        </w:rPr>
        <w:t>三、“三公”经费情况说明</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（一）“三公”经费支出总体情况说明。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2021年度“三公”经费支出共计0.00万元，较年初预算数增加0.00万元，增长0%，主要原因是</w:t>
      </w:r>
      <w:r>
        <w:rPr>
          <w:rFonts w:ascii="Times New Roman" w:hAnsi="Times New Roman" w:eastAsia="方正仿宋_GBK" w:cs="Times New Roman"/>
          <w:sz w:val="32"/>
          <w:szCs w:val="32"/>
        </w:rPr>
        <w:t xml:space="preserve">本单位2021年度未发生“三公”经费支出。 </w:t>
      </w:r>
      <w:r>
        <w:rPr>
          <w:rFonts w:ascii="Times New Roman" w:hAnsi="Times New Roman" w:eastAsia="方正仿宋_GBK" w:cs="Times New Roman"/>
          <w:sz w:val="32"/>
          <w:szCs w:val="32"/>
          <w:shd w:val="clear" w:color="auto" w:fill="FFFFFF"/>
        </w:rPr>
        <w:t>较上年支出数增加0.00万元，增长0%，主要原因是</w:t>
      </w:r>
      <w:r>
        <w:rPr>
          <w:rFonts w:ascii="Times New Roman" w:hAnsi="Times New Roman" w:eastAsia="方正仿宋_GBK" w:cs="Times New Roman"/>
          <w:sz w:val="32"/>
          <w:szCs w:val="32"/>
        </w:rPr>
        <w:t>本单位2021年度未发生“三公”经费支出。</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（二）“三公”经费分项支出情况。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2021年度本部门因公出国（境）费用0.00万元，主要是用于</w:t>
      </w:r>
      <w:r>
        <w:rPr>
          <w:rFonts w:ascii="Times New Roman" w:hAnsi="Times New Roman" w:eastAsia="方正仿宋_GBK" w:cs="Times New Roman"/>
          <w:sz w:val="32"/>
          <w:szCs w:val="32"/>
        </w:rPr>
        <w:t>本单位2021年度未发生因公出国（境）费用支出。</w:t>
      </w:r>
      <w:r>
        <w:rPr>
          <w:rFonts w:ascii="Times New Roman" w:hAnsi="Times New Roman" w:eastAsia="方正仿宋_GBK" w:cs="Times New Roman"/>
          <w:sz w:val="32"/>
          <w:szCs w:val="32"/>
          <w:shd w:val="clear" w:color="auto" w:fill="FFFFFF"/>
        </w:rPr>
        <w:t>费用支出较年初预算数增加0.00万元，增长0%，主要原因是</w:t>
      </w:r>
      <w:r>
        <w:rPr>
          <w:rFonts w:ascii="Times New Roman" w:hAnsi="Times New Roman" w:eastAsia="方正仿宋_GBK" w:cs="Times New Roman"/>
          <w:sz w:val="32"/>
          <w:szCs w:val="32"/>
        </w:rPr>
        <w:t>本单位2021年度未发生因公出国（境）费用支出。</w:t>
      </w:r>
      <w:r>
        <w:rPr>
          <w:rFonts w:ascii="Times New Roman" w:hAnsi="Times New Roman" w:eastAsia="方正仿宋_GBK" w:cs="Times New Roman"/>
          <w:sz w:val="32"/>
          <w:szCs w:val="32"/>
          <w:shd w:val="clear" w:color="auto" w:fill="FFFFFF"/>
        </w:rPr>
        <w:t>较上年支出数增加0.00万元，增长0%，主要原因是</w:t>
      </w:r>
      <w:r>
        <w:rPr>
          <w:rFonts w:ascii="Times New Roman" w:hAnsi="Times New Roman" w:eastAsia="方正仿宋_GBK" w:cs="Times New Roman"/>
          <w:sz w:val="32"/>
          <w:szCs w:val="32"/>
        </w:rPr>
        <w:t>本单位2021年度未发生因公出国（境）费用支出。</w:t>
      </w:r>
      <w:r>
        <w:rPr>
          <w:rFonts w:ascii="Times New Roman" w:hAnsi="Times New Roman" w:eastAsia="方正仿宋_GBK" w:cs="Times New Roman"/>
          <w:sz w:val="32"/>
          <w:szCs w:val="32"/>
          <w:shd w:val="clear" w:color="auto" w:fill="FFFFFF"/>
        </w:rPr>
        <w:t>  公务车购置费0.00万元，主要用于</w:t>
      </w:r>
      <w:r>
        <w:rPr>
          <w:rFonts w:ascii="Times New Roman" w:hAnsi="Times New Roman" w:eastAsia="方正仿宋_GBK" w:cs="Times New Roman"/>
          <w:sz w:val="32"/>
          <w:szCs w:val="32"/>
        </w:rPr>
        <w:t>本单位2021年度未发生公务车购置费用支出。</w:t>
      </w:r>
      <w:r>
        <w:rPr>
          <w:rFonts w:ascii="Times New Roman" w:hAnsi="Times New Roman" w:eastAsia="方正仿宋_GBK" w:cs="Times New Roman"/>
          <w:sz w:val="32"/>
          <w:szCs w:val="32"/>
          <w:shd w:val="clear" w:color="auto" w:fill="FFFFFF"/>
        </w:rPr>
        <w:t>费用支出较年初预算数增加0.00万元，增长0%，主要原因是</w:t>
      </w:r>
      <w:r>
        <w:rPr>
          <w:rFonts w:ascii="Times New Roman" w:hAnsi="Times New Roman" w:eastAsia="方正仿宋_GBK" w:cs="Times New Roman"/>
          <w:sz w:val="32"/>
          <w:szCs w:val="32"/>
        </w:rPr>
        <w:t>本单位2021年度未发生公务车购置费用支出。</w:t>
      </w:r>
      <w:r>
        <w:rPr>
          <w:rFonts w:ascii="Times New Roman" w:hAnsi="Times New Roman" w:eastAsia="方正仿宋_GBK" w:cs="Times New Roman"/>
          <w:sz w:val="32"/>
          <w:szCs w:val="32"/>
          <w:shd w:val="clear" w:color="auto" w:fill="FFFFFF"/>
        </w:rPr>
        <w:t>较上年支出数增加0.00万元，增长0%，主要原因是</w:t>
      </w:r>
      <w:r>
        <w:rPr>
          <w:rFonts w:ascii="Times New Roman" w:hAnsi="Times New Roman" w:eastAsia="方正仿宋_GBK" w:cs="Times New Roman"/>
          <w:sz w:val="32"/>
          <w:szCs w:val="32"/>
        </w:rPr>
        <w:t>本单位2021年度未发生公务车购置费用支出。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公务车运行维护费0.00万元，主要用于</w:t>
      </w:r>
      <w:r>
        <w:rPr>
          <w:rFonts w:ascii="Times New Roman" w:hAnsi="Times New Roman" w:eastAsia="方正仿宋_GBK" w:cs="Times New Roman"/>
          <w:sz w:val="32"/>
          <w:szCs w:val="32"/>
        </w:rPr>
        <w:t>本单位2021年度未发生公务车运行维护费用支出。</w:t>
      </w:r>
      <w:r>
        <w:rPr>
          <w:rFonts w:ascii="Times New Roman" w:hAnsi="Times New Roman" w:eastAsia="方正仿宋_GBK" w:cs="Times New Roman"/>
          <w:sz w:val="32"/>
          <w:szCs w:val="32"/>
          <w:shd w:val="clear" w:color="auto" w:fill="FFFFFF"/>
        </w:rPr>
        <w:t>费用支出较年初预算数增加0.00万元，增长0%，主要原因是</w:t>
      </w:r>
      <w:r>
        <w:rPr>
          <w:rFonts w:ascii="Times New Roman" w:hAnsi="Times New Roman" w:eastAsia="方正仿宋_GBK" w:cs="Times New Roman"/>
          <w:sz w:val="32"/>
          <w:szCs w:val="32"/>
        </w:rPr>
        <w:t>本单位2021年度未发生公务车运行维护费用支出。</w:t>
      </w:r>
      <w:r>
        <w:rPr>
          <w:rFonts w:ascii="Times New Roman" w:hAnsi="Times New Roman" w:eastAsia="方正仿宋_GBK" w:cs="Times New Roman"/>
          <w:sz w:val="32"/>
          <w:szCs w:val="32"/>
          <w:shd w:val="clear" w:color="auto" w:fill="FFFFFF"/>
        </w:rPr>
        <w:t>较上年支出数增加0.00万元，增长0%，主要原因是</w:t>
      </w:r>
      <w:r>
        <w:rPr>
          <w:rFonts w:ascii="Times New Roman" w:hAnsi="Times New Roman" w:eastAsia="方正仿宋_GBK" w:cs="Times New Roman"/>
          <w:sz w:val="32"/>
          <w:szCs w:val="32"/>
        </w:rPr>
        <w:t>本单位2021年度未发生公务车运行维护费用支出。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公务接待费0.00万元，主要用于接待</w:t>
      </w:r>
      <w:r>
        <w:rPr>
          <w:rFonts w:ascii="Times New Roman" w:hAnsi="Times New Roman" w:eastAsia="方正仿宋_GBK" w:cs="Times New Roman"/>
          <w:sz w:val="32"/>
          <w:szCs w:val="32"/>
        </w:rPr>
        <w:t>本单位2021年度未发生公务接待费用支出。</w:t>
      </w:r>
      <w:r>
        <w:rPr>
          <w:rFonts w:ascii="Times New Roman" w:hAnsi="Times New Roman" w:eastAsia="方正仿宋_GBK" w:cs="Times New Roman"/>
          <w:sz w:val="32"/>
          <w:szCs w:val="32"/>
          <w:shd w:val="clear" w:color="auto" w:fill="FFFFFF"/>
        </w:rPr>
        <w:t>费用支出较年初预算数增加0.00万元，增长0%，主要原因是</w:t>
      </w:r>
      <w:r>
        <w:rPr>
          <w:rFonts w:ascii="Times New Roman" w:hAnsi="Times New Roman" w:eastAsia="方正仿宋_GBK" w:cs="Times New Roman"/>
          <w:sz w:val="32"/>
          <w:szCs w:val="32"/>
        </w:rPr>
        <w:t>本单位2021年度未发生公务接待费用支出。</w:t>
      </w:r>
      <w:r>
        <w:rPr>
          <w:rFonts w:ascii="Times New Roman" w:hAnsi="Times New Roman" w:eastAsia="方正仿宋_GBK" w:cs="Times New Roman"/>
          <w:sz w:val="32"/>
          <w:szCs w:val="32"/>
          <w:shd w:val="clear" w:color="auto" w:fill="FFFFFF"/>
        </w:rPr>
        <w:t>较上年支出数增加0.00万元，增长0%，主要原因是</w:t>
      </w:r>
      <w:r>
        <w:rPr>
          <w:rFonts w:ascii="Times New Roman" w:hAnsi="Times New Roman" w:eastAsia="方正仿宋_GBK" w:cs="Times New Roman"/>
          <w:sz w:val="32"/>
          <w:szCs w:val="32"/>
        </w:rPr>
        <w:t>本单位2021年度未发生公务接待费用支出。</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（三）“三公”经费实物量情况。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2021年度本部门因公出国（境）共计0个团组，0人；公务用车购置0辆，公务车保有量为0辆；国内公务接待0批次0人，其中：国内外事接待0批次，0人；国（境）外公务接待0批次，0人。2021年本部门人均接待费0.00元，车均购置费0.00万元，车均维护费0.00万元。</w:t>
      </w:r>
    </w:p>
    <w:p>
      <w:pPr>
        <w:ind w:firstLine="723" w:firstLineChars="200"/>
        <w:rPr>
          <w:rStyle w:val="7"/>
          <w:rFonts w:ascii="Times New Roman" w:hAnsi="Times New Roman" w:cs="Times New Roman"/>
          <w:color w:val="000000"/>
          <w:sz w:val="36"/>
          <w:szCs w:val="36"/>
          <w:shd w:val="clear" w:color="auto" w:fill="FFFFFF"/>
        </w:rPr>
      </w:pPr>
      <w:r>
        <w:rPr>
          <w:rStyle w:val="7"/>
          <w:rFonts w:ascii="Times New Roman" w:hAnsi="Times New Roman" w:eastAsia="方正仿宋_GBK" w:cs="Times New Roman"/>
          <w:color w:val="000000"/>
          <w:sz w:val="36"/>
          <w:szCs w:val="36"/>
          <w:shd w:val="clear" w:color="auto" w:fill="FFFFFF"/>
        </w:rPr>
        <w:t>四、其他需要说明的事项</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（一）一般公共预算财政拨款会议费和培训费情况说明。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本年度会议费支出0.00万元，较上年决算数增加0.00万元，增长%，主要原因是</w:t>
      </w:r>
      <w:r>
        <w:rPr>
          <w:rFonts w:ascii="Times New Roman" w:hAnsi="Times New Roman" w:eastAsia="方正仿宋_GBK" w:cs="Times New Roman"/>
          <w:sz w:val="32"/>
          <w:szCs w:val="32"/>
        </w:rPr>
        <w:t>本单位2021年度未发生会议费支出。</w:t>
      </w:r>
      <w:r>
        <w:rPr>
          <w:rFonts w:ascii="Times New Roman" w:hAnsi="Times New Roman" w:eastAsia="方正仿宋_GBK" w:cs="Times New Roman"/>
          <w:sz w:val="32"/>
          <w:szCs w:val="32"/>
          <w:shd w:val="clear" w:color="auto" w:fill="FFFFFF"/>
        </w:rPr>
        <w:t>本年度培训费支出2.11万元，较上年决算数增加1.30万元，增长160.5%，主要原因是增加培训人次。</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（二）机关运行经费情况说明。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w:t>
      </w:r>
      <w:r>
        <w:rPr>
          <w:rFonts w:ascii="Times New Roman" w:hAnsi="Times New Roman" w:eastAsia="方正仿宋_GBK" w:cs="Times New Roman"/>
          <w:sz w:val="32"/>
          <w:szCs w:val="32"/>
        </w:rPr>
        <w:t>按照部门决算列报口径，我单位不在机关运行经费统计范围之内。</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（三）国有资产占用情况说明。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截至2021年12月31日，本部门共有车辆0辆，其中，副部（省）级及以上领导用车0辆、主要领导干部用车0辆、机要通信用车0辆、应急保障用车0辆、执法执勤用车0辆，特种专业技术用车0辆，离退休干部用车0辆，其他用车0辆</w:t>
      </w:r>
      <w:r>
        <w:rPr>
          <w:rFonts w:ascii="Times New Roman" w:hAnsi="Times New Roman" w:eastAsia="方正仿宋_GBK" w:cs="Times New Roman"/>
          <w:color w:val="FF0000"/>
          <w:sz w:val="32"/>
          <w:szCs w:val="32"/>
          <w:shd w:val="clear" w:color="auto" w:fill="FFFFFF"/>
        </w:rPr>
        <w:t>。</w:t>
      </w:r>
      <w:r>
        <w:rPr>
          <w:rFonts w:ascii="Times New Roman" w:hAnsi="Times New Roman" w:eastAsia="方正仿宋_GBK" w:cs="Times New Roman"/>
          <w:sz w:val="32"/>
          <w:szCs w:val="32"/>
          <w:shd w:val="clear" w:color="auto" w:fill="FFFFFF"/>
        </w:rPr>
        <w:t>单价50万元（含）以上通用设备0台（套），单价100万元（含）以上专用设备0台（套）。</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（四）政府采购支出情况说明。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2021年度本部门政府采购支出总额1.02万元，其中：政府采购货物支出1.02万元、政府采购工程支出0.00万元、政府采购服务支出0.00万元。授予中小企业合同金额1.02万元，占政府采购支出总额的100%，其中：授予小微企业合同金额1.02万元，占政府采购支出总额的100%。主要用于采购同步课堂设施设备。</w:t>
      </w:r>
    </w:p>
    <w:p>
      <w:pPr>
        <w:ind w:firstLine="723" w:firstLineChars="200"/>
        <w:rPr>
          <w:rStyle w:val="7"/>
          <w:rFonts w:ascii="Times New Roman" w:hAnsi="Times New Roman" w:cs="Times New Roman"/>
          <w:color w:val="000000"/>
          <w:sz w:val="36"/>
          <w:szCs w:val="36"/>
          <w:shd w:val="clear" w:color="auto" w:fill="FFFFFF"/>
        </w:rPr>
      </w:pPr>
      <w:r>
        <w:rPr>
          <w:rStyle w:val="7"/>
          <w:rFonts w:ascii="Times New Roman" w:hAnsi="Times New Roman" w:eastAsia="方正仿宋_GBK" w:cs="Times New Roman"/>
          <w:color w:val="000000"/>
          <w:sz w:val="36"/>
          <w:szCs w:val="36"/>
          <w:shd w:val="clear" w:color="auto" w:fill="FFFFFF"/>
        </w:rPr>
        <w:t>五、预算绩效管理情况说明</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（一）预算绩效管理工作开展情况。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预算绩效管理要求，本部门对2个项目开展了绩效自评，涉及资金16.30万元。从评价情况来看，项目立项较为规范，绩效目标明确，预算编制合理，管理科学规范，资金到位及时，总体完成情况较好。现将有关开展情况汇报如下：一是各级领导高度重视预算绩效管理工作；二是合理选择项目、合理分配资金使有限的财政资金发挥更大的效益；三是通过开展预算资金绩效评价，健全了项目资金的核算与管理，逐步形成自我约束，内部规范的良性机制；四是预算绩效评价，提高了管理水平和资金的使用效益。</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（二）绩效自评结果。</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1.绩效目标自评表。</w:t>
      </w:r>
    </w:p>
    <w:tbl>
      <w:tblPr>
        <w:tblStyle w:val="5"/>
        <w:tblW w:w="9645" w:type="dxa"/>
        <w:jc w:val="center"/>
        <w:tblLayout w:type="fixed"/>
        <w:tblCellMar>
          <w:top w:w="0" w:type="dxa"/>
          <w:left w:w="108" w:type="dxa"/>
          <w:bottom w:w="0" w:type="dxa"/>
          <w:right w:w="108" w:type="dxa"/>
        </w:tblCellMar>
      </w:tblPr>
      <w:tblGrid>
        <w:gridCol w:w="670"/>
        <w:gridCol w:w="851"/>
        <w:gridCol w:w="1134"/>
        <w:gridCol w:w="891"/>
        <w:gridCol w:w="526"/>
        <w:gridCol w:w="1034"/>
        <w:gridCol w:w="733"/>
        <w:gridCol w:w="1494"/>
        <w:gridCol w:w="46"/>
        <w:gridCol w:w="1079"/>
        <w:gridCol w:w="236"/>
        <w:gridCol w:w="951"/>
      </w:tblGrid>
      <w:tr>
        <w:tblPrEx>
          <w:tblCellMar>
            <w:top w:w="0" w:type="dxa"/>
            <w:left w:w="108" w:type="dxa"/>
            <w:bottom w:w="0" w:type="dxa"/>
            <w:right w:w="108" w:type="dxa"/>
          </w:tblCellMar>
        </w:tblPrEx>
        <w:trPr>
          <w:trHeight w:val="601" w:hRule="atLeast"/>
          <w:jc w:val="center"/>
        </w:trPr>
        <w:tc>
          <w:tcPr>
            <w:tcW w:w="9645" w:type="dxa"/>
            <w:gridSpan w:val="12"/>
            <w:vAlign w:val="center"/>
          </w:tcPr>
          <w:p>
            <w:pPr>
              <w:pStyle w:val="4"/>
              <w:shd w:val="clear" w:color="auto" w:fill="FFFFFF"/>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2021年度项目绩效自评表</w:t>
            </w:r>
          </w:p>
        </w:tc>
      </w:tr>
      <w:tr>
        <w:tblPrEx>
          <w:tblCellMar>
            <w:top w:w="0" w:type="dxa"/>
            <w:left w:w="108" w:type="dxa"/>
            <w:bottom w:w="0" w:type="dxa"/>
            <w:right w:w="108" w:type="dxa"/>
          </w:tblCellMar>
        </w:tblPrEx>
        <w:trPr>
          <w:trHeight w:val="68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项目名称</w:t>
            </w:r>
          </w:p>
        </w:tc>
        <w:tc>
          <w:tcPr>
            <w:tcW w:w="4436" w:type="dxa"/>
            <w:gridSpan w:val="5"/>
            <w:tcBorders>
              <w:top w:val="single" w:color="auto" w:sz="4" w:space="0"/>
              <w:left w:val="single" w:color="auto" w:sz="4" w:space="0"/>
              <w:bottom w:val="single" w:color="auto" w:sz="4" w:space="0"/>
              <w:right w:val="single" w:color="000000"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贫困学生资助</w:t>
            </w:r>
          </w:p>
        </w:tc>
        <w:tc>
          <w:tcPr>
            <w:tcW w:w="733" w:type="dxa"/>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自评总分</w:t>
            </w:r>
          </w:p>
        </w:tc>
        <w:tc>
          <w:tcPr>
            <w:tcW w:w="3806" w:type="dxa"/>
            <w:gridSpan w:val="5"/>
            <w:tcBorders>
              <w:top w:val="single" w:color="auto" w:sz="4" w:space="0"/>
              <w:left w:val="nil"/>
              <w:bottom w:val="single" w:color="auto" w:sz="4" w:space="0"/>
              <w:right w:val="single" w:color="000000"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100</w:t>
            </w:r>
          </w:p>
        </w:tc>
      </w:tr>
      <w:tr>
        <w:tblPrEx>
          <w:tblCellMar>
            <w:top w:w="0" w:type="dxa"/>
            <w:left w:w="108" w:type="dxa"/>
            <w:bottom w:w="0" w:type="dxa"/>
            <w:right w:w="108" w:type="dxa"/>
          </w:tblCellMar>
        </w:tblPrEx>
        <w:trPr>
          <w:trHeight w:val="601" w:hRule="atLeast"/>
          <w:jc w:val="center"/>
        </w:trPr>
        <w:tc>
          <w:tcPr>
            <w:tcW w:w="670" w:type="dxa"/>
            <w:tcBorders>
              <w:top w:val="nil"/>
              <w:left w:val="single" w:color="auto" w:sz="4" w:space="0"/>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主管部门</w:t>
            </w:r>
          </w:p>
        </w:tc>
        <w:tc>
          <w:tcPr>
            <w:tcW w:w="4436" w:type="dxa"/>
            <w:gridSpan w:val="5"/>
            <w:tcBorders>
              <w:top w:val="single" w:color="auto" w:sz="4" w:space="0"/>
              <w:left w:val="nil"/>
              <w:bottom w:val="single" w:color="auto" w:sz="4" w:space="0"/>
              <w:right w:val="single" w:color="000000"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丰都县教育委员会</w:t>
            </w:r>
          </w:p>
        </w:tc>
        <w:tc>
          <w:tcPr>
            <w:tcW w:w="733" w:type="dxa"/>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实施单位</w:t>
            </w:r>
          </w:p>
        </w:tc>
        <w:tc>
          <w:tcPr>
            <w:tcW w:w="3806" w:type="dxa"/>
            <w:gridSpan w:val="5"/>
            <w:tcBorders>
              <w:top w:val="nil"/>
              <w:left w:val="nil"/>
              <w:bottom w:val="single" w:color="auto" w:sz="4" w:space="0"/>
              <w:right w:val="single" w:color="000000"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丰都县兴龙镇接龙完全小学校</w:t>
            </w:r>
          </w:p>
        </w:tc>
      </w:tr>
      <w:tr>
        <w:tblPrEx>
          <w:tblCellMar>
            <w:top w:w="0" w:type="dxa"/>
            <w:left w:w="108" w:type="dxa"/>
            <w:bottom w:w="0" w:type="dxa"/>
            <w:right w:w="108" w:type="dxa"/>
          </w:tblCellMar>
        </w:tblPrEx>
        <w:trPr>
          <w:trHeight w:val="601" w:hRule="atLeast"/>
          <w:jc w:val="center"/>
        </w:trPr>
        <w:tc>
          <w:tcPr>
            <w:tcW w:w="670" w:type="dxa"/>
            <w:vMerge w:val="restart"/>
            <w:tcBorders>
              <w:top w:val="nil"/>
              <w:left w:val="single" w:color="auto" w:sz="4" w:space="0"/>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项目资金（万元）</w:t>
            </w:r>
          </w:p>
        </w:tc>
        <w:tc>
          <w:tcPr>
            <w:tcW w:w="1985" w:type="dxa"/>
            <w:gridSpan w:val="2"/>
            <w:tcBorders>
              <w:top w:val="nil"/>
              <w:left w:val="nil"/>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p>
        </w:tc>
        <w:tc>
          <w:tcPr>
            <w:tcW w:w="891" w:type="dxa"/>
            <w:tcBorders>
              <w:top w:val="single" w:color="auto" w:sz="4" w:space="0"/>
              <w:left w:val="single" w:color="auto" w:sz="4" w:space="0"/>
              <w:bottom w:val="single" w:color="auto" w:sz="4" w:space="0"/>
              <w:right w:val="single" w:color="000000"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年初预算数</w:t>
            </w:r>
          </w:p>
        </w:tc>
        <w:tc>
          <w:tcPr>
            <w:tcW w:w="1560" w:type="dxa"/>
            <w:gridSpan w:val="2"/>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全年预算数</w:t>
            </w:r>
          </w:p>
        </w:tc>
        <w:tc>
          <w:tcPr>
            <w:tcW w:w="733" w:type="dxa"/>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全年执行数</w:t>
            </w:r>
          </w:p>
        </w:tc>
        <w:tc>
          <w:tcPr>
            <w:tcW w:w="1540" w:type="dxa"/>
            <w:gridSpan w:val="2"/>
            <w:tcBorders>
              <w:top w:val="nil"/>
              <w:left w:val="nil"/>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分值</w:t>
            </w:r>
          </w:p>
        </w:tc>
        <w:tc>
          <w:tcPr>
            <w:tcW w:w="1079" w:type="dxa"/>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执行率</w:t>
            </w:r>
            <w:r>
              <w:rPr>
                <w:rFonts w:ascii="Times New Roman" w:hAnsi="Times New Roman" w:eastAsia="方正仿宋_GBK"/>
                <w:sz w:val="21"/>
                <w:szCs w:val="21"/>
              </w:rPr>
              <w:br w:type="textWrapping"/>
            </w:r>
            <w:r>
              <w:rPr>
                <w:rFonts w:ascii="Times New Roman" w:hAnsi="Times New Roman" w:eastAsia="方正仿宋_GBK"/>
                <w:sz w:val="21"/>
                <w:szCs w:val="21"/>
              </w:rPr>
              <w:t>（%）</w:t>
            </w:r>
          </w:p>
        </w:tc>
        <w:tc>
          <w:tcPr>
            <w:tcW w:w="1187" w:type="dxa"/>
            <w:gridSpan w:val="2"/>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执行率得分</w:t>
            </w:r>
          </w:p>
        </w:tc>
      </w:tr>
      <w:tr>
        <w:tblPrEx>
          <w:tblCellMar>
            <w:top w:w="0" w:type="dxa"/>
            <w:left w:w="108" w:type="dxa"/>
            <w:bottom w:w="0" w:type="dxa"/>
            <w:right w:w="108" w:type="dxa"/>
          </w:tblCellMar>
        </w:tblPrEx>
        <w:trPr>
          <w:trHeight w:val="601"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1985" w:type="dxa"/>
            <w:gridSpan w:val="2"/>
            <w:tcBorders>
              <w:top w:val="nil"/>
              <w:left w:val="nil"/>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年度总金额</w:t>
            </w:r>
          </w:p>
        </w:tc>
        <w:tc>
          <w:tcPr>
            <w:tcW w:w="891" w:type="dxa"/>
            <w:tcBorders>
              <w:top w:val="single" w:color="auto" w:sz="4" w:space="0"/>
              <w:left w:val="single" w:color="auto" w:sz="4" w:space="0"/>
              <w:bottom w:val="single" w:color="auto" w:sz="4" w:space="0"/>
              <w:right w:val="single" w:color="000000"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4.15</w:t>
            </w:r>
          </w:p>
        </w:tc>
        <w:tc>
          <w:tcPr>
            <w:tcW w:w="1560" w:type="dxa"/>
            <w:gridSpan w:val="2"/>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4.15</w:t>
            </w:r>
          </w:p>
        </w:tc>
        <w:tc>
          <w:tcPr>
            <w:tcW w:w="733" w:type="dxa"/>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4.15</w:t>
            </w:r>
          </w:p>
        </w:tc>
        <w:tc>
          <w:tcPr>
            <w:tcW w:w="1540" w:type="dxa"/>
            <w:gridSpan w:val="2"/>
            <w:tcBorders>
              <w:top w:val="nil"/>
              <w:left w:val="nil"/>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p>
        </w:tc>
        <w:tc>
          <w:tcPr>
            <w:tcW w:w="1079" w:type="dxa"/>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100%</w:t>
            </w:r>
          </w:p>
        </w:tc>
        <w:tc>
          <w:tcPr>
            <w:tcW w:w="1187" w:type="dxa"/>
            <w:gridSpan w:val="2"/>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100</w:t>
            </w:r>
          </w:p>
        </w:tc>
      </w:tr>
      <w:tr>
        <w:tblPrEx>
          <w:tblCellMar>
            <w:top w:w="0" w:type="dxa"/>
            <w:left w:w="108" w:type="dxa"/>
            <w:bottom w:w="0" w:type="dxa"/>
            <w:right w:w="108" w:type="dxa"/>
          </w:tblCellMar>
        </w:tblPrEx>
        <w:trPr>
          <w:trHeight w:val="601"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1985" w:type="dxa"/>
            <w:gridSpan w:val="2"/>
            <w:tcBorders>
              <w:top w:val="nil"/>
              <w:left w:val="nil"/>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其中：财政拨款</w:t>
            </w:r>
          </w:p>
        </w:tc>
        <w:tc>
          <w:tcPr>
            <w:tcW w:w="891" w:type="dxa"/>
            <w:tcBorders>
              <w:top w:val="single" w:color="auto" w:sz="4" w:space="0"/>
              <w:left w:val="single" w:color="auto" w:sz="4" w:space="0"/>
              <w:bottom w:val="single" w:color="auto" w:sz="4" w:space="0"/>
              <w:right w:val="single" w:color="000000"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4.15</w:t>
            </w:r>
          </w:p>
        </w:tc>
        <w:tc>
          <w:tcPr>
            <w:tcW w:w="1560" w:type="dxa"/>
            <w:gridSpan w:val="2"/>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4.15</w:t>
            </w:r>
          </w:p>
        </w:tc>
        <w:tc>
          <w:tcPr>
            <w:tcW w:w="733" w:type="dxa"/>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4.15</w:t>
            </w:r>
          </w:p>
        </w:tc>
        <w:tc>
          <w:tcPr>
            <w:tcW w:w="1540" w:type="dxa"/>
            <w:gridSpan w:val="2"/>
            <w:tcBorders>
              <w:top w:val="nil"/>
              <w:left w:val="nil"/>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p>
        </w:tc>
        <w:tc>
          <w:tcPr>
            <w:tcW w:w="1079" w:type="dxa"/>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100%</w:t>
            </w:r>
          </w:p>
        </w:tc>
        <w:tc>
          <w:tcPr>
            <w:tcW w:w="1187" w:type="dxa"/>
            <w:gridSpan w:val="2"/>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100</w:t>
            </w:r>
          </w:p>
        </w:tc>
      </w:tr>
      <w:tr>
        <w:tblPrEx>
          <w:tblCellMar>
            <w:top w:w="0" w:type="dxa"/>
            <w:left w:w="108" w:type="dxa"/>
            <w:bottom w:w="0" w:type="dxa"/>
            <w:right w:w="108" w:type="dxa"/>
          </w:tblCellMar>
        </w:tblPrEx>
        <w:trPr>
          <w:trHeight w:val="601"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1985" w:type="dxa"/>
            <w:gridSpan w:val="2"/>
            <w:tcBorders>
              <w:top w:val="nil"/>
              <w:left w:val="nil"/>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上年结转结余</w:t>
            </w:r>
          </w:p>
        </w:tc>
        <w:tc>
          <w:tcPr>
            <w:tcW w:w="891" w:type="dxa"/>
            <w:tcBorders>
              <w:top w:val="single" w:color="auto" w:sz="4" w:space="0"/>
              <w:left w:val="single" w:color="auto" w:sz="4" w:space="0"/>
              <w:bottom w:val="single" w:color="auto" w:sz="4" w:space="0"/>
              <w:right w:val="single" w:color="000000"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c>
          <w:tcPr>
            <w:tcW w:w="1560" w:type="dxa"/>
            <w:gridSpan w:val="2"/>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c>
          <w:tcPr>
            <w:tcW w:w="733" w:type="dxa"/>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c>
          <w:tcPr>
            <w:tcW w:w="1540" w:type="dxa"/>
            <w:gridSpan w:val="2"/>
            <w:tcBorders>
              <w:top w:val="nil"/>
              <w:left w:val="nil"/>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p>
        </w:tc>
        <w:tc>
          <w:tcPr>
            <w:tcW w:w="1079" w:type="dxa"/>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c>
          <w:tcPr>
            <w:tcW w:w="1187" w:type="dxa"/>
            <w:gridSpan w:val="2"/>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r>
      <w:tr>
        <w:tblPrEx>
          <w:tblCellMar>
            <w:top w:w="0" w:type="dxa"/>
            <w:left w:w="108" w:type="dxa"/>
            <w:bottom w:w="0" w:type="dxa"/>
            <w:right w:w="108" w:type="dxa"/>
          </w:tblCellMar>
        </w:tblPrEx>
        <w:trPr>
          <w:trHeight w:val="622"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1985" w:type="dxa"/>
            <w:gridSpan w:val="2"/>
            <w:tcBorders>
              <w:top w:val="nil"/>
              <w:left w:val="nil"/>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其他资金</w:t>
            </w:r>
          </w:p>
        </w:tc>
        <w:tc>
          <w:tcPr>
            <w:tcW w:w="891" w:type="dxa"/>
            <w:tcBorders>
              <w:top w:val="single" w:color="auto" w:sz="4" w:space="0"/>
              <w:left w:val="single" w:color="auto" w:sz="4" w:space="0"/>
              <w:bottom w:val="single" w:color="auto" w:sz="4" w:space="0"/>
              <w:right w:val="single" w:color="000000"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c>
          <w:tcPr>
            <w:tcW w:w="1560" w:type="dxa"/>
            <w:gridSpan w:val="2"/>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c>
          <w:tcPr>
            <w:tcW w:w="733" w:type="dxa"/>
            <w:tcBorders>
              <w:top w:val="single" w:color="auto" w:sz="4" w:space="0"/>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c>
          <w:tcPr>
            <w:tcW w:w="1540" w:type="dxa"/>
            <w:gridSpan w:val="2"/>
            <w:tcBorders>
              <w:top w:val="nil"/>
              <w:left w:val="nil"/>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p>
        </w:tc>
        <w:tc>
          <w:tcPr>
            <w:tcW w:w="1079" w:type="dxa"/>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c>
          <w:tcPr>
            <w:tcW w:w="1187" w:type="dxa"/>
            <w:gridSpan w:val="2"/>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0</w:t>
            </w:r>
          </w:p>
        </w:tc>
      </w:tr>
      <w:tr>
        <w:tblPrEx>
          <w:tblCellMar>
            <w:top w:w="0" w:type="dxa"/>
            <w:left w:w="108" w:type="dxa"/>
            <w:bottom w:w="0" w:type="dxa"/>
            <w:right w:w="108" w:type="dxa"/>
          </w:tblCellMar>
        </w:tblPrEx>
        <w:trPr>
          <w:trHeight w:val="601" w:hRule="atLeast"/>
          <w:jc w:val="center"/>
        </w:trPr>
        <w:tc>
          <w:tcPr>
            <w:tcW w:w="670" w:type="dxa"/>
            <w:vMerge w:val="restart"/>
            <w:tcBorders>
              <w:top w:val="nil"/>
              <w:left w:val="single" w:color="auto" w:sz="4" w:space="0"/>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年度总体目标</w:t>
            </w:r>
          </w:p>
        </w:tc>
        <w:tc>
          <w:tcPr>
            <w:tcW w:w="4436" w:type="dxa"/>
            <w:gridSpan w:val="5"/>
            <w:tcBorders>
              <w:top w:val="single" w:color="auto" w:sz="4" w:space="0"/>
              <w:left w:val="nil"/>
              <w:bottom w:val="single" w:color="auto" w:sz="4" w:space="0"/>
              <w:right w:val="single" w:color="000000"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预期目标</w:t>
            </w:r>
          </w:p>
        </w:tc>
        <w:tc>
          <w:tcPr>
            <w:tcW w:w="4539" w:type="dxa"/>
            <w:gridSpan w:val="6"/>
            <w:tcBorders>
              <w:top w:val="single" w:color="auto" w:sz="4" w:space="0"/>
              <w:left w:val="nil"/>
              <w:bottom w:val="single" w:color="auto" w:sz="4" w:space="0"/>
              <w:right w:val="single" w:color="000000"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全年完成情况</w:t>
            </w:r>
          </w:p>
        </w:tc>
      </w:tr>
      <w:tr>
        <w:tblPrEx>
          <w:tblCellMar>
            <w:top w:w="0" w:type="dxa"/>
            <w:left w:w="108" w:type="dxa"/>
            <w:bottom w:w="0" w:type="dxa"/>
            <w:right w:w="108" w:type="dxa"/>
          </w:tblCellMar>
        </w:tblPrEx>
        <w:trPr>
          <w:trHeight w:val="883" w:hRule="atLeas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4436" w:type="dxa"/>
            <w:gridSpan w:val="5"/>
            <w:tcBorders>
              <w:top w:val="single" w:color="auto" w:sz="4" w:space="0"/>
              <w:left w:val="nil"/>
              <w:bottom w:val="single" w:color="auto" w:sz="4" w:space="0"/>
              <w:right w:val="single" w:color="000000"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投入4.15万元，资助义务教育阶段贫困学生83人次，不让一名贫困学生因家庭经济困难而失学。</w:t>
            </w:r>
          </w:p>
        </w:tc>
        <w:tc>
          <w:tcPr>
            <w:tcW w:w="4539" w:type="dxa"/>
            <w:gridSpan w:val="6"/>
            <w:tcBorders>
              <w:top w:val="single" w:color="auto" w:sz="4" w:space="0"/>
              <w:left w:val="nil"/>
              <w:bottom w:val="single" w:color="auto" w:sz="4" w:space="0"/>
              <w:right w:val="single" w:color="000000"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投入4.15万元，资助义务教育阶段贫困学生83人次，不让一名贫困学生因家庭经济困难而失学。</w:t>
            </w:r>
          </w:p>
        </w:tc>
      </w:tr>
      <w:tr>
        <w:tblPrEx>
          <w:tblCellMar>
            <w:top w:w="0" w:type="dxa"/>
            <w:left w:w="108" w:type="dxa"/>
            <w:bottom w:w="0" w:type="dxa"/>
            <w:right w:w="108" w:type="dxa"/>
          </w:tblCellMar>
        </w:tblPrEx>
        <w:trPr>
          <w:trHeight w:val="601" w:hRule="atLeast"/>
          <w:jc w:val="center"/>
        </w:trPr>
        <w:tc>
          <w:tcPr>
            <w:tcW w:w="670" w:type="dxa"/>
            <w:vMerge w:val="restart"/>
            <w:tcBorders>
              <w:top w:val="nil"/>
              <w:left w:val="single" w:color="auto" w:sz="4" w:space="0"/>
              <w:bottom w:val="single" w:color="auto" w:sz="4" w:space="0"/>
              <w:right w:val="single" w:color="auto" w:sz="4" w:space="0"/>
            </w:tcBorders>
            <w:textDirection w:val="tbRlV"/>
            <w:vAlign w:val="center"/>
          </w:tcPr>
          <w:p>
            <w:pPr>
              <w:pStyle w:val="4"/>
              <w:shd w:val="clear" w:color="auto" w:fill="FFFFFF"/>
              <w:ind w:firstLine="420" w:firstLineChars="200"/>
              <w:jc w:val="center"/>
              <w:rPr>
                <w:rFonts w:ascii="Times New Roman" w:hAnsi="Times New Roman" w:eastAsia="方正仿宋_GBK"/>
                <w:sz w:val="21"/>
                <w:szCs w:val="21"/>
              </w:rPr>
            </w:pPr>
            <w:r>
              <w:rPr>
                <w:rFonts w:ascii="Times New Roman" w:hAnsi="Times New Roman" w:eastAsia="方正仿宋_GBK"/>
                <w:sz w:val="21"/>
                <w:szCs w:val="21"/>
              </w:rPr>
              <w:t>绩效指标</w:t>
            </w:r>
          </w:p>
        </w:tc>
        <w:tc>
          <w:tcPr>
            <w:tcW w:w="851" w:type="dxa"/>
            <w:tcBorders>
              <w:top w:val="nil"/>
              <w:left w:val="nil"/>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一级指标</w:t>
            </w:r>
          </w:p>
        </w:tc>
        <w:tc>
          <w:tcPr>
            <w:tcW w:w="1134" w:type="dxa"/>
            <w:tcBorders>
              <w:top w:val="nil"/>
              <w:left w:val="single" w:color="auto" w:sz="4" w:space="0"/>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二级指标</w:t>
            </w:r>
          </w:p>
        </w:tc>
        <w:tc>
          <w:tcPr>
            <w:tcW w:w="1417" w:type="dxa"/>
            <w:gridSpan w:val="2"/>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三级指标</w:t>
            </w:r>
          </w:p>
        </w:tc>
        <w:tc>
          <w:tcPr>
            <w:tcW w:w="1034" w:type="dxa"/>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年度指标值</w:t>
            </w:r>
          </w:p>
        </w:tc>
        <w:tc>
          <w:tcPr>
            <w:tcW w:w="2227" w:type="dxa"/>
            <w:gridSpan w:val="2"/>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实际完成值</w:t>
            </w:r>
          </w:p>
        </w:tc>
        <w:tc>
          <w:tcPr>
            <w:tcW w:w="1361" w:type="dxa"/>
            <w:gridSpan w:val="3"/>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分值</w:t>
            </w:r>
          </w:p>
        </w:tc>
        <w:tc>
          <w:tcPr>
            <w:tcW w:w="951" w:type="dxa"/>
            <w:tcBorders>
              <w:top w:val="nil"/>
              <w:left w:val="nil"/>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得分</w:t>
            </w:r>
          </w:p>
        </w:tc>
      </w:tr>
      <w:tr>
        <w:tblPrEx>
          <w:tblCellMar>
            <w:top w:w="0" w:type="dxa"/>
            <w:left w:w="108" w:type="dxa"/>
            <w:bottom w:w="0" w:type="dxa"/>
            <w:right w:w="108" w:type="dxa"/>
          </w:tblCellMar>
        </w:tblPrEx>
        <w:trPr>
          <w:trHeight w:val="1306" w:hRule="exac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851" w:type="dxa"/>
            <w:vMerge w:val="restart"/>
            <w:tcBorders>
              <w:top w:val="nil"/>
              <w:left w:val="nil"/>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产出指标</w:t>
            </w:r>
          </w:p>
        </w:tc>
        <w:tc>
          <w:tcPr>
            <w:tcW w:w="1134" w:type="dxa"/>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color w:val="000000"/>
                <w:sz w:val="21"/>
                <w:szCs w:val="21"/>
              </w:rPr>
              <w:t>数量指标</w:t>
            </w:r>
          </w:p>
        </w:tc>
        <w:tc>
          <w:tcPr>
            <w:tcW w:w="1417" w:type="dxa"/>
            <w:gridSpan w:val="2"/>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color w:val="000000"/>
                <w:sz w:val="21"/>
                <w:szCs w:val="21"/>
              </w:rPr>
              <w:t>资助建档立卡贫困户子女人数（≥83人）</w:t>
            </w:r>
          </w:p>
        </w:tc>
        <w:tc>
          <w:tcPr>
            <w:tcW w:w="1034" w:type="dxa"/>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83</w:t>
            </w:r>
          </w:p>
        </w:tc>
        <w:tc>
          <w:tcPr>
            <w:tcW w:w="2227" w:type="dxa"/>
            <w:gridSpan w:val="2"/>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83</w:t>
            </w:r>
          </w:p>
        </w:tc>
        <w:tc>
          <w:tcPr>
            <w:tcW w:w="1361" w:type="dxa"/>
            <w:gridSpan w:val="3"/>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c>
          <w:tcPr>
            <w:tcW w:w="951" w:type="dxa"/>
            <w:tcBorders>
              <w:top w:val="nil"/>
              <w:left w:val="single" w:color="auto" w:sz="4" w:space="0"/>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r>
      <w:tr>
        <w:tblPrEx>
          <w:tblCellMar>
            <w:top w:w="0" w:type="dxa"/>
            <w:left w:w="108" w:type="dxa"/>
            <w:bottom w:w="0" w:type="dxa"/>
            <w:right w:w="108" w:type="dxa"/>
          </w:tblCellMar>
        </w:tblPrEx>
        <w:trPr>
          <w:trHeight w:val="997" w:hRule="exac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851" w:type="dxa"/>
            <w:vMerge w:val="continue"/>
            <w:tcBorders>
              <w:top w:val="nil"/>
              <w:left w:val="nil"/>
              <w:bottom w:val="single" w:color="auto" w:sz="4" w:space="0"/>
              <w:right w:val="nil"/>
            </w:tcBorders>
            <w:vAlign w:val="center"/>
          </w:tcPr>
          <w:p>
            <w:pPr>
              <w:ind w:firstLine="420" w:firstLineChars="200"/>
              <w:rPr>
                <w:rFonts w:ascii="Times New Roman" w:hAnsi="Times New Roman" w:eastAsia="方正仿宋_GBK" w:cs="Times New Roman"/>
                <w:szCs w:val="21"/>
              </w:rPr>
            </w:pPr>
          </w:p>
        </w:tc>
        <w:tc>
          <w:tcPr>
            <w:tcW w:w="1134" w:type="dxa"/>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质量指标</w:t>
            </w:r>
          </w:p>
        </w:tc>
        <w:tc>
          <w:tcPr>
            <w:tcW w:w="1417" w:type="dxa"/>
            <w:gridSpan w:val="2"/>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资助标准达标率（100%）</w:t>
            </w:r>
          </w:p>
        </w:tc>
        <w:tc>
          <w:tcPr>
            <w:tcW w:w="1034" w:type="dxa"/>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100</w:t>
            </w:r>
          </w:p>
        </w:tc>
        <w:tc>
          <w:tcPr>
            <w:tcW w:w="2227" w:type="dxa"/>
            <w:gridSpan w:val="2"/>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100</w:t>
            </w:r>
          </w:p>
        </w:tc>
        <w:tc>
          <w:tcPr>
            <w:tcW w:w="1361" w:type="dxa"/>
            <w:gridSpan w:val="3"/>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c>
          <w:tcPr>
            <w:tcW w:w="951" w:type="dxa"/>
            <w:tcBorders>
              <w:top w:val="nil"/>
              <w:left w:val="single" w:color="auto" w:sz="4" w:space="0"/>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r>
      <w:tr>
        <w:tblPrEx>
          <w:tblCellMar>
            <w:top w:w="0" w:type="dxa"/>
            <w:left w:w="108" w:type="dxa"/>
            <w:bottom w:w="0" w:type="dxa"/>
            <w:right w:w="108" w:type="dxa"/>
          </w:tblCellMar>
        </w:tblPrEx>
        <w:trPr>
          <w:trHeight w:val="1550" w:hRule="exac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851" w:type="dxa"/>
            <w:vMerge w:val="continue"/>
            <w:tcBorders>
              <w:top w:val="nil"/>
              <w:left w:val="nil"/>
              <w:bottom w:val="single" w:color="auto" w:sz="4" w:space="0"/>
              <w:right w:val="nil"/>
            </w:tcBorders>
            <w:vAlign w:val="center"/>
          </w:tcPr>
          <w:p>
            <w:pPr>
              <w:ind w:firstLine="420" w:firstLineChars="200"/>
              <w:rPr>
                <w:rFonts w:ascii="Times New Roman" w:hAnsi="Times New Roman" w:eastAsia="方正仿宋_GBK" w:cs="Times New Roman"/>
                <w:szCs w:val="21"/>
              </w:rPr>
            </w:pPr>
          </w:p>
        </w:tc>
        <w:tc>
          <w:tcPr>
            <w:tcW w:w="1134" w:type="dxa"/>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成本指标</w:t>
            </w:r>
          </w:p>
        </w:tc>
        <w:tc>
          <w:tcPr>
            <w:tcW w:w="1417" w:type="dxa"/>
            <w:gridSpan w:val="2"/>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建档立卡贫困户子女生均资助标准（500元/学年）</w:t>
            </w:r>
          </w:p>
        </w:tc>
        <w:tc>
          <w:tcPr>
            <w:tcW w:w="1034" w:type="dxa"/>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500</w:t>
            </w:r>
          </w:p>
        </w:tc>
        <w:tc>
          <w:tcPr>
            <w:tcW w:w="2227" w:type="dxa"/>
            <w:gridSpan w:val="2"/>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500</w:t>
            </w:r>
          </w:p>
        </w:tc>
        <w:tc>
          <w:tcPr>
            <w:tcW w:w="1361" w:type="dxa"/>
            <w:gridSpan w:val="3"/>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c>
          <w:tcPr>
            <w:tcW w:w="951" w:type="dxa"/>
            <w:tcBorders>
              <w:top w:val="nil"/>
              <w:left w:val="single" w:color="auto" w:sz="4" w:space="0"/>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r>
      <w:tr>
        <w:tblPrEx>
          <w:tblCellMar>
            <w:top w:w="0" w:type="dxa"/>
            <w:left w:w="108" w:type="dxa"/>
            <w:bottom w:w="0" w:type="dxa"/>
            <w:right w:w="108" w:type="dxa"/>
          </w:tblCellMar>
        </w:tblPrEx>
        <w:trPr>
          <w:trHeight w:val="1559" w:hRule="exac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851" w:type="dxa"/>
            <w:tcBorders>
              <w:top w:val="nil"/>
              <w:left w:val="nil"/>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效益指标</w:t>
            </w:r>
          </w:p>
        </w:tc>
        <w:tc>
          <w:tcPr>
            <w:tcW w:w="1134" w:type="dxa"/>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社会效益指标</w:t>
            </w:r>
          </w:p>
        </w:tc>
        <w:tc>
          <w:tcPr>
            <w:tcW w:w="1417" w:type="dxa"/>
            <w:gridSpan w:val="2"/>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建档立卡贫困户子女全程全部接受资助的比例（≥100%）</w:t>
            </w:r>
          </w:p>
          <w:p>
            <w:pPr>
              <w:pStyle w:val="4"/>
              <w:shd w:val="clear" w:color="auto" w:fill="FFFFFF"/>
              <w:ind w:firstLine="420" w:firstLineChars="200"/>
              <w:rPr>
                <w:rFonts w:ascii="Times New Roman" w:hAnsi="Times New Roman" w:eastAsia="方正仿宋_GBK"/>
                <w:sz w:val="21"/>
                <w:szCs w:val="21"/>
              </w:rPr>
            </w:pPr>
          </w:p>
        </w:tc>
        <w:tc>
          <w:tcPr>
            <w:tcW w:w="1034" w:type="dxa"/>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100</w:t>
            </w:r>
          </w:p>
        </w:tc>
        <w:tc>
          <w:tcPr>
            <w:tcW w:w="2227" w:type="dxa"/>
            <w:gridSpan w:val="2"/>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100</w:t>
            </w:r>
          </w:p>
        </w:tc>
        <w:tc>
          <w:tcPr>
            <w:tcW w:w="1361" w:type="dxa"/>
            <w:gridSpan w:val="3"/>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c>
          <w:tcPr>
            <w:tcW w:w="951" w:type="dxa"/>
            <w:tcBorders>
              <w:top w:val="nil"/>
              <w:left w:val="single" w:color="auto" w:sz="4" w:space="0"/>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r>
      <w:tr>
        <w:tblPrEx>
          <w:tblCellMar>
            <w:top w:w="0" w:type="dxa"/>
            <w:left w:w="108" w:type="dxa"/>
            <w:bottom w:w="0" w:type="dxa"/>
            <w:right w:w="108" w:type="dxa"/>
          </w:tblCellMar>
        </w:tblPrEx>
        <w:trPr>
          <w:trHeight w:val="941" w:hRule="exact"/>
          <w:jc w:val="center"/>
        </w:trPr>
        <w:tc>
          <w:tcPr>
            <w:tcW w:w="670" w:type="dxa"/>
            <w:vMerge w:val="continue"/>
            <w:tcBorders>
              <w:top w:val="nil"/>
              <w:left w:val="single" w:color="auto" w:sz="4" w:space="0"/>
              <w:bottom w:val="single" w:color="auto" w:sz="4" w:space="0"/>
              <w:right w:val="single" w:color="auto" w:sz="4" w:space="0"/>
            </w:tcBorders>
            <w:vAlign w:val="center"/>
          </w:tcPr>
          <w:p>
            <w:pPr>
              <w:ind w:firstLine="420" w:firstLineChars="200"/>
              <w:rPr>
                <w:rFonts w:ascii="Times New Roman" w:hAnsi="Times New Roman" w:eastAsia="方正仿宋_GBK" w:cs="Times New Roman"/>
                <w:szCs w:val="21"/>
              </w:rPr>
            </w:pPr>
          </w:p>
        </w:tc>
        <w:tc>
          <w:tcPr>
            <w:tcW w:w="851" w:type="dxa"/>
            <w:tcBorders>
              <w:top w:val="nil"/>
              <w:left w:val="nil"/>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满意度指标</w:t>
            </w:r>
          </w:p>
        </w:tc>
        <w:tc>
          <w:tcPr>
            <w:tcW w:w="1134" w:type="dxa"/>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服务对象满意度指标</w:t>
            </w:r>
          </w:p>
        </w:tc>
        <w:tc>
          <w:tcPr>
            <w:tcW w:w="1417" w:type="dxa"/>
            <w:gridSpan w:val="2"/>
            <w:tcBorders>
              <w:top w:val="nil"/>
              <w:left w:val="single" w:color="auto" w:sz="4" w:space="0"/>
              <w:bottom w:val="single" w:color="auto" w:sz="4" w:space="0"/>
              <w:right w:val="nil"/>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学生及家长满意度（≥90%）</w:t>
            </w:r>
          </w:p>
        </w:tc>
        <w:tc>
          <w:tcPr>
            <w:tcW w:w="1034" w:type="dxa"/>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90</w:t>
            </w:r>
          </w:p>
        </w:tc>
        <w:tc>
          <w:tcPr>
            <w:tcW w:w="2227" w:type="dxa"/>
            <w:gridSpan w:val="2"/>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95</w:t>
            </w:r>
          </w:p>
        </w:tc>
        <w:tc>
          <w:tcPr>
            <w:tcW w:w="1361" w:type="dxa"/>
            <w:gridSpan w:val="3"/>
            <w:tcBorders>
              <w:top w:val="nil"/>
              <w:left w:val="single" w:color="auto" w:sz="4" w:space="0"/>
              <w:bottom w:val="single" w:color="auto" w:sz="4" w:space="0"/>
              <w:right w:val="nil"/>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c>
          <w:tcPr>
            <w:tcW w:w="951" w:type="dxa"/>
            <w:tcBorders>
              <w:top w:val="nil"/>
              <w:left w:val="single" w:color="auto" w:sz="4" w:space="0"/>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r>
              <w:rPr>
                <w:rFonts w:ascii="Times New Roman" w:hAnsi="Times New Roman" w:eastAsia="方正仿宋_GBK"/>
                <w:sz w:val="21"/>
                <w:szCs w:val="21"/>
              </w:rPr>
              <w:t>20</w:t>
            </w:r>
          </w:p>
        </w:tc>
      </w:tr>
      <w:tr>
        <w:tblPrEx>
          <w:tblCellMar>
            <w:top w:w="0" w:type="dxa"/>
            <w:left w:w="108" w:type="dxa"/>
            <w:bottom w:w="0" w:type="dxa"/>
            <w:right w:w="108" w:type="dxa"/>
          </w:tblCellMar>
        </w:tblPrEx>
        <w:trPr>
          <w:trHeight w:val="542" w:hRule="atLeast"/>
          <w:jc w:val="center"/>
        </w:trPr>
        <w:tc>
          <w:tcPr>
            <w:tcW w:w="670" w:type="dxa"/>
            <w:tcBorders>
              <w:top w:val="nil"/>
              <w:left w:val="single" w:color="auto" w:sz="4" w:space="0"/>
              <w:bottom w:val="single" w:color="auto" w:sz="4" w:space="0"/>
              <w:right w:val="single" w:color="auto" w:sz="4" w:space="0"/>
            </w:tcBorders>
            <w:vAlign w:val="center"/>
          </w:tcPr>
          <w:p>
            <w:pPr>
              <w:pStyle w:val="4"/>
              <w:shd w:val="clear" w:color="auto" w:fill="FFFFFF"/>
              <w:rPr>
                <w:rFonts w:ascii="Times New Roman" w:hAnsi="Times New Roman" w:eastAsia="方正仿宋_GBK"/>
                <w:sz w:val="21"/>
                <w:szCs w:val="21"/>
              </w:rPr>
            </w:pPr>
            <w:r>
              <w:rPr>
                <w:rFonts w:ascii="Times New Roman" w:hAnsi="Times New Roman" w:eastAsia="方正仿宋_GBK"/>
                <w:sz w:val="21"/>
                <w:szCs w:val="21"/>
              </w:rPr>
              <w:t>说明</w:t>
            </w:r>
          </w:p>
        </w:tc>
        <w:tc>
          <w:tcPr>
            <w:tcW w:w="8975" w:type="dxa"/>
            <w:gridSpan w:val="11"/>
            <w:tcBorders>
              <w:top w:val="single" w:color="auto" w:sz="4" w:space="0"/>
              <w:left w:val="nil"/>
              <w:bottom w:val="single" w:color="auto" w:sz="4" w:space="0"/>
              <w:right w:val="single" w:color="auto" w:sz="4" w:space="0"/>
            </w:tcBorders>
            <w:vAlign w:val="center"/>
          </w:tcPr>
          <w:p>
            <w:pPr>
              <w:pStyle w:val="4"/>
              <w:shd w:val="clear" w:color="auto" w:fill="FFFFFF"/>
              <w:ind w:firstLine="420" w:firstLineChars="200"/>
              <w:rPr>
                <w:rFonts w:ascii="Times New Roman" w:hAnsi="Times New Roman" w:eastAsia="方正仿宋_GBK"/>
                <w:sz w:val="21"/>
                <w:szCs w:val="21"/>
              </w:rPr>
            </w:pPr>
          </w:p>
        </w:tc>
      </w:tr>
    </w:tbl>
    <w:p>
      <w:pPr>
        <w:pStyle w:val="4"/>
        <w:widowControl/>
        <w:shd w:val="clear" w:color="auto" w:fill="FFFFFF"/>
        <w:spacing w:beforeAutospacing="0" w:afterAutospacing="0"/>
        <w:rPr>
          <w:rFonts w:ascii="Times New Roman" w:hAnsi="Times New Roman" w:eastAsia="Arial"/>
          <w:color w:val="000000"/>
          <w:sz w:val="18"/>
          <w:szCs w:val="18"/>
        </w:rPr>
      </w:pPr>
    </w:p>
    <w:p>
      <w:pPr>
        <w:ind w:firstLine="643" w:firstLineChars="200"/>
        <w:rPr>
          <w:rStyle w:val="7"/>
          <w:rFonts w:ascii="Times New Roman" w:hAnsi="Times New Roman" w:eastAsia="方正仿宋_GBK" w:cs="Times New Roman"/>
          <w:color w:val="000000"/>
          <w:sz w:val="32"/>
          <w:szCs w:val="32"/>
          <w:shd w:val="clear" w:color="auto" w:fill="FFFF00"/>
        </w:rPr>
      </w:pPr>
      <w:r>
        <w:rPr>
          <w:rStyle w:val="7"/>
          <w:rFonts w:ascii="Times New Roman" w:hAnsi="Times New Roman" w:eastAsia="方正仿宋_GBK" w:cs="Times New Roman"/>
          <w:color w:val="000000"/>
          <w:sz w:val="32"/>
          <w:szCs w:val="32"/>
          <w:shd w:val="clear" w:color="auto" w:fill="FFFFFF"/>
        </w:rPr>
        <w:t>2.绩效自评报告或案例。</w:t>
      </w:r>
    </w:p>
    <w:p>
      <w:pPr>
        <w:ind w:firstLine="640" w:firstLineChars="200"/>
        <w:rPr>
          <w:rStyle w:val="7"/>
          <w:rFonts w:ascii="Times New Roman" w:hAnsi="Times New Roman" w:eastAsia="方正仿宋_GBK" w:cs="Times New Roman"/>
          <w:color w:val="000000"/>
          <w:sz w:val="32"/>
          <w:szCs w:val="32"/>
          <w:shd w:val="clear" w:color="auto" w:fill="FFFF00"/>
        </w:rPr>
      </w:pPr>
      <w:r>
        <w:rPr>
          <w:rFonts w:ascii="Times New Roman" w:hAnsi="Times New Roman" w:eastAsia="方正仿宋_GBK" w:cs="Times New Roman"/>
          <w:sz w:val="32"/>
          <w:szCs w:val="32"/>
        </w:rPr>
        <w:t>我单位未委托第三方开展绩效评价。</w:t>
      </w:r>
    </w:p>
    <w:p>
      <w:pPr>
        <w:ind w:firstLine="643" w:firstLineChars="200"/>
        <w:rPr>
          <w:rStyle w:val="7"/>
          <w:rFonts w:ascii="Times New Roman" w:hAnsi="Times New Roman" w:eastAsia="方正仿宋_GBK" w:cs="Times New Roman"/>
          <w:color w:val="000000"/>
          <w:sz w:val="32"/>
          <w:szCs w:val="32"/>
          <w:shd w:val="clear" w:color="auto" w:fill="FFFFFF"/>
        </w:rPr>
      </w:pPr>
      <w:r>
        <w:rPr>
          <w:rStyle w:val="7"/>
          <w:rFonts w:ascii="Times New Roman" w:hAnsi="Times New Roman" w:eastAsia="方正仿宋_GBK" w:cs="Times New Roman"/>
          <w:color w:val="000000"/>
          <w:sz w:val="32"/>
          <w:szCs w:val="32"/>
          <w:shd w:val="clear" w:color="auto" w:fill="FFFFFF"/>
        </w:rPr>
        <w:t>3.关于绩效自评结果的说明。</w:t>
      </w:r>
    </w:p>
    <w:p>
      <w:pPr>
        <w:ind w:firstLine="643" w:firstLineChars="200"/>
        <w:rPr>
          <w:rStyle w:val="7"/>
          <w:rFonts w:ascii="Times New Roman" w:hAnsi="Times New Roman" w:eastAsia="方正仿宋_GBK" w:cs="Times New Roman"/>
          <w:color w:val="000000"/>
          <w:sz w:val="32"/>
          <w:szCs w:val="32"/>
          <w:shd w:val="clear" w:color="auto" w:fill="FFFFFF"/>
        </w:rPr>
      </w:pPr>
      <w:r>
        <w:rPr>
          <w:rStyle w:val="7"/>
          <w:rFonts w:ascii="Times New Roman" w:hAnsi="Times New Roman" w:eastAsia="方正仿宋_GBK" w:cs="Times New Roman"/>
          <w:color w:val="000000"/>
          <w:sz w:val="32"/>
          <w:szCs w:val="32"/>
          <w:shd w:val="clear" w:color="auto" w:fill="FFFFFF"/>
        </w:rPr>
        <w:t>本年度项目完成情况较好。</w:t>
      </w:r>
    </w:p>
    <w:p>
      <w:pPr>
        <w:ind w:firstLine="643" w:firstLineChars="200"/>
        <w:rPr>
          <w:rStyle w:val="7"/>
          <w:rFonts w:ascii="Times New Roman" w:hAnsi="Times New Roman" w:eastAsia="方正仿宋_GBK" w:cs="Times New Roman"/>
          <w:color w:val="000000"/>
          <w:sz w:val="32"/>
          <w:szCs w:val="32"/>
          <w:shd w:val="clear" w:color="auto" w:fill="FFFFFF"/>
        </w:rPr>
      </w:pPr>
      <w:r>
        <w:rPr>
          <w:rStyle w:val="7"/>
          <w:rFonts w:ascii="Times New Roman" w:hAnsi="Times New Roman" w:eastAsia="方正仿宋_GBK" w:cs="Times New Roman"/>
          <w:color w:val="000000"/>
          <w:sz w:val="32"/>
          <w:szCs w:val="32"/>
          <w:shd w:val="clear" w:color="auto" w:fill="FFFFFF"/>
        </w:rPr>
        <w:t>（三）重点绩效评价结果。</w:t>
      </w:r>
    </w:p>
    <w:p>
      <w:pPr>
        <w:ind w:firstLine="640" w:firstLineChars="200"/>
        <w:rPr>
          <w:rStyle w:val="7"/>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sz w:val="32"/>
          <w:szCs w:val="32"/>
        </w:rPr>
        <w:t>我单位未委托第三方开展重点绩效评价。</w:t>
      </w:r>
    </w:p>
    <w:p>
      <w:pPr>
        <w:ind w:firstLine="723" w:firstLineChars="200"/>
        <w:rPr>
          <w:rStyle w:val="7"/>
          <w:rFonts w:ascii="Times New Roman" w:hAnsi="Times New Roman" w:cs="Times New Roman"/>
          <w:color w:val="000000"/>
          <w:sz w:val="36"/>
          <w:szCs w:val="36"/>
          <w:shd w:val="clear" w:color="auto" w:fill="FFFFFF"/>
        </w:rPr>
      </w:pPr>
      <w:r>
        <w:rPr>
          <w:rStyle w:val="7"/>
          <w:rFonts w:ascii="Times New Roman" w:hAnsi="Times New Roman" w:eastAsia="方正仿宋_GBK" w:cs="Times New Roman"/>
          <w:color w:val="000000"/>
          <w:sz w:val="36"/>
          <w:szCs w:val="36"/>
          <w:shd w:val="clear" w:color="auto" w:fill="FFFFFF"/>
        </w:rPr>
        <w:t>  六、专业名词解释</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（一）财政拨款收入</w:t>
      </w:r>
      <w:r>
        <w:rPr>
          <w:rFonts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（二）事业收入</w:t>
      </w:r>
      <w:r>
        <w:rPr>
          <w:rFonts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（三）经营收入</w:t>
      </w:r>
      <w:r>
        <w:rPr>
          <w:rFonts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（四）其他收入</w:t>
      </w:r>
      <w:r>
        <w:rPr>
          <w:rFonts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（五）使用非财政拨款结余</w:t>
      </w:r>
      <w:r>
        <w:rPr>
          <w:rFonts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（六）年初结转和结余</w:t>
      </w:r>
      <w:r>
        <w:rPr>
          <w:rFonts w:ascii="Times New Roman" w:hAnsi="Times New Roman" w:eastAsia="方正仿宋_GBK" w:cs="Times New Roman"/>
          <w:sz w:val="32"/>
          <w:szCs w:val="32"/>
          <w:shd w:val="clear" w:color="auto" w:fill="FFFFFF"/>
        </w:rPr>
        <w:t>：指单位上年结转本年使用的基本支出结转、项目支出结转和结余、经营结余。</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（七）结余分配</w:t>
      </w:r>
      <w:r>
        <w:rPr>
          <w:rFonts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（八）年末结转和结余</w:t>
      </w:r>
      <w:r>
        <w:rPr>
          <w:rFonts w:ascii="Times New Roman" w:hAnsi="Times New Roman" w:eastAsia="方正仿宋_GBK" w:cs="Times New Roman"/>
          <w:sz w:val="32"/>
          <w:szCs w:val="32"/>
          <w:shd w:val="clear" w:color="auto" w:fill="FFFFFF"/>
        </w:rPr>
        <w:t>：指单位结转下年的基本支出结转、项目支出结转和结余、经营结余。</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（九）基本支出</w:t>
      </w:r>
      <w:r>
        <w:rPr>
          <w:rFonts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（十）项目支出</w:t>
      </w:r>
      <w:r>
        <w:rPr>
          <w:rFonts w:ascii="Times New Roman" w:hAnsi="Times New Roman" w:eastAsia="方正仿宋_GBK" w:cs="Times New Roman"/>
          <w:sz w:val="32"/>
          <w:szCs w:val="32"/>
          <w:shd w:val="clear" w:color="auto" w:fill="FFFFFF"/>
        </w:rPr>
        <w:t>：指在基本支出之外为完成特定行政任务和事业发展目标所发生的支出。</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（十一）经营支出</w:t>
      </w:r>
      <w:r>
        <w:rPr>
          <w:rFonts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（十二）“三公”经费</w:t>
      </w:r>
      <w:r>
        <w:rPr>
          <w:rFonts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（十三）机关运行经费</w:t>
      </w:r>
      <w:r>
        <w:rPr>
          <w:rFonts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（十四）工资福利支出（支出经济分类科目类级）</w:t>
      </w:r>
      <w:r>
        <w:rPr>
          <w:rFonts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（十五）商品和服务支出（支出经济分类科目类级）</w:t>
      </w:r>
      <w:r>
        <w:rPr>
          <w:rFonts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（十六）对个人和家庭的补助（支出经济分类科目类级）</w:t>
      </w:r>
      <w:r>
        <w:rPr>
          <w:rFonts w:ascii="Times New Roman" w:hAnsi="Times New Roman" w:eastAsia="方正仿宋_GBK" w:cs="Times New Roman"/>
          <w:sz w:val="32"/>
          <w:szCs w:val="32"/>
          <w:shd w:val="clear" w:color="auto" w:fill="FFFFFF"/>
        </w:rPr>
        <w:t>：反映用于对个人和家庭的补助支出。</w:t>
      </w:r>
    </w:p>
    <w:p>
      <w:pPr>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color w:val="000000"/>
          <w:sz w:val="32"/>
          <w:szCs w:val="32"/>
          <w:shd w:val="clear" w:color="auto" w:fill="FFFFFF"/>
        </w:rPr>
        <w:t>（十七）其他资本性支出（支出经济分类科目类级）</w:t>
      </w:r>
      <w:r>
        <w:rPr>
          <w:rFonts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ind w:firstLine="723" w:firstLineChars="200"/>
        <w:rPr>
          <w:rStyle w:val="7"/>
          <w:rFonts w:ascii="Times New Roman" w:hAnsi="Times New Roman" w:cs="Times New Roman"/>
          <w:color w:val="000000"/>
          <w:sz w:val="36"/>
          <w:szCs w:val="36"/>
          <w:shd w:val="clear" w:color="auto" w:fill="FFFFFF"/>
        </w:rPr>
      </w:pPr>
      <w:r>
        <w:rPr>
          <w:rStyle w:val="7"/>
          <w:rFonts w:ascii="Times New Roman" w:hAnsi="Times New Roman" w:eastAsia="方正仿宋_GBK" w:cs="Times New Roman"/>
          <w:color w:val="000000"/>
          <w:sz w:val="36"/>
          <w:szCs w:val="36"/>
          <w:shd w:val="clear" w:color="auto" w:fill="FFFFFF"/>
        </w:rPr>
        <w:t>七、决算公开联系方式及信息反馈渠道</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本单位决算公开信息反馈和联系方式：</w:t>
      </w:r>
      <w:r>
        <w:rPr>
          <w:rFonts w:ascii="Times New Roman" w:hAnsi="Times New Roman" w:eastAsia="方正仿宋_GBK" w:cs="Times New Roman"/>
          <w:sz w:val="32"/>
          <w:szCs w:val="32"/>
        </w:rPr>
        <w:t>396242764@qq.com,023-70688023</w:t>
      </w:r>
      <w:r>
        <w:rPr>
          <w:rFonts w:ascii="Times New Roman" w:hAnsi="Times New Roman" w:eastAsia="方正仿宋_GBK" w:cs="Times New Roman"/>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I0NTVlZWE1YzY4MmM3Y2ZkNjk0NWEwNWU3NjQifQ=="/>
  </w:docVars>
  <w:rsids>
    <w:rsidRoot w:val="5F0A713B"/>
    <w:rsid w:val="000B0152"/>
    <w:rsid w:val="007F1F99"/>
    <w:rsid w:val="00B630CF"/>
    <w:rsid w:val="00EC0D8C"/>
    <w:rsid w:val="00F31750"/>
    <w:rsid w:val="56327AC1"/>
    <w:rsid w:val="59A77E1C"/>
    <w:rsid w:val="5F0A713B"/>
    <w:rsid w:val="649717CB"/>
    <w:rsid w:val="7BE5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12</Pages>
  <Words>5018</Words>
  <Characters>5607</Characters>
  <Lines>41</Lines>
  <Paragraphs>11</Paragraphs>
  <TotalTime>0</TotalTime>
  <ScaleCrop>false</ScaleCrop>
  <LinksUpToDate>false</LinksUpToDate>
  <CharactersWithSpaces>5618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2022-10-09T02:08:00Z</dcterms:created>
  <dc:creator>Administrator</dc:creator>
  <cp:lastModifiedBy>丰都</cp:lastModifiedBy>
  <dcterms:modified xsi:type="dcterms:W3CDTF">2022-10-11T03:17:31Z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437CD4841303455CAD1FE81AC0E81746</vt:lpwstr>
  </property>
</Properties>
</file>