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
        <w:tblW w:w="0" w:type="auto"/>
        <w:tblInd w:w="0" w:type="dxa"/>
        <w:tblLayout w:type="fixed"/>
        <w:tblCellMar>
          <w:top w:w="0" w:type="dxa"/>
          <w:left w:w="0" w:type="dxa"/>
          <w:bottom w:w="0" w:type="dxa"/>
          <w:right w:w="0" w:type="dxa"/>
        </w:tblCellMar>
      </w:tblPr>
      <w:tblGrid>
        <w:gridCol w:w="8843"/>
      </w:tblGrid>
      <w:tr w14:paraId="26F3D766">
        <w:trPr>
          <w:cantSplit/>
          <w:trHeight w:val="80" w:hRule="exact"/>
        </w:trPr>
        <w:tc>
          <w:tcPr>
            <w:tcW w:w="8843" w:type="dxa"/>
            <w:vAlign w:val="center"/>
          </w:tcPr>
          <w:p w14:paraId="5D692D18">
            <w:pPr>
              <w:spacing w:line="240" w:lineRule="auto"/>
              <w:jc w:val="center"/>
              <w:rPr>
                <w:rFonts w:hint="eastAsia" w:ascii="方正仿宋_GBK" w:hAnsi="方正仿宋_GBK"/>
                <w:b/>
                <w:sz w:val="21"/>
              </w:rPr>
            </w:pPr>
          </w:p>
        </w:tc>
      </w:tr>
      <w:tr w14:paraId="3E222180">
        <w:tblPrEx>
          <w:tblCellMar>
            <w:top w:w="0" w:type="dxa"/>
            <w:left w:w="0" w:type="dxa"/>
            <w:bottom w:w="0" w:type="dxa"/>
            <w:right w:w="0" w:type="dxa"/>
          </w:tblCellMar>
        </w:tblPrEx>
        <w:trPr>
          <w:cantSplit/>
        </w:trPr>
        <w:tc>
          <w:tcPr>
            <w:tcW w:w="8843" w:type="dxa"/>
            <w:vAlign w:val="center"/>
          </w:tcPr>
          <w:p w14:paraId="20FAA9A3">
            <w:pPr>
              <w:spacing w:line="590" w:lineRule="exact"/>
              <w:jc w:val="center"/>
              <w:rPr>
                <w:rFonts w:ascii="方正小标宋_GBK" w:eastAsia="方正小标宋_GBK"/>
                <w:sz w:val="44"/>
                <w:szCs w:val="44"/>
              </w:rPr>
            </w:pPr>
          </w:p>
          <w:p w14:paraId="68A1B9C4">
            <w:pPr>
              <w:spacing w:line="590" w:lineRule="exact"/>
              <w:jc w:val="center"/>
              <w:rPr>
                <w:rFonts w:ascii="方正小标宋_GBK" w:eastAsia="方正小标宋_GBK"/>
                <w:sz w:val="44"/>
                <w:szCs w:val="44"/>
              </w:rPr>
            </w:pPr>
            <w:r>
              <w:rPr>
                <w:rFonts w:hint="eastAsia" w:ascii="方正小标宋_GBK" w:eastAsia="方正小标宋_GBK"/>
                <w:sz w:val="44"/>
                <w:szCs w:val="44"/>
              </w:rPr>
              <w:t>丰都县交通运输委员会</w:t>
            </w:r>
          </w:p>
          <w:p w14:paraId="3CEBD39E">
            <w:pPr>
              <w:spacing w:line="590" w:lineRule="exact"/>
              <w:jc w:val="center"/>
              <w:rPr>
                <w:rFonts w:hint="eastAsia" w:ascii="方正小标宋简体" w:hAnsi="方正小标宋简体" w:eastAsia="方正小标宋简体" w:cs="方正小标宋简体"/>
                <w:sz w:val="44"/>
                <w:szCs w:val="44"/>
              </w:rPr>
            </w:pPr>
            <w:r>
              <w:rPr>
                <w:rFonts w:hint="eastAsia" w:ascii="方正小标宋_GBK" w:eastAsia="方正小标宋_GBK"/>
                <w:sz w:val="44"/>
                <w:szCs w:val="44"/>
              </w:rPr>
              <w:t>2024年度项目绩效目标自评报告</w:t>
            </w:r>
          </w:p>
        </w:tc>
      </w:tr>
      <w:tr w14:paraId="508E925B">
        <w:tblPrEx>
          <w:tblCellMar>
            <w:top w:w="0" w:type="dxa"/>
            <w:left w:w="0" w:type="dxa"/>
            <w:bottom w:w="0" w:type="dxa"/>
            <w:right w:w="0" w:type="dxa"/>
          </w:tblCellMar>
        </w:tblPrEx>
        <w:trPr>
          <w:cantSplit/>
          <w:trHeight w:val="414" w:hRule="exact"/>
        </w:trPr>
        <w:tc>
          <w:tcPr>
            <w:tcW w:w="8843" w:type="dxa"/>
            <w:vAlign w:val="center"/>
          </w:tcPr>
          <w:p w14:paraId="3E6C01D1">
            <w:pPr>
              <w:spacing w:line="240" w:lineRule="auto"/>
              <w:jc w:val="center"/>
              <w:rPr>
                <w:rFonts w:hint="eastAsia" w:ascii="方正仿宋_GBK" w:hAnsi="方正仿宋_GBK"/>
                <w:b/>
              </w:rPr>
            </w:pPr>
          </w:p>
        </w:tc>
      </w:tr>
    </w:tbl>
    <w:p w14:paraId="41ACD6DD">
      <w:pPr>
        <w:snapToGrid w:val="0"/>
        <w:spacing w:line="580" w:lineRule="exact"/>
        <w:ind w:firstLine="628" w:firstLineChars="200"/>
        <w:rPr>
          <w:rFonts w:hint="eastAsia" w:ascii="方正黑体_GBK" w:hAnsi="黑体" w:eastAsia="方正黑体_GBK" w:cs="黑体"/>
          <w:bCs/>
          <w:szCs w:val="32"/>
        </w:rPr>
      </w:pPr>
      <w:r>
        <w:rPr>
          <w:rFonts w:hint="eastAsia" w:ascii="方正黑体_GBK" w:hAnsi="黑体" w:eastAsia="方正黑体_GBK" w:cs="黑体"/>
          <w:bCs/>
          <w:szCs w:val="32"/>
        </w:rPr>
        <w:t>一、绩效目标分解下达情况</w:t>
      </w:r>
    </w:p>
    <w:p w14:paraId="3E5298E9">
      <w:pPr>
        <w:autoSpaceDN w:val="0"/>
        <w:adjustRightInd w:val="0"/>
        <w:spacing w:line="240" w:lineRule="auto"/>
        <w:ind w:firstLine="652" w:firstLineChars="200"/>
        <w:rPr>
          <w:rFonts w:eastAsia="方正仿宋_GBK"/>
          <w:spacing w:val="0"/>
          <w:szCs w:val="32"/>
        </w:rPr>
      </w:pPr>
      <w:r>
        <w:rPr>
          <w:rFonts w:hint="eastAsia" w:eastAsia="方正仿宋_GBK"/>
          <w:spacing w:val="0"/>
          <w:szCs w:val="32"/>
        </w:rPr>
        <w:t>根据丰都县2024年度交通强县建设总体部署，我委统筹实施交通基础设施、公共服务、安全应急等领域项目共49项，财政预算总额</w:t>
      </w:r>
      <w:r>
        <w:rPr>
          <w:rFonts w:eastAsia="方正仿宋_GBK"/>
          <w:spacing w:val="0"/>
          <w:szCs w:val="32"/>
        </w:rPr>
        <w:t>2.63</w:t>
      </w:r>
      <w:r>
        <w:rPr>
          <w:rFonts w:hint="eastAsia" w:eastAsia="方正仿宋_GBK"/>
          <w:spacing w:val="0"/>
          <w:szCs w:val="32"/>
        </w:rPr>
        <w:t>亿元，其中上级财政补助资金1.52亿元，县级财政配套资金1.11亿元。资金分配遵循“保重点、促民生、强安全”原则，一是重大交通项目建设，聚焦渝万高铁丰都段、垫丰武高速、南天湖景区至涪陵大木公路改建等骨干工程，支撑县域“外联内畅”路网升级。其中，渝万高铁完成隧道贯通6座、桥梁桩基100%，年度投资16亿元，目标完成率100%；水天坪码头集疏运通道工程港口吞吐效率提升30%。二是农村公路建设与养护累计实施“四好农村路”建设100公里、安保护栏增设300公里，覆盖25个行政村，惠及群众5.2万人；同步完成S205垫武路水毁边坡治理、丰彭路渣场复垦等抢险修复工程，保障乡村道路“畅安舒美”。三是运输服务与安全保障，投入应急抢险资金2000万元，抢通断道29处，清理塌方21万方；优化动车班次新增2列，全年客运到发量超330万人次，同比增长15%；推进铁路沿线安全环境治理，隐患整改率100%。四是数字化转型与绿色交通，建成“渝悦学车”APP试点，打造全市首个数字化驾培样板；拆解高污染老旧船舶55艘，检测尾气不达标车辆254辆，垃圾焚烧发电项目投运后年减碳1.5万吨，绿色交通转型成效初显。</w:t>
      </w:r>
    </w:p>
    <w:p w14:paraId="7FC96439">
      <w:pPr>
        <w:snapToGrid w:val="0"/>
        <w:spacing w:line="580" w:lineRule="exact"/>
        <w:ind w:firstLine="628" w:firstLineChars="200"/>
        <w:rPr>
          <w:rFonts w:hint="eastAsia" w:ascii="方正黑体_GBK" w:hAnsi="黑体" w:eastAsia="方正黑体_GBK" w:cs="黑体"/>
          <w:bCs/>
          <w:szCs w:val="32"/>
        </w:rPr>
      </w:pPr>
      <w:r>
        <w:rPr>
          <w:rFonts w:hint="eastAsia" w:ascii="方正黑体_GBK" w:hAnsi="黑体" w:eastAsia="方正黑体_GBK" w:cs="黑体"/>
          <w:bCs/>
          <w:szCs w:val="32"/>
        </w:rPr>
        <w:t>二、绩效情况分析</w:t>
      </w:r>
    </w:p>
    <w:p w14:paraId="20FF9222">
      <w:pPr>
        <w:autoSpaceDN w:val="0"/>
        <w:adjustRightInd w:val="0"/>
        <w:spacing w:line="240" w:lineRule="auto"/>
        <w:ind w:firstLine="628" w:firstLineChars="200"/>
        <w:rPr>
          <w:rFonts w:hint="eastAsia" w:ascii="方正楷体_GBK" w:hAnsi="楷体_GB2312" w:eastAsia="方正楷体_GBK" w:cs="楷体_GB2312"/>
          <w:szCs w:val="32"/>
        </w:rPr>
      </w:pPr>
      <w:r>
        <w:rPr>
          <w:rFonts w:hint="eastAsia" w:ascii="方正楷体_GBK" w:hAnsi="楷体_GB2312" w:eastAsia="方正楷体_GBK" w:cs="楷体_GB2312"/>
          <w:szCs w:val="32"/>
        </w:rPr>
        <w:t>（一）资金投入情况分析</w:t>
      </w:r>
    </w:p>
    <w:p w14:paraId="77932867">
      <w:pPr>
        <w:autoSpaceDN w:val="0"/>
        <w:adjustRightInd w:val="0"/>
        <w:spacing w:line="240" w:lineRule="auto"/>
        <w:ind w:firstLine="652" w:firstLineChars="200"/>
        <w:rPr>
          <w:rFonts w:eastAsia="方正仿宋_GBK"/>
          <w:spacing w:val="0"/>
          <w:szCs w:val="32"/>
        </w:rPr>
      </w:pPr>
      <w:r>
        <w:rPr>
          <w:rFonts w:hint="eastAsia" w:eastAsia="方正仿宋_GBK"/>
          <w:spacing w:val="0"/>
          <w:szCs w:val="32"/>
        </w:rPr>
        <w:t>2024年度财政全年预算资金2.63亿元，我委以“强基础、保安全、惠民生、促转型”为主线，统筹推进交通领域项目实施，资金使用效益显著提升，重点任务全面落地，截至目前，实际支出金额为2.01亿元，预算执行率为</w:t>
      </w:r>
      <w:r>
        <w:rPr>
          <w:rFonts w:eastAsia="方正仿宋_GBK"/>
          <w:spacing w:val="0"/>
          <w:szCs w:val="32"/>
        </w:rPr>
        <w:t>76.4%</w:t>
      </w:r>
      <w:r>
        <w:rPr>
          <w:rFonts w:hint="eastAsia" w:eastAsia="方正仿宋_GBK"/>
          <w:spacing w:val="0"/>
          <w:szCs w:val="32"/>
        </w:rPr>
        <w:t>。其中重大交通项目支出1.02亿元，执行率79.7%，支撑渝万高铁完成隧道贯通6座、桥梁桩基100%，年度投资16亿元目标全额完成；农村公路领域支出0.61亿元，执行率77.8%，建成“四好农村路”100公里，覆盖25个行政村，惠及5.2万群众，同步完成安保护栏300公里、水毁边坡治理21处；运输服务与安全支出0.33亿元，执行率77.8%，抢通断道29处，清理塌方21万方，保障汛期路网畅通；绿色与数字化转型支出0.05亿元，执行率35.7%，因智慧交通系统技术方案调整，部分资金结转下年使用。另外部分项目执行率偏低，一是南天湖景区公路改建工程因林地占用许可审批延迟，施工滞后3个月；二是公共交通人脸识别支付系统建设因技术标准升级导致招标流程重启。</w:t>
      </w:r>
    </w:p>
    <w:p w14:paraId="5A27C7FD">
      <w:pPr>
        <w:autoSpaceDN w:val="0"/>
        <w:adjustRightInd w:val="0"/>
        <w:spacing w:line="240" w:lineRule="auto"/>
        <w:ind w:firstLine="628" w:firstLineChars="200"/>
        <w:rPr>
          <w:rFonts w:hint="eastAsia" w:ascii="方正楷体_GBK" w:hAnsi="楷体_GB2312" w:eastAsia="方正楷体_GBK" w:cs="楷体_GB2312"/>
          <w:szCs w:val="32"/>
        </w:rPr>
      </w:pPr>
      <w:r>
        <w:rPr>
          <w:rFonts w:hint="eastAsia" w:ascii="方正楷体_GBK" w:hAnsi="楷体_GB2312" w:eastAsia="方正楷体_GBK" w:cs="楷体_GB2312"/>
          <w:szCs w:val="32"/>
        </w:rPr>
        <w:t>（二）资金管理情况分析</w:t>
      </w:r>
    </w:p>
    <w:p w14:paraId="2EA58CEA">
      <w:pPr>
        <w:autoSpaceDN w:val="0"/>
        <w:adjustRightInd w:val="0"/>
        <w:spacing w:line="240" w:lineRule="auto"/>
        <w:ind w:firstLine="652" w:firstLineChars="200"/>
        <w:rPr>
          <w:rFonts w:eastAsia="方正仿宋_GBK"/>
          <w:spacing w:val="0"/>
          <w:szCs w:val="32"/>
        </w:rPr>
      </w:pPr>
      <w:r>
        <w:rPr>
          <w:rFonts w:hint="eastAsia" w:eastAsia="方正仿宋_GBK"/>
          <w:spacing w:val="0"/>
          <w:szCs w:val="32"/>
        </w:rPr>
        <w:t>2024年我委财政资金管理机制规范有序，风险防控全面强化。修订《丰都县政府投资管理办法》，严控设计变更，全年办结可研批复268个、备案项目617个，实现行政审批“零超期”；推行财政电子化审批，平均耗时压缩至5个工作日，效率提升40%；建立“支付进度预警”机制，对滞后项目下发督办函12份；开展“双随机”检查4次，覆盖46个项目单位，发现并整改资金使用不规范问题35项，确保专款专用。</w:t>
      </w:r>
    </w:p>
    <w:p w14:paraId="530A5DB5">
      <w:pPr>
        <w:autoSpaceDN w:val="0"/>
        <w:adjustRightInd w:val="0"/>
        <w:spacing w:line="240" w:lineRule="auto"/>
        <w:ind w:firstLine="628" w:firstLineChars="200"/>
        <w:rPr>
          <w:rFonts w:hint="eastAsia" w:ascii="方正楷体_GBK" w:hAnsi="楷体_GB2312" w:eastAsia="方正楷体_GBK" w:cs="楷体_GB2312"/>
          <w:szCs w:val="32"/>
        </w:rPr>
      </w:pPr>
      <w:r>
        <w:rPr>
          <w:rFonts w:hint="eastAsia" w:ascii="方正楷体_GBK" w:hAnsi="楷体_GB2312" w:eastAsia="方正楷体_GBK" w:cs="楷体_GB2312"/>
          <w:szCs w:val="32"/>
        </w:rPr>
        <w:t>（三）总体绩效目标完成情况分析</w:t>
      </w:r>
    </w:p>
    <w:p w14:paraId="1D26A0B5">
      <w:pPr>
        <w:autoSpaceDN w:val="0"/>
        <w:adjustRightInd w:val="0"/>
        <w:spacing w:line="240" w:lineRule="auto"/>
        <w:ind w:firstLine="652" w:firstLineChars="200"/>
        <w:rPr>
          <w:rFonts w:eastAsia="方正仿宋_GBK"/>
          <w:spacing w:val="0"/>
          <w:szCs w:val="32"/>
        </w:rPr>
      </w:pPr>
      <w:r>
        <w:rPr>
          <w:rFonts w:hint="eastAsia" w:eastAsia="方正仿宋_GBK"/>
          <w:spacing w:val="0"/>
          <w:szCs w:val="32"/>
        </w:rPr>
        <w:t>2024年度我委统筹实施的交通基础设施、公共服务、安全应急等领域项目全面完成既定绩效目标。其中，渝万高铁隧道贯通率85.7%，垫丰武高速先行用地获批，南天湖高速进入特许经营招标阶段，骨干路网“动脉”全面激活；新建“四好农村路”100公里，解决12个偏远村“出行难”问题；开通就医、上学定制公交线路6条，免费接送师生2.3万人次，群众满意度达95%；安全生产实现“零事故”，整改隐患1660项，抢通水毁路段29处，突发事件平均响应时效压缩至36小时；拆解高污染老旧船舶55艘（超目标10%），检测治理尾气不达标车辆254辆，垃圾焚烧发电项目年处理垃圾10万吨，减碳1.5万吨。</w:t>
      </w:r>
    </w:p>
    <w:p w14:paraId="06035992">
      <w:pPr>
        <w:autoSpaceDN w:val="0"/>
        <w:adjustRightInd w:val="0"/>
        <w:spacing w:line="240" w:lineRule="auto"/>
        <w:ind w:firstLine="628" w:firstLineChars="200"/>
        <w:rPr>
          <w:rFonts w:hint="eastAsia" w:ascii="方正楷体_GBK" w:hAnsi="楷体_GB2312" w:eastAsia="方正楷体_GBK" w:cs="楷体_GB2312"/>
          <w:szCs w:val="32"/>
        </w:rPr>
      </w:pPr>
      <w:r>
        <w:rPr>
          <w:rFonts w:hint="eastAsia" w:ascii="方正楷体_GBK" w:hAnsi="楷体_GB2312" w:eastAsia="方正楷体_GBK" w:cs="楷体_GB2312"/>
          <w:szCs w:val="32"/>
        </w:rPr>
        <w:t>（四）绩效指标完成情况分析</w:t>
      </w:r>
    </w:p>
    <w:p w14:paraId="34ABE16B">
      <w:pPr>
        <w:autoSpaceDN w:val="0"/>
        <w:adjustRightInd w:val="0"/>
        <w:spacing w:line="240" w:lineRule="auto"/>
        <w:ind w:firstLine="652" w:firstLineChars="200"/>
        <w:rPr>
          <w:rFonts w:eastAsia="方正仿宋_GBK"/>
          <w:spacing w:val="0"/>
          <w:szCs w:val="32"/>
        </w:rPr>
      </w:pPr>
      <w:r>
        <w:rPr>
          <w:rFonts w:hint="eastAsia" w:eastAsia="方正仿宋_GBK"/>
          <w:spacing w:val="0"/>
          <w:szCs w:val="32"/>
        </w:rPr>
        <w:t>一是重大工程投资全额落地，全年完成渝万高铁、垫丰武高速等骨干项目投资16亿元，目标完成率100%，其中渝万高铁隧道贯通6座、桥梁桩基100%，垫丰武高速临时用地选址1548亩，TJ04标、TJ08标开工建设，推动县域路网“主动脉”全面升级，预计带动沿线物流、旅游产业年增收超2亿元。二是农村公路建设惠及民生，新建“四好农村路”100公里，增设安保护栏300公里，覆盖25个行政村，惠及群众5.2万人，实现“出门硬化路、抬脚上客车”愿景，偏远地区农特产品运输成本降低30%，助力乡村振兴衔接资金划拨比例达83.5%。三是应急抢险高效保畅，抢通水毁断道29处，平均响应时效压缩至36小时，清理塌方21万方，投入资金2000万元，保障汛期路网畅通率100%，群众出行安全感提升至93.6%，获市县领导肯定性批示3次。四是绿色交通转型提速，拆解高污染老旧船舶55艘（超目标10%），检测治理尾气不达标车辆254辆，垃圾焚烧发电项目年处理垃圾10万吨、减碳1.5万吨，生态效益与经济效益“双赢”格局初步形成，为全市绿色交通提供“丰都样板”。</w:t>
      </w:r>
    </w:p>
    <w:p w14:paraId="40F392F9">
      <w:pPr>
        <w:snapToGrid w:val="0"/>
        <w:spacing w:line="580" w:lineRule="exact"/>
        <w:ind w:firstLine="628" w:firstLineChars="200"/>
        <w:rPr>
          <w:rFonts w:hint="eastAsia" w:ascii="方正黑体_GBK" w:hAnsi="黑体" w:eastAsia="方正黑体_GBK" w:cs="黑体"/>
          <w:bCs/>
          <w:szCs w:val="32"/>
        </w:rPr>
      </w:pPr>
      <w:r>
        <w:rPr>
          <w:rFonts w:hint="eastAsia" w:ascii="方正黑体_GBK" w:hAnsi="黑体" w:eastAsia="方正黑体_GBK" w:cs="黑体"/>
          <w:bCs/>
          <w:szCs w:val="32"/>
        </w:rPr>
        <w:t>三、偏离绩效目标的原因和下一步改进措施</w:t>
      </w:r>
    </w:p>
    <w:p w14:paraId="475E0AEE">
      <w:pPr>
        <w:autoSpaceDN w:val="0"/>
        <w:adjustRightInd w:val="0"/>
        <w:spacing w:line="240" w:lineRule="auto"/>
        <w:ind w:firstLine="652" w:firstLineChars="200"/>
        <w:rPr>
          <w:rFonts w:eastAsia="方正仿宋_GBK"/>
          <w:spacing w:val="0"/>
          <w:szCs w:val="32"/>
        </w:rPr>
      </w:pPr>
      <w:r>
        <w:rPr>
          <w:rFonts w:hint="eastAsia" w:eastAsia="方正仿宋_GBK"/>
          <w:spacing w:val="0"/>
          <w:szCs w:val="32"/>
        </w:rPr>
        <w:t>2024年度预算执行率未达预期，主要受以下因素影响：一是项目前期审批流程复杂制约进度，“南天湖景区公路改建”项目因林地占用许可需多部门联合审批，流程耗时长达3个月，导致施工滞后；部分智慧交通系统建设因技术标准升级频繁调整，招标流程重启，影响资金支付进度；二是资金支付与项目执行衔接不畅，“公共交通人脸识别支付系统”因实施单位对验收材料规范性要求理解不足，材料反复修改，支付延迟4个月；“丰彭路渣场复垦工程”因施工许可审批未完成，导致资金暂未拨付。</w:t>
      </w:r>
    </w:p>
    <w:p w14:paraId="3C6849EE">
      <w:pPr>
        <w:autoSpaceDN w:val="0"/>
        <w:adjustRightInd w:val="0"/>
        <w:spacing w:line="240" w:lineRule="auto"/>
        <w:ind w:firstLine="652" w:firstLineChars="200"/>
        <w:rPr>
          <w:rFonts w:eastAsia="方正仿宋_GBK"/>
          <w:spacing w:val="0"/>
          <w:szCs w:val="32"/>
        </w:rPr>
      </w:pPr>
      <w:r>
        <w:rPr>
          <w:rFonts w:hint="eastAsia" w:eastAsia="方正仿宋_GBK"/>
          <w:spacing w:val="0"/>
          <w:szCs w:val="32"/>
        </w:rPr>
        <w:t>针对上述问题，拟采取以下改进措施：一是建立重大项目“一站式”审批专班，整合林业、环保、自然资源等部门资源，推行“容缺受理加并联审批”模式，力争2025年林地占用审批周期压缩30%（目标60日内完成）；二是制定《财政支付节点操作指南》，明确验收材料提交时限（完工后10个工作日内），逾期纳入单位年度绩效考核扣分项，2025年1月起实施。</w:t>
      </w:r>
    </w:p>
    <w:p w14:paraId="07E907E1">
      <w:pPr>
        <w:snapToGrid w:val="0"/>
        <w:spacing w:line="580" w:lineRule="exact"/>
        <w:ind w:firstLine="628" w:firstLineChars="200"/>
        <w:rPr>
          <w:rFonts w:hint="eastAsia" w:ascii="方正黑体_GBK" w:hAnsi="黑体" w:eastAsia="方正黑体_GBK" w:cs="黑体"/>
          <w:bCs/>
          <w:szCs w:val="32"/>
        </w:rPr>
      </w:pPr>
      <w:r>
        <w:rPr>
          <w:rFonts w:hint="eastAsia" w:ascii="方正黑体_GBK" w:hAnsi="黑体" w:eastAsia="方正黑体_GBK" w:cs="黑体"/>
          <w:bCs/>
          <w:szCs w:val="32"/>
        </w:rPr>
        <w:t>四、绩效自评结果拟应用和公开情况</w:t>
      </w:r>
    </w:p>
    <w:p w14:paraId="6DB4F5B8">
      <w:pPr>
        <w:autoSpaceDN w:val="0"/>
        <w:adjustRightInd w:val="0"/>
        <w:spacing w:line="240" w:lineRule="auto"/>
        <w:ind w:firstLine="652" w:firstLineChars="200"/>
        <w:rPr>
          <w:rFonts w:eastAsia="方正仿宋_GBK"/>
          <w:spacing w:val="0"/>
          <w:szCs w:val="32"/>
        </w:rPr>
      </w:pPr>
      <w:r>
        <w:rPr>
          <w:rFonts w:hint="eastAsia" w:eastAsia="方正仿宋_GBK"/>
          <w:spacing w:val="0"/>
          <w:szCs w:val="32"/>
        </w:rPr>
        <w:t>我委通过系统实施交通基础设施、公共服务、安全应急等领域项目并开展绩效自评，2024年度绩效目标全面达成且成效显</w:t>
      </w:r>
      <w:r>
        <w:rPr>
          <w:rFonts w:hint="eastAsia" w:eastAsia="方正仿宋_GBK"/>
          <w:spacing w:val="0"/>
          <w:szCs w:val="32"/>
          <w:highlight w:val="none"/>
        </w:rPr>
        <w:t>著。最终，自评得分</w:t>
      </w:r>
      <w:r>
        <w:rPr>
          <w:rFonts w:hint="eastAsia" w:eastAsia="方正仿宋_GBK"/>
          <w:spacing w:val="0"/>
          <w:szCs w:val="32"/>
          <w:highlight w:val="none"/>
          <w:lang w:val="en-US" w:eastAsia="zh-CN"/>
        </w:rPr>
        <w:t>92</w:t>
      </w:r>
      <w:r>
        <w:rPr>
          <w:rFonts w:hint="eastAsia" w:eastAsia="方正仿宋_GBK"/>
          <w:spacing w:val="0"/>
          <w:szCs w:val="32"/>
          <w:highlight w:val="none"/>
        </w:rPr>
        <w:t>分，评价结果为“</w:t>
      </w:r>
      <w:r>
        <w:rPr>
          <w:rFonts w:hint="eastAsia" w:eastAsia="方正仿宋_GBK"/>
          <w:spacing w:val="0"/>
          <w:szCs w:val="32"/>
          <w:highlight w:val="none"/>
          <w:lang w:val="en-US" w:eastAsia="zh-CN"/>
        </w:rPr>
        <w:t>优</w:t>
      </w:r>
      <w:r>
        <w:rPr>
          <w:rFonts w:hint="eastAsia" w:eastAsia="方正仿宋_GBK"/>
          <w:spacing w:val="0"/>
          <w:szCs w:val="32"/>
          <w:highlight w:val="none"/>
        </w:rPr>
        <w:t>”。为强化</w:t>
      </w:r>
      <w:r>
        <w:rPr>
          <w:rFonts w:hint="eastAsia" w:eastAsia="方正仿宋_GBK"/>
          <w:spacing w:val="0"/>
          <w:szCs w:val="32"/>
        </w:rPr>
        <w:t>结果应用，拟采取以下措施：一是以评促改，优化管理机制，全面总结本年度绩效管理经验，针对自评中发现的薄弱环节，修订完善下一年度绩效指标体系和评价标准，细化资金分配</w:t>
      </w:r>
      <w:bookmarkStart w:id="0" w:name="_GoBack"/>
      <w:bookmarkEnd w:id="0"/>
      <w:r>
        <w:rPr>
          <w:rFonts w:hint="eastAsia" w:eastAsia="方正仿宋_GBK"/>
          <w:spacing w:val="0"/>
          <w:szCs w:val="32"/>
        </w:rPr>
        <w:t>、执行监控等管理措施，推动项目管理规范化、精细化，持续提升资金使用效率。二是以评定绩，衔接预算安排。将本次自评结果作为2025年度预算分配的核心依据，优先支持执行高效、效益突出的项目，对未达标单位实行资金限额管理，确保财政资金精准投向民生急需、发展关键领域。三是主动公开，强化社会监督。自评报告全文及评分明细已通过丰都县交通局门户网站、“政务公开栏”等渠道向社会公示，广泛接受公众质询与监督。同时，各项目单位评价结果将纳入年度考核体系，作为下一年度资金分配的重要参考，形成“绩效导向、公开透明”的长效机制。</w:t>
      </w:r>
    </w:p>
    <w:p w14:paraId="35E45201">
      <w:pPr>
        <w:autoSpaceDN w:val="0"/>
        <w:adjustRightInd w:val="0"/>
        <w:spacing w:line="240" w:lineRule="auto"/>
        <w:ind w:firstLine="652" w:firstLineChars="200"/>
        <w:rPr>
          <w:rFonts w:eastAsia="方正仿宋_GBK"/>
          <w:spacing w:val="0"/>
          <w:szCs w:val="32"/>
        </w:rPr>
      </w:pPr>
      <w:r>
        <w:rPr>
          <w:rFonts w:hint="eastAsia" w:eastAsia="方正仿宋_GBK"/>
          <w:spacing w:val="0"/>
          <w:szCs w:val="32"/>
        </w:rPr>
        <w:t>通过“整改加激励加公开”三维驱动，构建“绩效导向、社会参与、动态优化”的长效机制，为丰都交通强县建设注入新动能。</w:t>
      </w:r>
    </w:p>
    <w:p w14:paraId="132AC569">
      <w:pPr>
        <w:snapToGrid w:val="0"/>
        <w:spacing w:line="580" w:lineRule="exact"/>
        <w:ind w:firstLine="628" w:firstLineChars="200"/>
        <w:rPr>
          <w:rFonts w:hint="eastAsia" w:ascii="方正黑体_GBK" w:hAnsi="黑体" w:eastAsia="方正黑体_GBK" w:cs="黑体"/>
          <w:bCs/>
          <w:szCs w:val="32"/>
        </w:rPr>
      </w:pPr>
      <w:r>
        <w:rPr>
          <w:rFonts w:hint="eastAsia" w:ascii="方正黑体_GBK" w:hAnsi="黑体" w:eastAsia="方正黑体_GBK" w:cs="黑体"/>
          <w:bCs/>
          <w:szCs w:val="32"/>
        </w:rPr>
        <w:t>五、其他需要说明的问题</w:t>
      </w:r>
    </w:p>
    <w:p w14:paraId="57945DF8">
      <w:pPr>
        <w:autoSpaceDN w:val="0"/>
        <w:adjustRightInd w:val="0"/>
        <w:spacing w:line="240" w:lineRule="auto"/>
        <w:ind w:firstLine="652" w:firstLineChars="200"/>
        <w:rPr>
          <w:rFonts w:eastAsia="方正仿宋_GBK"/>
          <w:spacing w:val="0"/>
          <w:szCs w:val="32"/>
        </w:rPr>
      </w:pPr>
      <w:r>
        <w:rPr>
          <w:rFonts w:hint="eastAsia" w:eastAsia="方正仿宋_GBK"/>
          <w:spacing w:val="0"/>
          <w:szCs w:val="32"/>
        </w:rPr>
        <w:t>2024年度资金使用合规性通过县级审计核查，未发现截留、挪用问题。“7.11”特大暴雨抢险获市县通报表扬，水天坪码头挂港开航获市级示范项目认定。</w:t>
      </w:r>
    </w:p>
    <w:p w14:paraId="71E5E19C">
      <w:pPr>
        <w:snapToGrid w:val="0"/>
        <w:spacing w:line="580" w:lineRule="exact"/>
        <w:ind w:firstLine="628" w:firstLineChars="200"/>
        <w:rPr>
          <w:rFonts w:hint="eastAsia" w:ascii="方正黑体_GBK" w:hAnsi="黑体" w:eastAsia="方正黑体_GBK" w:cs="黑体"/>
          <w:bCs/>
          <w:szCs w:val="32"/>
        </w:rPr>
      </w:pPr>
      <w:r>
        <w:rPr>
          <w:rFonts w:hint="eastAsia" w:ascii="方正黑体_GBK" w:hAnsi="黑体" w:eastAsia="方正黑体_GBK" w:cs="黑体"/>
          <w:bCs/>
          <w:szCs w:val="32"/>
        </w:rPr>
        <w:t>六、附件</w:t>
      </w:r>
    </w:p>
    <w:p w14:paraId="53832162">
      <w:pPr>
        <w:autoSpaceDN w:val="0"/>
        <w:adjustRightInd w:val="0"/>
        <w:spacing w:line="240" w:lineRule="auto"/>
        <w:ind w:firstLine="652" w:firstLineChars="200"/>
        <w:rPr>
          <w:rFonts w:eastAsia="方正仿宋_GBK"/>
          <w:spacing w:val="0"/>
          <w:szCs w:val="32"/>
        </w:rPr>
      </w:pPr>
      <w:r>
        <w:rPr>
          <w:rFonts w:hint="eastAsia" w:eastAsia="方正仿宋_GBK"/>
          <w:spacing w:val="0"/>
          <w:szCs w:val="32"/>
        </w:rPr>
        <w:t>丰都县交通运输委员会2024年度项目绩效自评表</w:t>
      </w:r>
    </w:p>
    <w:sectPr>
      <w:footerReference r:id="rId5" w:type="default"/>
      <w:footerReference r:id="rId6" w:type="even"/>
      <w:pgSz w:w="11906" w:h="16838"/>
      <w:pgMar w:top="1967" w:right="1474" w:bottom="1899" w:left="1588" w:header="851" w:footer="1049" w:gutter="0"/>
      <w:cols w:space="720" w:num="1"/>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F656ED-ECC6-4E5B-B82B-D6BC19BBBE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2" w:fontKey="{4CBF2F06-E7BD-4F20-86E0-199B26EA3F78}"/>
  </w:font>
  <w:font w:name="方正仿宋_GBK">
    <w:panose1 w:val="03000509000000000000"/>
    <w:charset w:val="86"/>
    <w:family w:val="script"/>
    <w:pitch w:val="default"/>
    <w:sig w:usb0="00000001" w:usb1="080E0000" w:usb2="00000000" w:usb3="00000000" w:csb0="00040000" w:csb1="00000000"/>
    <w:embedRegular r:id="rId3" w:fontKey="{285B8924-6451-46A3-A2DE-B90175BEF589}"/>
  </w:font>
  <w:font w:name="方正小标宋_GBK">
    <w:panose1 w:val="03000509000000000000"/>
    <w:charset w:val="86"/>
    <w:family w:val="script"/>
    <w:pitch w:val="default"/>
    <w:sig w:usb0="00000001" w:usb1="080E0000" w:usb2="00000000" w:usb3="00000000" w:csb0="00040000" w:csb1="00000000"/>
    <w:embedRegular r:id="rId4" w:fontKey="{E7E54A9E-3E0D-4F4B-A311-25298653342B}"/>
  </w:font>
  <w:font w:name="方正小标宋简体">
    <w:altName w:val="仿宋_GB2312"/>
    <w:panose1 w:val="02010601030101010101"/>
    <w:charset w:val="86"/>
    <w:family w:val="auto"/>
    <w:pitch w:val="default"/>
    <w:sig w:usb0="00000000" w:usb1="00000000" w:usb2="00000010" w:usb3="00000000" w:csb0="00040000" w:csb1="00000000"/>
    <w:embedRegular r:id="rId5" w:fontKey="{580F8834-620D-4A23-AC7B-678E8C2388F3}"/>
  </w:font>
  <w:font w:name="方正楷体_GBK">
    <w:panose1 w:val="03000509000000000000"/>
    <w:charset w:val="86"/>
    <w:family w:val="script"/>
    <w:pitch w:val="default"/>
    <w:sig w:usb0="00000001" w:usb1="080E0000" w:usb2="00000000" w:usb3="00000000" w:csb0="00040000" w:csb1="00000000"/>
    <w:embedRegular r:id="rId6" w:fontKey="{24E086C0-C10E-48CE-8E54-0BFC0214D01A}"/>
  </w:font>
  <w:font w:name="楷体_GB2312">
    <w:altName w:val="楷体"/>
    <w:panose1 w:val="00000000000000000000"/>
    <w:charset w:val="86"/>
    <w:family w:val="modern"/>
    <w:pitch w:val="default"/>
    <w:sig w:usb0="00000000" w:usb1="00000000" w:usb2="00000000" w:usb3="00000000" w:csb0="00040000" w:csb1="00000000"/>
    <w:embedRegular r:id="rId7" w:fontKey="{EFA1E7CF-429A-4A7F-9AF2-2301575CBB4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0BD6A">
    <w:pPr>
      <w:pStyle w:val="2"/>
      <w:wordWrap w:val="0"/>
      <w:spacing w:line="471" w:lineRule="auto"/>
      <w:ind w:right="308" w:rightChars="100"/>
      <w:jc w:val="right"/>
      <w:rPr>
        <w:rFonts w:ascii="楷体_GB2312" w:eastAsia="楷体_GB2312"/>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46C6A">
    <w:pPr>
      <w:pStyle w:val="2"/>
      <w:spacing w:line="471" w:lineRule="auto"/>
      <w:ind w:left="308" w:leftChars="100"/>
      <w:jc w:val="left"/>
      <w:rPr>
        <w:rStyle w:val="6"/>
        <w:rFonts w:hint="eastAsia"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8"/>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evenAndOddHeaders w:val="1"/>
  <w:drawingGridHorizontalSpacing w:val="308"/>
  <w:drawingGridVerticalSpacing w:val="295"/>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ocStyle" w:val="2"/>
  </w:docVars>
  <w:rsids>
    <w:rsidRoot w:val="289C3FB6"/>
    <w:rsid w:val="00016B7C"/>
    <w:rsid w:val="00063BE9"/>
    <w:rsid w:val="000D0A16"/>
    <w:rsid w:val="0017159C"/>
    <w:rsid w:val="001919FD"/>
    <w:rsid w:val="001D0089"/>
    <w:rsid w:val="001E43B5"/>
    <w:rsid w:val="001F4258"/>
    <w:rsid w:val="00216F45"/>
    <w:rsid w:val="00291760"/>
    <w:rsid w:val="002B7AFA"/>
    <w:rsid w:val="002C3824"/>
    <w:rsid w:val="002E44EF"/>
    <w:rsid w:val="002F5768"/>
    <w:rsid w:val="00322F99"/>
    <w:rsid w:val="003420F2"/>
    <w:rsid w:val="003D21EB"/>
    <w:rsid w:val="003F19C9"/>
    <w:rsid w:val="00472717"/>
    <w:rsid w:val="004867DB"/>
    <w:rsid w:val="005108B1"/>
    <w:rsid w:val="00524873"/>
    <w:rsid w:val="0053785D"/>
    <w:rsid w:val="005509CA"/>
    <w:rsid w:val="005C2491"/>
    <w:rsid w:val="00622628"/>
    <w:rsid w:val="00653BB2"/>
    <w:rsid w:val="00677A3E"/>
    <w:rsid w:val="006A2D8A"/>
    <w:rsid w:val="006A50FE"/>
    <w:rsid w:val="006A6215"/>
    <w:rsid w:val="006A7902"/>
    <w:rsid w:val="006D2515"/>
    <w:rsid w:val="006D4956"/>
    <w:rsid w:val="00734313"/>
    <w:rsid w:val="00747CF9"/>
    <w:rsid w:val="00754763"/>
    <w:rsid w:val="0076176D"/>
    <w:rsid w:val="00764409"/>
    <w:rsid w:val="0079309C"/>
    <w:rsid w:val="007E7F9E"/>
    <w:rsid w:val="008103DA"/>
    <w:rsid w:val="009F27B2"/>
    <w:rsid w:val="00A17CCF"/>
    <w:rsid w:val="00A5126C"/>
    <w:rsid w:val="00A6017C"/>
    <w:rsid w:val="00A736B0"/>
    <w:rsid w:val="00A91C86"/>
    <w:rsid w:val="00A92629"/>
    <w:rsid w:val="00B04D1F"/>
    <w:rsid w:val="00B71AE0"/>
    <w:rsid w:val="00B908F4"/>
    <w:rsid w:val="00BA0A34"/>
    <w:rsid w:val="00C62196"/>
    <w:rsid w:val="00D15B42"/>
    <w:rsid w:val="00D31859"/>
    <w:rsid w:val="00D361BD"/>
    <w:rsid w:val="00D93C99"/>
    <w:rsid w:val="00DB105A"/>
    <w:rsid w:val="00DF6A0A"/>
    <w:rsid w:val="00E42A50"/>
    <w:rsid w:val="00E506AE"/>
    <w:rsid w:val="00E92299"/>
    <w:rsid w:val="00EF39C9"/>
    <w:rsid w:val="00EF55DE"/>
    <w:rsid w:val="00EF7CCF"/>
    <w:rsid w:val="00F12FB0"/>
    <w:rsid w:val="00F510F3"/>
    <w:rsid w:val="00F577A1"/>
    <w:rsid w:val="00FA6C3D"/>
    <w:rsid w:val="00FF6411"/>
    <w:rsid w:val="00FF7D90"/>
    <w:rsid w:val="029D79D6"/>
    <w:rsid w:val="02E87E56"/>
    <w:rsid w:val="07272139"/>
    <w:rsid w:val="099F3D57"/>
    <w:rsid w:val="0C1609C9"/>
    <w:rsid w:val="0D624402"/>
    <w:rsid w:val="0D857002"/>
    <w:rsid w:val="0EB97441"/>
    <w:rsid w:val="0EED5E99"/>
    <w:rsid w:val="0F051AC8"/>
    <w:rsid w:val="0F22043C"/>
    <w:rsid w:val="14B055E2"/>
    <w:rsid w:val="16B03F83"/>
    <w:rsid w:val="18881694"/>
    <w:rsid w:val="18E83469"/>
    <w:rsid w:val="19C30098"/>
    <w:rsid w:val="1A0D2313"/>
    <w:rsid w:val="1B486B8B"/>
    <w:rsid w:val="1C7A2384"/>
    <w:rsid w:val="1DC37854"/>
    <w:rsid w:val="1EDD13EC"/>
    <w:rsid w:val="1FC15723"/>
    <w:rsid w:val="1FEB4CEF"/>
    <w:rsid w:val="23E11F66"/>
    <w:rsid w:val="289C3FB6"/>
    <w:rsid w:val="2A0321A1"/>
    <w:rsid w:val="2BD56F64"/>
    <w:rsid w:val="2BE110CC"/>
    <w:rsid w:val="2BE55C1B"/>
    <w:rsid w:val="2C26057E"/>
    <w:rsid w:val="2C38122A"/>
    <w:rsid w:val="2C6C74D8"/>
    <w:rsid w:val="2D140142"/>
    <w:rsid w:val="2D607001"/>
    <w:rsid w:val="2FA33D38"/>
    <w:rsid w:val="30096A6D"/>
    <w:rsid w:val="314D2A6F"/>
    <w:rsid w:val="315F0A35"/>
    <w:rsid w:val="32144A36"/>
    <w:rsid w:val="344F0018"/>
    <w:rsid w:val="349A34DB"/>
    <w:rsid w:val="35DD1EFC"/>
    <w:rsid w:val="38694F11"/>
    <w:rsid w:val="3AC60AFD"/>
    <w:rsid w:val="3C851A1E"/>
    <w:rsid w:val="3D7F29FF"/>
    <w:rsid w:val="41371D0B"/>
    <w:rsid w:val="43DE6253"/>
    <w:rsid w:val="45264F7A"/>
    <w:rsid w:val="48633406"/>
    <w:rsid w:val="487D16AC"/>
    <w:rsid w:val="49877032"/>
    <w:rsid w:val="49A10376"/>
    <w:rsid w:val="4FE75B49"/>
    <w:rsid w:val="50CA0599"/>
    <w:rsid w:val="51704512"/>
    <w:rsid w:val="547225CE"/>
    <w:rsid w:val="54963482"/>
    <w:rsid w:val="552F4050"/>
    <w:rsid w:val="59943F04"/>
    <w:rsid w:val="5A6E1669"/>
    <w:rsid w:val="5AB3246B"/>
    <w:rsid w:val="5B526AEB"/>
    <w:rsid w:val="5B952750"/>
    <w:rsid w:val="5C564D8D"/>
    <w:rsid w:val="5CF71A0D"/>
    <w:rsid w:val="5D432A17"/>
    <w:rsid w:val="5FE56E3E"/>
    <w:rsid w:val="61465A39"/>
    <w:rsid w:val="63D53F5A"/>
    <w:rsid w:val="66001F65"/>
    <w:rsid w:val="665541AD"/>
    <w:rsid w:val="665F7EC9"/>
    <w:rsid w:val="66BC5F1C"/>
    <w:rsid w:val="6AC47830"/>
    <w:rsid w:val="6B9B04D7"/>
    <w:rsid w:val="6C407CF5"/>
    <w:rsid w:val="6C5B2117"/>
    <w:rsid w:val="6C8F50EF"/>
    <w:rsid w:val="6E815F40"/>
    <w:rsid w:val="6EB4152F"/>
    <w:rsid w:val="6EF515FF"/>
    <w:rsid w:val="6F2C4671"/>
    <w:rsid w:val="718E63D9"/>
    <w:rsid w:val="724D5513"/>
    <w:rsid w:val="73316433"/>
    <w:rsid w:val="740E7C9B"/>
    <w:rsid w:val="74587BB9"/>
    <w:rsid w:val="74D54E15"/>
    <w:rsid w:val="76BA05D5"/>
    <w:rsid w:val="78DB47AF"/>
    <w:rsid w:val="7D707D59"/>
    <w:rsid w:val="7DC166B5"/>
    <w:rsid w:val="CB2BB490"/>
    <w:rsid w:val="FBFEB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character" w:styleId="6">
    <w:name w:val="page number"/>
    <w:basedOn w:val="5"/>
    <w:qFormat/>
    <w:uiPriority w:val="0"/>
  </w:style>
  <w:style w:type="character" w:styleId="7">
    <w:name w:val="line number"/>
    <w:basedOn w:val="5"/>
    <w:qFormat/>
    <w:uiPriority w:val="0"/>
  </w:style>
  <w:style w:type="paragraph" w:customStyle="1" w:styleId="8">
    <w:name w:val="居中"/>
    <w:basedOn w:val="1"/>
    <w:qFormat/>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Kingsoft\WPS%20Office\11.8.2.9067\office6\mui\zh_CN\templates\wps\standard%20official%20document\bulletin%20issued%20a%20sealed%20single%20chapter%20(downstream).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bulletin issued a sealed single chapter (downstream).wpt</Template>
  <Pages>6</Pages>
  <Words>2808</Words>
  <Characters>3035</Characters>
  <Lines>21</Lines>
  <Paragraphs>6</Paragraphs>
  <TotalTime>522</TotalTime>
  <ScaleCrop>false</ScaleCrop>
  <LinksUpToDate>false</LinksUpToDate>
  <CharactersWithSpaces>3035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2022-06-08T02:59:00Z</dcterms:created>
  <dc:creator>UMP</dc:creator>
  <cp:lastModifiedBy>胖胖冰</cp:lastModifiedBy>
  <cp:lastPrinted>2025-04-29T06:20:00Z</cp:lastPrinted>
  <dcterms:modified xsi:type="dcterms:W3CDTF">2025-05-06T07:23:01Z</dcterms:modified>
  <dc:title>No:0000001</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公文模板版本">
    <vt:lpwstr>20190329</vt:lpwstr>
  </property>
  <property fmtid="{D5CDD505-2E9C-101B-9397-08002B2CF9AE}" pid="4" name="KSOTemplateDocerSaveRecord">
    <vt:lpwstr>eyJoZGlkIjoiOGE2NDFlOGI1NjAyNmQxMGUxYjdiYjZiOGM4OWMyZDciLCJ1c2VySWQiOiIxMTIzNjE1NzI2In0=</vt:lpwstr>
  </property>
  <property fmtid="{D5CDD505-2E9C-101B-9397-08002B2CF9AE}" pid="5" name="ICV">
    <vt:lpwstr>3689A1AA761148038AD44FBD98651122_12</vt:lpwstr>
  </property>
</Properties>
</file>