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exact"/>
        </w:trPr>
        <w:tc>
          <w:tcPr>
            <w:tcW w:w="8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/>
                <w:b/>
                <w:sz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43" w:type="dxa"/>
            <w:vAlign w:val="center"/>
          </w:tcPr>
          <w:p>
            <w:pPr>
              <w:spacing w:line="59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  <w:p>
            <w:pPr>
              <w:spacing w:line="59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sz w:val="44"/>
                <w:szCs w:val="44"/>
              </w:rPr>
              <w:t>丰都县交通工程质量服务中心</w:t>
            </w:r>
          </w:p>
          <w:p>
            <w:pPr>
              <w:spacing w:line="59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sz w:val="44"/>
                <w:szCs w:val="44"/>
              </w:rPr>
              <w:t>2024年度项目绩效目标自评报告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exact"/>
        </w:trPr>
        <w:tc>
          <w:tcPr>
            <w:tcW w:w="884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/>
                <w:b/>
              </w:rPr>
            </w:pPr>
          </w:p>
        </w:tc>
      </w:tr>
    </w:tbl>
    <w:p>
      <w:pPr>
        <w:snapToGrid w:val="0"/>
        <w:spacing w:line="580" w:lineRule="exact"/>
        <w:ind w:firstLine="628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一、绩效目标分解下达情况</w:t>
      </w:r>
    </w:p>
    <w:p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根据上级部门及县交通运输委统筹部署，2024年度下达财政资金预算总额为138.32万元，重点支持公路养护工程管理、交通工程质量监督、安全治理攻坚、乡村振兴帮扶等核心领域，共分解细化完成6个项目。按照“精准投向、高效执行”为导向，以“保安全、促发展、惠民生”为导向，明确各项目绩效目标：一是实现新开工公路水运项目的质量监督全覆盖，确保工程质量合格率；二是开展安全隐患排查，覆盖全县在建工程，整改率不低于95%；三是推动安全生产治本攻坚三年行动，落实“人防、技防、管理防”措施，消除重大隐患；四是监督农村公路建设，助力乡村振兴，落实结对帮扶政策，杜绝返贫风险。所有项目均通过县财政专题会议审议，确保预算执行与“质量强国”“交通强国”战略要求深度契合，为提升县域交通工程品质、护航群众出行安全提供坚实保障。</w:t>
      </w:r>
    </w:p>
    <w:p>
      <w:pPr>
        <w:snapToGrid w:val="0"/>
        <w:spacing w:line="580" w:lineRule="exact"/>
        <w:ind w:firstLine="628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二、绩效情况分析</w:t>
      </w:r>
    </w:p>
    <w:p>
      <w:pPr>
        <w:autoSpaceDN w:val="0"/>
        <w:adjustRightInd w:val="0"/>
        <w:spacing w:line="240" w:lineRule="auto"/>
        <w:ind w:firstLine="628" w:firstLineChars="200"/>
        <w:rPr>
          <w:rFonts w:hint="eastAsia" w:ascii="方正楷体_GBK" w:hAnsi="楷体_GB2312" w:eastAsia="方正楷体_GBK" w:cs="楷体_GB2312"/>
          <w:szCs w:val="32"/>
        </w:rPr>
      </w:pPr>
      <w:r>
        <w:rPr>
          <w:rFonts w:hint="eastAsia" w:ascii="方正楷体_GBK" w:hAnsi="楷体_GB2312" w:eastAsia="方正楷体_GBK" w:cs="楷体_GB2312"/>
          <w:szCs w:val="32"/>
        </w:rPr>
        <w:t>（一）资金投入情况分析</w:t>
      </w:r>
    </w:p>
    <w:p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2024年度财政下达我中心项目资金预算总额为138.32万元，涵盖</w:t>
      </w:r>
      <w:bookmarkStart w:id="0" w:name="_Hlk196834708"/>
      <w:r>
        <w:rPr>
          <w:rFonts w:hint="eastAsia" w:eastAsia="方正仿宋_GBK"/>
          <w:spacing w:val="0"/>
          <w:szCs w:val="32"/>
        </w:rPr>
        <w:t>公路养护工程管理、交通工程专项检查、安全监督</w:t>
      </w:r>
      <w:bookmarkEnd w:id="0"/>
      <w:r>
        <w:rPr>
          <w:rFonts w:hint="eastAsia" w:eastAsia="方正仿宋_GBK"/>
          <w:spacing w:val="0"/>
          <w:szCs w:val="32"/>
        </w:rPr>
        <w:t>、乡村振兴帮扶等6个项目。截至年末，实际支付金额138.32万元，预算执行率100%，资金使用精准高效，全面覆盖质量监督、安全治理及民生保障领域。其中，公路养护工程管理经费30万元全额投入28个新开工项目质量监督服务，实现监督覆盖率100%；交通工程专项检查费83.51万元支持212次安全隐患排查行动，覆盖全县55个在建项目；安全管理经费16万元重点用于安全生产治本攻坚三年行动，整改重大隐患20起；所有项目资金均严格遵循“专款专用”原则，未出现截留、挪用等违规行为，体现资金使用规范性与目标达成高度契合。</w:t>
      </w:r>
    </w:p>
    <w:p>
      <w:pPr>
        <w:autoSpaceDN w:val="0"/>
        <w:adjustRightInd w:val="0"/>
        <w:spacing w:line="240" w:lineRule="auto"/>
        <w:ind w:firstLine="628" w:firstLineChars="200"/>
        <w:rPr>
          <w:rFonts w:hint="eastAsia" w:ascii="方正楷体_GBK" w:hAnsi="楷体_GB2312" w:eastAsia="方正楷体_GBK" w:cs="楷体_GB2312"/>
          <w:szCs w:val="32"/>
        </w:rPr>
      </w:pPr>
      <w:r>
        <w:rPr>
          <w:rFonts w:hint="eastAsia" w:ascii="方正楷体_GBK" w:hAnsi="楷体_GB2312" w:eastAsia="方正楷体_GBK" w:cs="楷体_GB2312"/>
          <w:szCs w:val="32"/>
        </w:rPr>
        <w:t>（二）资金管理情况分析</w:t>
      </w:r>
    </w:p>
    <w:p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2024年我中心严格遵循“专款专用、动态监控”原则，资金管理整体规范有序，拨付流程严格符合国库集中支付制度，未发生截留、挪用等违规行为。所有项目资金均按计划全额执行，其中公路养护工程管理经费、交通工程专项检查费、安全管理经费等核心项目执行率达100%，资金使用精准覆盖质量监督、安全治理及民生保障领域。但需关注的是，跨年度项目资金统筹机制仍需优化，2023年结转的专项检查费虽已支付，但与本年度任务衔接不足，影响资金使用效率；此外，偏远地区项目监督因技术设备不足，部分隐患整改时效性受限。</w:t>
      </w:r>
    </w:p>
    <w:p>
      <w:pPr>
        <w:autoSpaceDN w:val="0"/>
        <w:adjustRightInd w:val="0"/>
        <w:spacing w:line="240" w:lineRule="auto"/>
        <w:ind w:firstLine="628" w:firstLineChars="200"/>
        <w:rPr>
          <w:rFonts w:hint="eastAsia" w:ascii="方正楷体_GBK" w:hAnsi="楷体_GB2312" w:eastAsia="方正楷体_GBK" w:cs="楷体_GB2312"/>
          <w:szCs w:val="32"/>
        </w:rPr>
      </w:pPr>
      <w:r>
        <w:rPr>
          <w:rFonts w:hint="eastAsia" w:ascii="方正楷体_GBK" w:hAnsi="楷体_GB2312" w:eastAsia="方正楷体_GBK" w:cs="楷体_GB2312"/>
          <w:szCs w:val="32"/>
        </w:rPr>
        <w:t>（三）总体绩效目标完成情况分析</w:t>
      </w:r>
    </w:p>
    <w:p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2024年度我中心紧扣“质量强基、安全固本、生态优先”主线，总体绩效目标完成率达98%，高质量推动县域交通工程建设提质增效。质量监督领域，全面覆盖28个新开工公路水运项目质量监督服务，完成交竣工检测项目55个，出具质量鉴定报告45份，工程质量合格率100%，实现“优质耐久、社会认可”目标；通过“质量月”专项行动，累计开展工地检查10次，排查隐患20起，下发整改通知书2份，确保质量安全全程可控。安全治理方面，以安全生产治本攻坚三年行动为抓手，开展安全隐患排查212次，覆盖55个在建项目，整改隐患56起，整改率96.5%，推动“人防、技防、管理防”措施全面落地，全年未发生重大安全事故。乡村振兴领域，监督农村公路建设130.71公里，完成防护栏工程9个、危桥加固6座，助力乡村路网升级；落实结对帮扶政策，提供就业信息200余条，杜绝返贫风险，为乡村振兴注入交通动能。队伍保障方面，编外人员工资3.6万元全额支付，稳定技术队伍12人，开展专业技术培训15次，队伍能力显著提升，支撑监督服务高效开展。</w:t>
      </w:r>
    </w:p>
    <w:p>
      <w:pPr>
        <w:autoSpaceDN w:val="0"/>
        <w:adjustRightInd w:val="0"/>
        <w:spacing w:line="240" w:lineRule="auto"/>
        <w:ind w:firstLine="628" w:firstLineChars="200"/>
        <w:rPr>
          <w:rFonts w:hint="eastAsia" w:ascii="方正楷体_GBK" w:hAnsi="楷体_GB2312" w:eastAsia="方正楷体_GBK" w:cs="楷体_GB2312"/>
          <w:szCs w:val="32"/>
        </w:rPr>
      </w:pPr>
      <w:r>
        <w:rPr>
          <w:rFonts w:hint="eastAsia" w:ascii="方正楷体_GBK" w:hAnsi="楷体_GB2312" w:eastAsia="方正楷体_GBK" w:cs="楷体_GB2312"/>
          <w:szCs w:val="32"/>
        </w:rPr>
        <w:t>（四）绩效指标完成情况分析</w:t>
      </w:r>
    </w:p>
    <w:p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一是在质量监督方面，目标覆盖28个新开工项目，实际完成质量监督手续办理28项，交竣工检测项目55个，出具质量鉴定报告45份，工程质量合格率100%，超额实现“优质耐久、社会认可”目标；通过“质量月”专项行动，累计检查工地10次，发放资料50余份，排查整改隐患20处，推动质量安全意识深入人心；二是安全治理领域，目标安全隐患整改率≥95%，实际完成整改56起，整改率达96.5%，其中重大隐患整改率100%，全年未发生重大安全事故，尤其通过212次专项检查覆盖全县55个在建项目，联合施工单位落实“人防、技防”措施，有效遏制施工风险；三是农村公路监督目标里程130公里，实际完成130.71公里，完成率100.5%，同步实施防护栏工程9个、危桥加固6座，消除隐患路段28处，为乡村振兴提供坚实路网保障；四是生态环保指标全面落实，施工扬尘控制、废水处理等环保措施执行率达100%，推动绿色公路建设降低能耗30%，实现工程建设与生态保护协同并进；五是编外人员工资保障目标100%达成，3.6万元资金全额支付，稳定技术队伍12人，开展专项培训15次，队伍专业化水平显著提升，支撑监督服务高效开展。</w:t>
      </w:r>
    </w:p>
    <w:p>
      <w:pPr>
        <w:snapToGrid w:val="0"/>
        <w:spacing w:line="580" w:lineRule="exact"/>
        <w:ind w:firstLine="628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三、偏离绩效目标的原因和下一步改进措施</w:t>
      </w:r>
    </w:p>
    <w:p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2024年度我中心在推进绩效目标过程中，因部分环节执行受阻，导致少数指标未完全达成预期。其中，重庆港丰都港区汶溪综合码头工程2#泊位因施工单位停工，整改流程中断，2项安全隐患未能按期完成整改，整改率略低于目标值，暴露出项目管理中复工协调机制不足的问题；偏远地区项目因技术设备短缺，监督频次与整改时效性受限，影响质量安全监管效能；此外，跨年度项目资金虽全额执行，但与本年度任务衔接不够紧密，导致部分资源未充分转化为实际成效。</w:t>
      </w:r>
    </w:p>
    <w:p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针对上述问题，中心将采取系统性改进措施：一是建立“隐患整改闭环管理”机制，联合施工单位、行业主管部门成立复工督导专班，制定专项复工计划，明确责任主体与时间节点；二是强化技术赋能，申请专项资金50万元配备移动检测设备及无人机巡检系统，提升偏远地区监督覆盖能力，实现“实时监测、即时整改”；三是优化资金统筹机制，制定跨年度项目清理计划，按季度分解支付目标，确保资金使用与任务进度精准匹配。通过多措并举，力争2025年绩效目标全面均衡达成，为县域交通工程高质量发展筑牢质量与安全双防线。</w:t>
      </w:r>
    </w:p>
    <w:p>
      <w:pPr>
        <w:snapToGrid w:val="0"/>
        <w:spacing w:line="580" w:lineRule="exact"/>
        <w:ind w:firstLine="628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四、绩效自评结果拟应用和公开情况</w:t>
      </w:r>
    </w:p>
    <w:p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我中心通过系统实施公路养护工程管理、交通工程专项检查、安全监督等项目并开展绩效自评，2024年度绩效目标全面达成且成效显著。最终，自评得分95分，评价结果为“优”。自评结果将作为优化资源配置、提升监督效能的核心依据，全面贯彻“以评促改、以评提质”导向。具体应用与公开措施如下：一是强化预算衔接，将执行高效、成效显著的质量监督、安全治理、乡村振兴等项目列为2025年度优先支持方向，对偏远地区监督能力提升申请专项资金50万元，确保资金精准投向民生保障与质量强基领域；二是深化公开透明机制，自评报告全文及评分细则拟通过丰都县人民政府门户网站“政务公开”专栏、“渝快办”平台向社会全文公示，同步在县交通运输委年度工作会议上专题通报，邀请人大代表、政协委员及行业专家参与评议，主动接受社会监督，提升财政资金使用公信力；三是压实内部责任，通过中心公示栏张贴、科室例会传达、年度考核挂钩等方式，将自评结果纳入部门及个人绩效考核体系，明确整改任务责任清单与时限，倒逼管理效能提升。通过多维度的应用与公开机制，着力构建“绩效引领、动态优化、阳光运行”的长效管理模式，为打造“优质耐久、安全舒适”的交通工程提供持续动力，助力县域交通事业高质量发展。</w:t>
      </w:r>
    </w:p>
    <w:p>
      <w:pPr>
        <w:snapToGrid w:val="0"/>
        <w:spacing w:line="580" w:lineRule="exact"/>
        <w:ind w:firstLine="628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五、其他需要说明的问题</w:t>
      </w:r>
    </w:p>
    <w:p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中央巡视、各级审计及财会监督中未发现违规问题，资金使用合规合法。</w:t>
      </w:r>
    </w:p>
    <w:p>
      <w:pPr>
        <w:snapToGrid w:val="0"/>
        <w:spacing w:line="580" w:lineRule="exact"/>
        <w:ind w:firstLine="628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六、附件</w:t>
      </w:r>
    </w:p>
    <w:p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丰都县</w:t>
      </w:r>
      <w:r>
        <w:rPr>
          <w:rFonts w:hint="eastAsia" w:eastAsia="方正仿宋_GBK"/>
          <w:spacing w:val="0"/>
          <w:szCs w:val="32"/>
          <w:lang w:eastAsia="zh-CN"/>
        </w:rPr>
        <w:t>交通工程质量服务中心</w:t>
      </w:r>
      <w:r>
        <w:rPr>
          <w:rFonts w:hint="eastAsia" w:eastAsia="方正仿宋_GBK"/>
          <w:spacing w:val="0"/>
          <w:szCs w:val="32"/>
        </w:rPr>
        <w:t>2024年</w:t>
      </w:r>
      <w:bookmarkStart w:id="1" w:name="_GoBack"/>
      <w:bookmarkEnd w:id="1"/>
      <w:r>
        <w:rPr>
          <w:rFonts w:hint="eastAsia" w:eastAsia="方正仿宋_GBK"/>
          <w:spacing w:val="0"/>
          <w:szCs w:val="32"/>
        </w:rPr>
        <w:t>度项目绩效自评表</w:t>
      </w:r>
    </w:p>
    <w:sectPr>
      <w:footerReference r:id="rId3" w:type="default"/>
      <w:footerReference r:id="rId4" w:type="even"/>
      <w:pgSz w:w="11906" w:h="16838"/>
      <w:pgMar w:top="1967" w:right="1474" w:bottom="1899" w:left="1588" w:header="851" w:footer="1049" w:gutter="0"/>
      <w:cols w:space="0" w:num="1"/>
      <w:rtlGutter w:val="0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F05309-E59B-4C7A-9CBF-74270C73A8C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063535F-7D85-4B04-AC08-6D12B2AB22C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3D91BE3-A191-4F54-A712-ABFF7E99B0E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0EB3B79-F944-4A50-BDFA-A5D66CB7155F}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5" w:fontKey="{AF8188C8-3EDC-4373-8076-D34E1480C309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E9B1C697-2EE3-4A33-A730-82990303DD6E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7" w:fontKey="{D951A274-73A1-40E2-8565-A346CF62111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471" w:lineRule="auto"/>
      <w:ind w:right="308" w:rightChars="100"/>
      <w:jc w:val="right"/>
      <w:rPr>
        <w:rFonts w:ascii="楷体_GB2312" w:eastAsia="楷体_GB2312"/>
        <w:sz w:val="28"/>
      </w:rPr>
    </w:pPr>
    <w:r>
      <w:rPr>
        <w:rStyle w:val="6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6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71" w:lineRule="auto"/>
      <w:ind w:left="308" w:leftChars="100"/>
      <w:jc w:val="left"/>
      <w:rPr>
        <w:rStyle w:val="6"/>
        <w:rFonts w:hint="eastAsia" w:ascii="宋体" w:hAnsi="宋体" w:eastAsia="宋体"/>
        <w:sz w:val="28"/>
      </w:rPr>
    </w:pPr>
    <w:r>
      <w:rPr>
        <w:rStyle w:val="6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6"/>
        <w:rFonts w:hint="eastAsia" w:ascii="宋体" w:hAnsi="宋体" w:eastAsia="宋体"/>
        <w:sz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8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evenAndOddHeaders w:val="1"/>
  <w:drawingGridHorizontalSpacing w:val="308"/>
  <w:drawingGridVerticalSpacing w:val="295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DocStyle" w:val="2"/>
  </w:docVars>
  <w:rsids>
    <w:rsidRoot w:val="289C3FB6"/>
    <w:rsid w:val="00016B7C"/>
    <w:rsid w:val="00016EB7"/>
    <w:rsid w:val="00063BE9"/>
    <w:rsid w:val="000D0A16"/>
    <w:rsid w:val="0017159C"/>
    <w:rsid w:val="001919FD"/>
    <w:rsid w:val="001D0089"/>
    <w:rsid w:val="001F4258"/>
    <w:rsid w:val="00216F45"/>
    <w:rsid w:val="00291760"/>
    <w:rsid w:val="002B7AFA"/>
    <w:rsid w:val="002C3824"/>
    <w:rsid w:val="002F5768"/>
    <w:rsid w:val="00322F99"/>
    <w:rsid w:val="003D21EB"/>
    <w:rsid w:val="003F19C9"/>
    <w:rsid w:val="00472717"/>
    <w:rsid w:val="004867DB"/>
    <w:rsid w:val="005108B1"/>
    <w:rsid w:val="00524873"/>
    <w:rsid w:val="0053785D"/>
    <w:rsid w:val="005509CA"/>
    <w:rsid w:val="005A46C4"/>
    <w:rsid w:val="005B7FFD"/>
    <w:rsid w:val="00622628"/>
    <w:rsid w:val="00624BBA"/>
    <w:rsid w:val="00624FD8"/>
    <w:rsid w:val="00632DF9"/>
    <w:rsid w:val="006762F4"/>
    <w:rsid w:val="006A2D8A"/>
    <w:rsid w:val="006A50FE"/>
    <w:rsid w:val="006D2515"/>
    <w:rsid w:val="00734313"/>
    <w:rsid w:val="00754763"/>
    <w:rsid w:val="0076176D"/>
    <w:rsid w:val="00764409"/>
    <w:rsid w:val="00786553"/>
    <w:rsid w:val="0079309C"/>
    <w:rsid w:val="007E7F9E"/>
    <w:rsid w:val="008103DA"/>
    <w:rsid w:val="008108DE"/>
    <w:rsid w:val="00876645"/>
    <w:rsid w:val="008A2F9B"/>
    <w:rsid w:val="00917D10"/>
    <w:rsid w:val="009F27B2"/>
    <w:rsid w:val="00A17CCF"/>
    <w:rsid w:val="00A42124"/>
    <w:rsid w:val="00A46D6D"/>
    <w:rsid w:val="00A5126C"/>
    <w:rsid w:val="00A6017C"/>
    <w:rsid w:val="00A607A8"/>
    <w:rsid w:val="00A66B63"/>
    <w:rsid w:val="00A72E5C"/>
    <w:rsid w:val="00A736B0"/>
    <w:rsid w:val="00A91C86"/>
    <w:rsid w:val="00A92629"/>
    <w:rsid w:val="00B03C8D"/>
    <w:rsid w:val="00B04D1F"/>
    <w:rsid w:val="00B71AE0"/>
    <w:rsid w:val="00B908F4"/>
    <w:rsid w:val="00BA0A34"/>
    <w:rsid w:val="00C62196"/>
    <w:rsid w:val="00D141E2"/>
    <w:rsid w:val="00D15B42"/>
    <w:rsid w:val="00D31859"/>
    <w:rsid w:val="00D361BD"/>
    <w:rsid w:val="00D62391"/>
    <w:rsid w:val="00D93C99"/>
    <w:rsid w:val="00DB105A"/>
    <w:rsid w:val="00DF6A0A"/>
    <w:rsid w:val="00E11F11"/>
    <w:rsid w:val="00E506AE"/>
    <w:rsid w:val="00E92299"/>
    <w:rsid w:val="00EC2E1D"/>
    <w:rsid w:val="00EF39C9"/>
    <w:rsid w:val="00EF55DE"/>
    <w:rsid w:val="00EF7CCF"/>
    <w:rsid w:val="00F12FB0"/>
    <w:rsid w:val="00F22488"/>
    <w:rsid w:val="00F510F3"/>
    <w:rsid w:val="00F577A1"/>
    <w:rsid w:val="00FA6C3D"/>
    <w:rsid w:val="00FF6411"/>
    <w:rsid w:val="029D79D6"/>
    <w:rsid w:val="02E87E56"/>
    <w:rsid w:val="07272139"/>
    <w:rsid w:val="099F3D57"/>
    <w:rsid w:val="0C1609C9"/>
    <w:rsid w:val="0D624402"/>
    <w:rsid w:val="0D857002"/>
    <w:rsid w:val="0EB97441"/>
    <w:rsid w:val="0EED5E99"/>
    <w:rsid w:val="0F051AC8"/>
    <w:rsid w:val="0F22043C"/>
    <w:rsid w:val="14B055E2"/>
    <w:rsid w:val="16B03F83"/>
    <w:rsid w:val="18E83469"/>
    <w:rsid w:val="19C30098"/>
    <w:rsid w:val="1A0D2313"/>
    <w:rsid w:val="1B486B8B"/>
    <w:rsid w:val="1DC37854"/>
    <w:rsid w:val="1EDD13EC"/>
    <w:rsid w:val="1FC15723"/>
    <w:rsid w:val="1FEB4CEF"/>
    <w:rsid w:val="23E11F66"/>
    <w:rsid w:val="289C3FB6"/>
    <w:rsid w:val="2A0321A1"/>
    <w:rsid w:val="2BD56F64"/>
    <w:rsid w:val="2BE110CC"/>
    <w:rsid w:val="2BE55C1B"/>
    <w:rsid w:val="2C26057E"/>
    <w:rsid w:val="2C38122A"/>
    <w:rsid w:val="2C6C74D8"/>
    <w:rsid w:val="2D140142"/>
    <w:rsid w:val="2D607001"/>
    <w:rsid w:val="2FA33D38"/>
    <w:rsid w:val="30096A6D"/>
    <w:rsid w:val="314D2A6F"/>
    <w:rsid w:val="315F0A35"/>
    <w:rsid w:val="32144A36"/>
    <w:rsid w:val="344F0018"/>
    <w:rsid w:val="349A34DB"/>
    <w:rsid w:val="35DD1EFC"/>
    <w:rsid w:val="38694F11"/>
    <w:rsid w:val="3AC60AFD"/>
    <w:rsid w:val="3C851A1E"/>
    <w:rsid w:val="3D7F29FF"/>
    <w:rsid w:val="41371D0B"/>
    <w:rsid w:val="43DE6253"/>
    <w:rsid w:val="45264F7A"/>
    <w:rsid w:val="48633406"/>
    <w:rsid w:val="487D16AC"/>
    <w:rsid w:val="49877032"/>
    <w:rsid w:val="49A10376"/>
    <w:rsid w:val="4FE75B49"/>
    <w:rsid w:val="50CA0599"/>
    <w:rsid w:val="51704512"/>
    <w:rsid w:val="547225CE"/>
    <w:rsid w:val="54963482"/>
    <w:rsid w:val="552F4050"/>
    <w:rsid w:val="59943F04"/>
    <w:rsid w:val="5A6E1669"/>
    <w:rsid w:val="5AB3246B"/>
    <w:rsid w:val="5B526AEB"/>
    <w:rsid w:val="5B952750"/>
    <w:rsid w:val="5BAE0FFD"/>
    <w:rsid w:val="5C564D8D"/>
    <w:rsid w:val="5CF71A0D"/>
    <w:rsid w:val="5D432A17"/>
    <w:rsid w:val="5FE56E3E"/>
    <w:rsid w:val="61465A39"/>
    <w:rsid w:val="63D53F5A"/>
    <w:rsid w:val="66001F65"/>
    <w:rsid w:val="665541AD"/>
    <w:rsid w:val="665F7EC9"/>
    <w:rsid w:val="66BC5F1C"/>
    <w:rsid w:val="6AC47830"/>
    <w:rsid w:val="6B9B04D7"/>
    <w:rsid w:val="6C407CF5"/>
    <w:rsid w:val="6C5B2117"/>
    <w:rsid w:val="6C8F50EF"/>
    <w:rsid w:val="6E815F40"/>
    <w:rsid w:val="6EB4152F"/>
    <w:rsid w:val="6EF515FF"/>
    <w:rsid w:val="6F2C4671"/>
    <w:rsid w:val="70FB3EC7"/>
    <w:rsid w:val="718E63D9"/>
    <w:rsid w:val="724D5513"/>
    <w:rsid w:val="73316433"/>
    <w:rsid w:val="740E7C9B"/>
    <w:rsid w:val="74587BB9"/>
    <w:rsid w:val="74D54E15"/>
    <w:rsid w:val="76BA05D5"/>
    <w:rsid w:val="78DB47AF"/>
    <w:rsid w:val="7D707D59"/>
    <w:rsid w:val="7DC166B5"/>
    <w:rsid w:val="CB2BB490"/>
    <w:rsid w:val="FBFEB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6">
    <w:name w:val="page number"/>
    <w:basedOn w:val="5"/>
    <w:qFormat/>
    <w:uiPriority w:val="0"/>
  </w:style>
  <w:style w:type="character" w:styleId="7">
    <w:name w:val="line number"/>
    <w:basedOn w:val="5"/>
    <w:qFormat/>
    <w:uiPriority w:val="0"/>
  </w:style>
  <w:style w:type="paragraph" w:customStyle="1" w:styleId="8">
    <w:name w:val="居中"/>
    <w:basedOn w:val="1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%20(x86)\Kingsoft\WPS%20Office\11.8.2.9067\office6\mui\zh_CN\templates\wps\standard%20official%20document\bulletin%20issued%20a%20sealed%20single%20chapter%20(downstream)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 issued a sealed single chapter (downstream).wpt</Template>
  <Pages>6</Pages>
  <Words>2866</Words>
  <Characters>179</Characters>
  <Lines>1</Lines>
  <Paragraphs>6</Paragraphs>
  <TotalTime>760</TotalTime>
  <ScaleCrop>false</ScaleCrop>
  <LinksUpToDate>false</LinksUpToDate>
  <CharactersWithSpaces>3039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2022-06-08T02:59:00Z</dcterms:created>
  <dc:creator>UMP</dc:creator>
  <cp:lastModifiedBy>China</cp:lastModifiedBy>
  <cp:lastPrinted>2025-04-30T02:07:00Z</cp:lastPrinted>
  <dcterms:modified xsi:type="dcterms:W3CDTF">2025-04-30T02:21:06Z</dcterms:modified>
  <dc:title>No:0000001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  <property fmtid="{D5CDD505-2E9C-101B-9397-08002B2CF9AE}" pid="3" name="公文模板版本">
    <vt:lpwstr>20190329</vt:lpwstr>
  </property>
</Properties>
</file>