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26F3D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exact"/>
        </w:trPr>
        <w:tc>
          <w:tcPr>
            <w:tcW w:w="8843" w:type="dxa"/>
            <w:vAlign w:val="center"/>
          </w:tcPr>
          <w:p w14:paraId="5D692D18"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sz w:val="21"/>
              </w:rPr>
            </w:pPr>
          </w:p>
        </w:tc>
      </w:tr>
      <w:tr w14:paraId="3E222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43" w:type="dxa"/>
            <w:vAlign w:val="center"/>
          </w:tcPr>
          <w:p w14:paraId="20FAA9A3"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  <w:p w14:paraId="5414255E"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丰都县道路运输事务中心</w:t>
            </w:r>
          </w:p>
          <w:p w14:paraId="3CEBD39E">
            <w:pPr>
              <w:spacing w:line="59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2024年度项目绩效目标自评报告</w:t>
            </w:r>
          </w:p>
        </w:tc>
      </w:tr>
      <w:tr w14:paraId="508E9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8843" w:type="dxa"/>
            <w:vAlign w:val="center"/>
          </w:tcPr>
          <w:p w14:paraId="3E6C01D1">
            <w:pPr>
              <w:spacing w:line="240" w:lineRule="auto"/>
              <w:jc w:val="center"/>
              <w:rPr>
                <w:rFonts w:hint="eastAsia" w:ascii="方正仿宋_GBK" w:hAnsi="方正仿宋_GBK"/>
                <w:b/>
              </w:rPr>
            </w:pPr>
          </w:p>
        </w:tc>
      </w:tr>
    </w:tbl>
    <w:p w14:paraId="41ACD6DD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一、绩效目标分解下达情况</w:t>
      </w:r>
    </w:p>
    <w:p w14:paraId="7FC96439">
      <w:pPr>
        <w:autoSpaceDN w:val="0"/>
        <w:adjustRightInd w:val="0"/>
        <w:spacing w:line="240" w:lineRule="auto"/>
        <w:ind w:firstLine="65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eastAsia="方正仿宋_GBK"/>
          <w:spacing w:val="0"/>
          <w:szCs w:val="32"/>
        </w:rPr>
        <w:t>根据上级部门统筹安排，2024年度财政下达我中心预算资金总额为3692.71万元。按照“精准施策、民生优先”原则，本年度资金共分解细化至15个具体项目，覆盖从业人员考试、农村客运补贴、公交运营支持、安全提升等关键领域。区域绩效目标聚焦四大核心任务：一是完善客货运输保障体系，通过开通33条定制公交专线、调配57台“学生号”车辆，解决城区9所学校3万余名师生出行难题；二是筑牢行业安全基础，推动事故率同比下降14.2%，完成234家次维修企业抽查及5起问题整改，实现隐患动态清零；三是深化绿色低碳转型，检测治理尾气不达标车辆373辆，新增新能源公交车30辆，带动行业碳排放量显著降低；四是提升服务质量与行业形象，开展驾驶员专项培训8次，群众投诉办结率95%。</w:t>
      </w:r>
    </w:p>
    <w:p w14:paraId="20FF9222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（一）资金投入情况分析</w:t>
      </w:r>
    </w:p>
    <w:p w14:paraId="77932867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2024年度财政下达我中心资金预算总额为</w:t>
      </w:r>
      <w:r>
        <w:rPr>
          <w:rFonts w:eastAsia="方正仿宋_GBK"/>
          <w:spacing w:val="0"/>
          <w:szCs w:val="32"/>
        </w:rPr>
        <w:t>3692.71</w:t>
      </w:r>
      <w:r>
        <w:rPr>
          <w:rFonts w:hint="eastAsia" w:eastAsia="方正仿宋_GBK"/>
          <w:spacing w:val="0"/>
          <w:szCs w:val="32"/>
        </w:rPr>
        <w:t>万元，资金全额用于公交运营补贴、农客座位及保险补贴、新能源公交车购置等民生领域。截至目前，实际支出金额为</w:t>
      </w:r>
      <w:r>
        <w:rPr>
          <w:rFonts w:eastAsia="方正仿宋_GBK"/>
          <w:spacing w:val="0"/>
          <w:szCs w:val="32"/>
        </w:rPr>
        <w:t>3294.32</w:t>
      </w:r>
      <w:r>
        <w:rPr>
          <w:rFonts w:hint="eastAsia" w:eastAsia="方正仿宋_GBK"/>
          <w:spacing w:val="0"/>
          <w:szCs w:val="32"/>
        </w:rPr>
        <w:t>万元，预算执行率为</w:t>
      </w:r>
      <w:r>
        <w:rPr>
          <w:rFonts w:eastAsia="方正仿宋_GBK"/>
          <w:spacing w:val="0"/>
          <w:szCs w:val="32"/>
        </w:rPr>
        <w:t>89.21</w:t>
      </w:r>
      <w:r>
        <w:rPr>
          <w:rFonts w:hint="eastAsia" w:eastAsia="方正仿宋_GBK"/>
          <w:spacing w:val="0"/>
          <w:szCs w:val="32"/>
        </w:rPr>
        <w:t>%，执行率较高得益于公交补贴等民生项目的优先拨付机制。但部分项目存在未支付问题，具体原因如下：一方面，区县证牌卡制作经费因上级部门对证牌样式及技术标准提出新要求，需重新招标采购，流程尚未完成；另一方面，农客座位补贴资金部分农客线路运营数据核验滞后，补贴发放需以实际座位使用率为依据，目前仅完成阶段性审核。尽管部分</w:t>
      </w:r>
      <w:bookmarkStart w:id="0" w:name="_GoBack"/>
      <w:r>
        <w:rPr>
          <w:rFonts w:hint="eastAsia" w:eastAsia="方正仿宋_GBK"/>
          <w:spacing w:val="0"/>
          <w:szCs w:val="32"/>
          <w:lang w:eastAsia="zh-CN"/>
        </w:rPr>
        <w:t>项目</w:t>
      </w:r>
      <w:bookmarkEnd w:id="0"/>
      <w:r>
        <w:rPr>
          <w:rFonts w:hint="eastAsia" w:eastAsia="方正仿宋_GBK"/>
          <w:spacing w:val="0"/>
          <w:szCs w:val="32"/>
        </w:rPr>
        <w:t>资金实际支出进度较缓，但项目总体按计划推进，所有绩效指标均已完成，资金使用严格遵循国库集中支付制度，未出现超范围支出或违规情况。下一步将结合项目实际进展优化资金拨付节奏，确保预算执行与项目进度有效匹配。</w:t>
      </w:r>
    </w:p>
    <w:p w14:paraId="5A27C7FD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（二）资金管理情况分析</w:t>
      </w:r>
    </w:p>
    <w:p w14:paraId="2EA58CEA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财政预算资金管理整体规范有序。资金分配科学合理，严格遵循政策导向，重点向公交运营补贴、农客保险补贴等民生领域倾斜，确保资源聚焦民生项目。中央补助资金下达及时，未出现滞留或截留现象。资金拨付流程严格合规，各环节均符合财政管理规定，未发现违规操作行为。资金使用规范透明，严格按预算批复用途执行，未发生挪用或超范围支出情况。项目支出执行总体准确，但部分项目存在未支付问题，导致资金实际支出进度滞后于年度预算目标。预算绩效管理机制运行有效，主管部门定期开展绩效目标监控与动态评价工作，确保绩效目标与项目实施紧密衔接。总体来看，支出责任履行合规合法，管理效能持续提升，但需进一步优化执行效率以匹配资金使用计划。</w:t>
      </w:r>
    </w:p>
    <w:p w14:paraId="530A5DB5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（三）总体绩效目标完成情况分析</w:t>
      </w:r>
    </w:p>
    <w:p w14:paraId="1D26A0B5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，我中心围绕“安全、高效、绿色、惠民”四大核心目标，全面推动项目实施，总体绩效目标完成率达93%。其中，客货运输保障高效落实，完成开通“学生号”定制公交专线33条，覆盖城区9所学校3.2万名师生，超额完成10%；春运、国庆等重点时段运力调配精准，安全运输旅客超200万人次，未发生重大滞留事件，目标达成率100%；行业安全基础显著夯实，通过“双防控”建设全覆盖、维修企业信用评价等举措，事故率同比下降14.2%，隐患整改率100%，维修企业抽查234家次，整改问题5起，安全指标全面超额完成。尤为突出的是，绿色低碳转型成效突出，新增新能源公交车30辆，超额完成50%；检测治理尾气不达标车辆373辆，减排量达150吨，新能源车辆占比提升至25%，生态考核位列全市前五，目标完成率100%。</w:t>
      </w:r>
    </w:p>
    <w:p w14:paraId="06035992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（四）绩效指标完成情况分析</w:t>
      </w:r>
    </w:p>
    <w:p w14:paraId="34ABE16B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一是运输保障能力显著增强，开通“学生号”公交专线33条，调配车辆57台，覆盖师生3.2万人，超额完成10%，有效缓解通勤压力，直接降低家庭出行成本约30%；二是行业安全治理全面达标，事故率同比下降14.2%，超额完成目标；累计抽查维修企业234家次，整改问题5起，整改率100%；“双防控”建设覆盖率100%，获市级通报表扬；三是绿色低碳转型超额推进，新增新能源公交车30辆，超额50%完成目标，新能源车辆占比提升至25%；检测治理尾气车辆373辆，减排量达150吨，生态考核位列全市前五。</w:t>
      </w:r>
    </w:p>
    <w:p w14:paraId="40F392F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三、偏离绩效目标的原因和下一步改进措施</w:t>
      </w:r>
    </w:p>
    <w:p w14:paraId="475E0AEE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2024年度项目执行总体高效，但部分指标未完全</w:t>
      </w:r>
      <w:r>
        <w:rPr>
          <w:rFonts w:hint="eastAsia" w:eastAsia="方正仿宋_GBK"/>
          <w:spacing w:val="0"/>
          <w:szCs w:val="32"/>
          <w:lang w:eastAsia="zh-CN"/>
        </w:rPr>
        <w:t>达到</w:t>
      </w:r>
      <w:r>
        <w:rPr>
          <w:rFonts w:hint="eastAsia" w:eastAsia="方正仿宋_GBK"/>
          <w:spacing w:val="0"/>
          <w:szCs w:val="32"/>
        </w:rPr>
        <w:t>预期，主要存在以下问题：一是项目审批流程复杂制约资金拨付，如从业人员考试工作经费因考务系统升级延迟，导致考试场次未能启动，资金执行率为0%；区县证牌卡制作经费因上级技术标准调整需重新招标，流程尚未完成；二是行业监管存在薄弱环节，个别维修企业仍存在“二维乱象”，恶意竞争问题尚未根治，需进一步强化整治力度。</w:t>
      </w:r>
    </w:p>
    <w:p w14:paraId="3C6849EE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针对上述问题，拟采取以下改进措施：一是建立跨部门联席审批专班，推行“容缺受理”机制，压缩证牌采购、系统升级等环节时限；对滞后项目实行红黄牌预警，联合财政部门“一事一议”督导，优先调配数据核验资源；二是开展“维修质量提升年”行动，加大“二维乱象”抽查频次，对违规企业实施信用降级、公开曝光等惩戒措施；完善从业人员考试制度；三是推广“渝悦学车”APP等数字化工具，实现补贴数据线上核验、审批流程透明化，降低人为干预风险。通过以上措施，力争2025年预算执行率提升至95%以上，确保资金效益与项目进度深度匹配，推动绩效目标全面高质量达成。</w:t>
      </w:r>
    </w:p>
    <w:p w14:paraId="07E907E1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四、绩效自评结果拟应用和公开情况</w:t>
      </w:r>
    </w:p>
    <w:p w14:paraId="6DB4F5B8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绩效目标全面达成且成效显著。最终综合自评得分91分，评价结果为“优”。为深化结果应用、强化公开监督，拟采取以下措施：一是以评促改，优化管理机制，针对执行滞后项目，纳入2025年重点督导清单，修订资金分配规则和绩效指标，细化“按进度拨付、按成效考核”的管理细则，提升预算执行精准度。二是以评定绩，衔接预算安排，将自评结果作为2025年资金分配核心依据，优先保障公交运营补贴、农客保险等高效项目资金，推动财政资源向民生关键领域倾斜。三是主动公开，强化社会监督，自评报告全文及评分细则通过丰都县交通局官网、“政务公开栏”等渠道公示，同步开通公众意见反馈窗口；各项目单位评价结果纳入年度考核体系，作为市级评优、干部任用等重要参考，形成“绩效导向、公开透明”的长效机制。</w:t>
      </w:r>
    </w:p>
    <w:p w14:paraId="35E45201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通过多维应用与公开机制，切实发挥绩效评价“指挥棒”作用，推动资金管理从“重分配”向“重效益”转型，为我县交通高质量发展注入持续动力。</w:t>
      </w:r>
    </w:p>
    <w:p w14:paraId="132AC56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五、其他需要说明的问题</w:t>
      </w:r>
    </w:p>
    <w:p w14:paraId="57945DF8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各级审计及财政检查中未发现资金违规使用情况，项目管理规范，效益显著。</w:t>
      </w:r>
    </w:p>
    <w:p w14:paraId="71E5E19C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六、附件</w:t>
      </w:r>
    </w:p>
    <w:p w14:paraId="53832162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2024年丰都县道路运输事务中心项目绩效自评表</w:t>
      </w: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F2A02-8D9F-43EB-A52D-03C0A2EBCA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D644703-9E69-4A4D-8E5F-D7ED030B20C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E18636-BFCB-4EC4-B1A2-1CA6DDD1303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24F3466-8319-42C5-BB3D-320DF749859F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FA1E04D4-DE4B-4274-ACD9-29E9345275EB}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0F50902-7B34-49FB-8AAF-AF9F14FE79D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85D20282-4173-4569-AC8E-F2F5A36046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BD6A"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6C6A"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289C3FB6"/>
    <w:rsid w:val="00016B7C"/>
    <w:rsid w:val="00063BE9"/>
    <w:rsid w:val="000D0A16"/>
    <w:rsid w:val="0017159C"/>
    <w:rsid w:val="001919FD"/>
    <w:rsid w:val="001D0089"/>
    <w:rsid w:val="001F4258"/>
    <w:rsid w:val="00216F45"/>
    <w:rsid w:val="00291760"/>
    <w:rsid w:val="002B7AFA"/>
    <w:rsid w:val="002C3824"/>
    <w:rsid w:val="002F5768"/>
    <w:rsid w:val="00322F99"/>
    <w:rsid w:val="0035397D"/>
    <w:rsid w:val="00391270"/>
    <w:rsid w:val="003D21EB"/>
    <w:rsid w:val="003F19C9"/>
    <w:rsid w:val="00472717"/>
    <w:rsid w:val="004867DB"/>
    <w:rsid w:val="005108B1"/>
    <w:rsid w:val="00524873"/>
    <w:rsid w:val="0053785D"/>
    <w:rsid w:val="005509CA"/>
    <w:rsid w:val="00593DA8"/>
    <w:rsid w:val="00622628"/>
    <w:rsid w:val="006A2D8A"/>
    <w:rsid w:val="006A50FE"/>
    <w:rsid w:val="006D2515"/>
    <w:rsid w:val="00734313"/>
    <w:rsid w:val="00754763"/>
    <w:rsid w:val="0076176D"/>
    <w:rsid w:val="00764409"/>
    <w:rsid w:val="0079309C"/>
    <w:rsid w:val="007B7E69"/>
    <w:rsid w:val="007E7F9E"/>
    <w:rsid w:val="008103DA"/>
    <w:rsid w:val="009D6F53"/>
    <w:rsid w:val="009F27B2"/>
    <w:rsid w:val="00A17CCF"/>
    <w:rsid w:val="00A5126C"/>
    <w:rsid w:val="00A6017C"/>
    <w:rsid w:val="00A736B0"/>
    <w:rsid w:val="00A91C86"/>
    <w:rsid w:val="00A92629"/>
    <w:rsid w:val="00AD1E75"/>
    <w:rsid w:val="00B04D1F"/>
    <w:rsid w:val="00B71AE0"/>
    <w:rsid w:val="00B908F4"/>
    <w:rsid w:val="00BA0A34"/>
    <w:rsid w:val="00BA0A8B"/>
    <w:rsid w:val="00C62196"/>
    <w:rsid w:val="00D15B42"/>
    <w:rsid w:val="00D31859"/>
    <w:rsid w:val="00D361BD"/>
    <w:rsid w:val="00D85260"/>
    <w:rsid w:val="00D904D5"/>
    <w:rsid w:val="00D93C99"/>
    <w:rsid w:val="00DB105A"/>
    <w:rsid w:val="00DB7701"/>
    <w:rsid w:val="00DD629E"/>
    <w:rsid w:val="00DF6A0A"/>
    <w:rsid w:val="00E15755"/>
    <w:rsid w:val="00E34805"/>
    <w:rsid w:val="00E506AE"/>
    <w:rsid w:val="00E92299"/>
    <w:rsid w:val="00EF39C9"/>
    <w:rsid w:val="00EF55DE"/>
    <w:rsid w:val="00EF7CCF"/>
    <w:rsid w:val="00F12FB0"/>
    <w:rsid w:val="00F510F3"/>
    <w:rsid w:val="00F577A1"/>
    <w:rsid w:val="00FA6C3D"/>
    <w:rsid w:val="00FF6411"/>
    <w:rsid w:val="029D79D6"/>
    <w:rsid w:val="02E87E56"/>
    <w:rsid w:val="07272139"/>
    <w:rsid w:val="099F3D57"/>
    <w:rsid w:val="0A1B347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2144A36"/>
    <w:rsid w:val="344F0018"/>
    <w:rsid w:val="349A34DB"/>
    <w:rsid w:val="35DD1EFC"/>
    <w:rsid w:val="38694F11"/>
    <w:rsid w:val="3AC60AFD"/>
    <w:rsid w:val="3C851A1E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AC47830"/>
    <w:rsid w:val="6B9B04D7"/>
    <w:rsid w:val="6C407CF5"/>
    <w:rsid w:val="6C5B2117"/>
    <w:rsid w:val="6C8F50EF"/>
    <w:rsid w:val="6E815F40"/>
    <w:rsid w:val="6EB4152F"/>
    <w:rsid w:val="6EF515FF"/>
    <w:rsid w:val="6F2C4671"/>
    <w:rsid w:val="718E63D9"/>
    <w:rsid w:val="724D5513"/>
    <w:rsid w:val="73316433"/>
    <w:rsid w:val="740E7C9B"/>
    <w:rsid w:val="74587BB9"/>
    <w:rsid w:val="74D54E15"/>
    <w:rsid w:val="76BA05D5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5</Pages>
  <Words>2488</Words>
  <Characters>2626</Characters>
  <Lines>1</Lines>
  <Paragraphs>5</Paragraphs>
  <TotalTime>863</TotalTime>
  <ScaleCrop>false</ScaleCrop>
  <LinksUpToDate>false</LinksUpToDate>
  <CharactersWithSpaces>2626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飞哥</cp:lastModifiedBy>
  <dcterms:modified xsi:type="dcterms:W3CDTF">2025-04-28T01:38:24Z</dcterms:modified>
  <dc:title>No:0000001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公文模板版本">
    <vt:lpwstr>20190329</vt:lpwstr>
  </property>
  <property fmtid="{D5CDD505-2E9C-101B-9397-08002B2CF9AE}" pid="4" name="KSOTemplateDocerSaveRecord">
    <vt:lpwstr>eyJoZGlkIjoiNjEzZjZmYWJkNDI2MzgxZjVmNDgzNWNhMWM1MDM1MmMiLCJ1c2VySWQiOiIyNjg4MTg2NTMifQ==</vt:lpwstr>
  </property>
  <property fmtid="{D5CDD505-2E9C-101B-9397-08002B2CF9AE}" pid="5" name="ICV">
    <vt:lpwstr>E6620D3CAB19498CBB80F85E763E9425_12</vt:lpwstr>
  </property>
</Properties>
</file>