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3"/>
      </w:tblGrid>
      <w:tr w14:paraId="26F3D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 w:hRule="exact"/>
        </w:trPr>
        <w:tc>
          <w:tcPr>
            <w:tcW w:w="8843" w:type="dxa"/>
            <w:vAlign w:val="center"/>
          </w:tcPr>
          <w:p w14:paraId="5D692D18">
            <w:pPr>
              <w:spacing w:line="240" w:lineRule="auto"/>
              <w:jc w:val="center"/>
              <w:rPr>
                <w:rFonts w:hint="eastAsia" w:ascii="方正仿宋_GBK" w:hAnsi="方正仿宋_GBK"/>
                <w:b/>
                <w:sz w:val="21"/>
              </w:rPr>
            </w:pPr>
          </w:p>
        </w:tc>
      </w:tr>
      <w:tr w14:paraId="3E222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43" w:type="dxa"/>
            <w:vAlign w:val="center"/>
          </w:tcPr>
          <w:p w14:paraId="20FAA9A3">
            <w:pPr>
              <w:spacing w:line="59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  <w:p w14:paraId="15A8B3A7">
            <w:pPr>
              <w:spacing w:line="59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>丰都县公路事务中心</w:t>
            </w:r>
          </w:p>
          <w:p w14:paraId="3CEBD39E">
            <w:pPr>
              <w:spacing w:line="59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>2024年度项目绩效目标自评报告</w:t>
            </w:r>
          </w:p>
        </w:tc>
      </w:tr>
      <w:tr w14:paraId="508E9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exact"/>
        </w:trPr>
        <w:tc>
          <w:tcPr>
            <w:tcW w:w="8843" w:type="dxa"/>
            <w:vAlign w:val="center"/>
          </w:tcPr>
          <w:p w14:paraId="3E6C01D1">
            <w:pPr>
              <w:spacing w:line="240" w:lineRule="auto"/>
              <w:jc w:val="center"/>
              <w:rPr>
                <w:rFonts w:hint="eastAsia" w:ascii="方正仿宋_GBK" w:hAnsi="方正仿宋_GBK"/>
                <w:b/>
              </w:rPr>
            </w:pPr>
          </w:p>
        </w:tc>
      </w:tr>
    </w:tbl>
    <w:p w14:paraId="41ACD6DD">
      <w:pPr>
        <w:snapToGrid w:val="0"/>
        <w:spacing w:line="580" w:lineRule="exact"/>
        <w:ind w:firstLine="628" w:firstLineChars="200"/>
        <w:rPr>
          <w:rFonts w:hint="eastAsia" w:ascii="方正黑体_GBK" w:hAnsi="黑体" w:eastAsia="方正黑体_GBK" w:cs="黑体"/>
          <w:bCs/>
          <w:szCs w:val="32"/>
        </w:rPr>
      </w:pPr>
      <w:r>
        <w:rPr>
          <w:rFonts w:hint="eastAsia" w:ascii="方正黑体_GBK" w:hAnsi="黑体" w:eastAsia="方正黑体_GBK" w:cs="黑体"/>
          <w:bCs/>
          <w:szCs w:val="32"/>
        </w:rPr>
        <w:t>一、绩效目标分解下达情况</w:t>
      </w:r>
    </w:p>
    <w:p w14:paraId="522794C5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根据丰都县2024年度交通强县建设总体部署，我中心围绕“保畅通、提质量、强安全、促发展”核心任务，全年共实施公路养护、应急抢险、安全提升及农村公路建设等项目68项，预算总额3.85亿元，其中上级交通专项资金2.12亿元，县级财政配套资金1.73亿元。资金分配遵循“保民生、补短板、强应急”原则，重点投向以下领域：一是公路日常养护与应急抢险领域，覆盖国省县道日常养护、水毁修复、塌方清理等，保障路网畅通；二是安全设施提升与危桥改造领域，实施G348、G351等国省道安全设施精细化提升，改造危桥10座，消除隐患路段49公里；三是农村公路建设与乡村振兴领域，推进“四好农村路”建设、乡村公路拓宽及公益性岗位开发，惠及25个行政村、5.2万群众。</w:t>
      </w:r>
    </w:p>
    <w:p w14:paraId="7FC96439">
      <w:pPr>
        <w:snapToGrid w:val="0"/>
        <w:spacing w:line="580" w:lineRule="exact"/>
        <w:ind w:firstLine="628" w:firstLineChars="200"/>
        <w:rPr>
          <w:rFonts w:hint="eastAsia" w:ascii="方正黑体_GBK" w:hAnsi="黑体" w:eastAsia="方正黑体_GBK" w:cs="黑体"/>
          <w:bCs/>
          <w:szCs w:val="32"/>
        </w:rPr>
      </w:pPr>
      <w:r>
        <w:rPr>
          <w:rFonts w:hint="eastAsia" w:ascii="方正黑体_GBK" w:hAnsi="黑体" w:eastAsia="方正黑体_GBK" w:cs="黑体"/>
          <w:bCs/>
          <w:szCs w:val="32"/>
        </w:rPr>
        <w:t>二、绩效情况分析</w:t>
      </w:r>
    </w:p>
    <w:p w14:paraId="20FF9222">
      <w:pPr>
        <w:autoSpaceDN w:val="0"/>
        <w:adjustRightInd w:val="0"/>
        <w:spacing w:line="240" w:lineRule="auto"/>
        <w:ind w:firstLine="628" w:firstLineChars="200"/>
        <w:rPr>
          <w:rFonts w:hint="eastAsia" w:ascii="方正楷体_GBK" w:hAnsi="楷体_GB2312" w:eastAsia="方正楷体_GBK" w:cs="楷体_GB2312"/>
          <w:szCs w:val="32"/>
        </w:rPr>
      </w:pPr>
      <w:r>
        <w:rPr>
          <w:rFonts w:hint="eastAsia" w:ascii="方正楷体_GBK" w:hAnsi="楷体_GB2312" w:eastAsia="方正楷体_GBK" w:cs="楷体_GB2312"/>
          <w:szCs w:val="32"/>
        </w:rPr>
        <w:t>（一）资金投入情况分析</w:t>
      </w:r>
    </w:p>
    <w:p w14:paraId="77932867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2024年度下达我中心财政预算资金3.85亿元实际支出3.16亿元，执行率82.1%。分领域执行情况：日常养护与应急抢险支出2.01亿元，安全设施提升支出8600万元，农村公路建设支出2900万元。支付滞后项目包括S205安全设施提升工程及巴渝和美乡村美丽农村路。执行率偏低主要因技术方案调整延迟招标和林地审批未完成，施工进度滞后。</w:t>
      </w:r>
    </w:p>
    <w:p w14:paraId="5A27C7FD">
      <w:pPr>
        <w:autoSpaceDN w:val="0"/>
        <w:adjustRightInd w:val="0"/>
        <w:spacing w:line="240" w:lineRule="auto"/>
        <w:ind w:firstLine="628" w:firstLineChars="200"/>
        <w:rPr>
          <w:rFonts w:hint="eastAsia" w:ascii="方正楷体_GBK" w:hAnsi="楷体_GB2312" w:eastAsia="方正楷体_GBK" w:cs="楷体_GB2312"/>
          <w:szCs w:val="32"/>
        </w:rPr>
      </w:pPr>
      <w:r>
        <w:rPr>
          <w:rFonts w:hint="eastAsia" w:ascii="方正楷体_GBK" w:hAnsi="楷体_GB2312" w:eastAsia="方正楷体_GBK" w:cs="楷体_GB2312"/>
          <w:szCs w:val="32"/>
        </w:rPr>
        <w:t>（二）资金管理情况分析</w:t>
      </w:r>
    </w:p>
    <w:p w14:paraId="2EA58CEA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2024年财政预算资金管理整体规范有序。资金分配科学合理，严格遵循政策导向，重点支持公路日常养护与应急抢险领域、安全设施提升与危桥改造领域等关键领域，确保资源聚焦重点项目。中央补助资金下达及时，未出现滞留或截留现象。资金拨付流程严格合规，各环节均符合财政管理规定，未发现违规操作行为。资金使用规范透明，严格按预算批复用途执行，未发生挪用或超范围支出情况。项目支出执行总体准确，但因技术方案调整延迟招标和林地审批未完成，施工进度未达预期，导致资金</w:t>
      </w:r>
      <w:r>
        <w:rPr>
          <w:rFonts w:hint="eastAsia" w:eastAsia="方正仿宋_GBK"/>
          <w:spacing w:val="0"/>
          <w:szCs w:val="32"/>
          <w:lang w:eastAsia="zh-CN"/>
        </w:rPr>
        <w:t>，</w:t>
      </w:r>
      <w:bookmarkStart w:id="0" w:name="_GoBack"/>
      <w:bookmarkEnd w:id="0"/>
      <w:r>
        <w:rPr>
          <w:rFonts w:hint="eastAsia" w:eastAsia="方正仿宋_GBK"/>
          <w:spacing w:val="0"/>
          <w:szCs w:val="32"/>
        </w:rPr>
        <w:t>实际支出进度滞后于年度预算目标。预算绩效管理机制运行有效，主管部门定期开展绩效目标监控与动态评价工作，确保绩效目标与项目实施紧密衔接。总体来看，支出责任履行合规合法，管理效能持续提升，但需进一步优化执行效率以匹配资金使用计划。</w:t>
      </w:r>
    </w:p>
    <w:p w14:paraId="530A5DB5">
      <w:pPr>
        <w:autoSpaceDN w:val="0"/>
        <w:adjustRightInd w:val="0"/>
        <w:spacing w:line="240" w:lineRule="auto"/>
        <w:ind w:firstLine="628" w:firstLineChars="200"/>
        <w:rPr>
          <w:rFonts w:hint="eastAsia" w:ascii="方正楷体_GBK" w:hAnsi="楷体_GB2312" w:eastAsia="方正楷体_GBK" w:cs="楷体_GB2312"/>
          <w:szCs w:val="32"/>
        </w:rPr>
      </w:pPr>
      <w:r>
        <w:rPr>
          <w:rFonts w:hint="eastAsia" w:ascii="方正楷体_GBK" w:hAnsi="楷体_GB2312" w:eastAsia="方正楷体_GBK" w:cs="楷体_GB2312"/>
          <w:szCs w:val="32"/>
        </w:rPr>
        <w:t>（三）总体绩效目标完成情况分析</w:t>
      </w:r>
    </w:p>
    <w:p w14:paraId="1D26A0B5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2024年度我中心统筹实施的公路养护、应急抢险、安全提升及农村公路建设等项目全面完成既定绩效目标。一是公路养护质量实现历史性跃升，通过分设南北两岸养护巡查专班、推行“机械化+精细化”养护模式，全年清理国省县道边沟1465公里、修复沥青坑槽4.5万㎡、安装护栏1312米，国省道优良路率达86.35%，农村公路技术状况检测覆盖5600公里，路容路貌显著改善，群众出行满意度提升至95.2%；二是应急抢险效能创下新高，抢通国省道断道25处、清理塌方17万方，获市县通报表扬3次。三是乡村振兴与民生保障深度融合，完成“四好农村路”建设100公里，拓宽乡村道路25条，惠及5.2万群众，农特产品运输成本降低30%；开通就医、上学定制公交6条，免费接送师生2.3万人次，解决“山区学生通勤难”“群众就医绕行远”等痛点问题，民生满意度测评达98%。</w:t>
      </w:r>
    </w:p>
    <w:p w14:paraId="06035992">
      <w:pPr>
        <w:autoSpaceDN w:val="0"/>
        <w:adjustRightInd w:val="0"/>
        <w:spacing w:line="240" w:lineRule="auto"/>
        <w:ind w:firstLine="628" w:firstLineChars="200"/>
        <w:rPr>
          <w:rFonts w:hint="eastAsia" w:ascii="方正楷体_GBK" w:hAnsi="楷体_GB2312" w:eastAsia="方正楷体_GBK" w:cs="楷体_GB2312"/>
          <w:szCs w:val="32"/>
        </w:rPr>
      </w:pPr>
      <w:r>
        <w:rPr>
          <w:rFonts w:hint="eastAsia" w:ascii="方正楷体_GBK" w:hAnsi="楷体_GB2312" w:eastAsia="方正楷体_GBK" w:cs="楷体_GB2312"/>
          <w:szCs w:val="32"/>
        </w:rPr>
        <w:t>（四）绩效指标完成情况分析</w:t>
      </w:r>
    </w:p>
    <w:p w14:paraId="34ABE16B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一是国省道优良路率超额完成，目标值85%，实际完成86.35%，超目标1.6个百分点，通过修复沥青坑槽4.5万㎡、清理边沟1465公里、安装护栏1312米等精细化养护措施，实现国省干线良级路443公里、中级路70公里，路况水平同比提升12%，群众出行满意度达95.2%。二是应急抢险响应时效显著优化，平均抢通时效压缩至36小时，特别是在“7.11”百年一遇特大暴雨中，15天内抢通垫武路、庙飞路等断道25处，清理塌方17万方，保障应急物资运输和5.2万群众安全出行，获市县通报表扬3次。三是危桥改造与隐患治理全面落地，目标改造危桥10座，实际完成木屑溪大桥、高镇大桥等10座危桥整治，同步消除S102渝建路、S205垫武路等49公里隐患路段，施划道路标线60公里、震荡标线864㎡，事故多发路段交通事故率下降28%。四是农村公路管养全覆盖，目标养护率100%，推行“路长制”巡查1.3万次，完成农村公路技术状况检测5600公里，乡村公路养护率100%，惠及25个行政村，农特产品运输成本降低30%，助力乡村振兴衔接资金划拨比例达83.5%。</w:t>
      </w:r>
    </w:p>
    <w:p w14:paraId="40F392F9">
      <w:pPr>
        <w:snapToGrid w:val="0"/>
        <w:spacing w:line="580" w:lineRule="exact"/>
        <w:ind w:firstLine="628" w:firstLineChars="200"/>
        <w:rPr>
          <w:rFonts w:hint="eastAsia" w:ascii="方正黑体_GBK" w:hAnsi="黑体" w:eastAsia="方正黑体_GBK" w:cs="黑体"/>
          <w:bCs/>
          <w:szCs w:val="32"/>
        </w:rPr>
      </w:pPr>
      <w:r>
        <w:rPr>
          <w:rFonts w:hint="eastAsia" w:ascii="方正黑体_GBK" w:hAnsi="黑体" w:eastAsia="方正黑体_GBK" w:cs="黑体"/>
          <w:bCs/>
          <w:szCs w:val="32"/>
        </w:rPr>
        <w:t>三、偏离绩效目标的原因和下一步改进措施</w:t>
      </w:r>
    </w:p>
    <w:p w14:paraId="475E0AEE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2024年度预算执行率较好，但部分项目未达预期，主要受以下因素影响：一是巴渝和美乡村美丽农村路因林地占用审批涉及林业、环保、自然资源等多部门协同，审批周期长达4个月，导致施工滞后；二是S205安全设施提升工程因市级技术标准升级，原设计方案需重新论证，招标流程被迫重启，延误工期2个月。</w:t>
      </w:r>
    </w:p>
    <w:p w14:paraId="3C6849EE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针对上述问题，拟采取以下改进措施：一是建立重大项目“绿色通道”，整合林业、环保、自然资源等部门成立联合审批专班，推行“容缺受理加并联审批”模式，压缩林地占用审批周期至60日内，同步制定《重大项目审批节点清单》，明确各环节责任人和时限，对超期未办结部门实行“红黄牌”预警；二是强化技术方案预审与支付标准化，组建专家顾问团队，对S205安全设施提升、智慧农村路等项目开展技术方案预审3次，减少实施阶段调整。</w:t>
      </w:r>
    </w:p>
    <w:p w14:paraId="07E907E1">
      <w:pPr>
        <w:snapToGrid w:val="0"/>
        <w:spacing w:line="580" w:lineRule="exact"/>
        <w:ind w:firstLine="628" w:firstLineChars="200"/>
        <w:rPr>
          <w:rFonts w:hint="eastAsia" w:ascii="方正黑体_GBK" w:hAnsi="黑体" w:eastAsia="方正黑体_GBK" w:cs="黑体"/>
          <w:bCs/>
          <w:szCs w:val="32"/>
        </w:rPr>
      </w:pPr>
      <w:r>
        <w:rPr>
          <w:rFonts w:hint="eastAsia" w:ascii="方正黑体_GBK" w:hAnsi="黑体" w:eastAsia="方正黑体_GBK" w:cs="黑体"/>
          <w:bCs/>
          <w:szCs w:val="32"/>
        </w:rPr>
        <w:t>四、绩效自评结果拟应用和公开情况</w:t>
      </w:r>
    </w:p>
    <w:p w14:paraId="6DB4F5B8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我县通过系统实施公路养护、应急抢险、安全提升及农村公路建设等项目并开展绩效自评，2024年度绩效目标全面达成且成效显著。最终，自评得分88分，评价结果为“良”。为强化结果导向、提升资金效能，拟从以下四方面推动自评结果深度应用：一是以评促改，靶向整改突出问题，将S205安全设施提升工程、巴渝和美乡村美丽农村路等滞后项目纳入2025年重点督办清单，明确整改时限，对未达标单位负责人实行约谈问责，同步修订《公路养护资金管理办法》，新增“技术方案预审”“支付节点标准化”等条款，严控设计变更和超支风险。二是以评定绩，精准挂钩预算分配，对执行率超85%的民生类项目追加5%预算额度，对栗子湾抽水蓄能电站对外交通道路、国省道桥隧检测维护等高效项目给予3%奖励；对支付滞后的农村公路危桥改造、S520老鸦阡预防性养护压减10%次年预算，并暂停新项目申报资格。三是以公开促公信，构建阳光透明机制。自评报告全文及评分明细已通过丰都县交通局门户网站、“政务公开栏”等渠道向社会公示，广泛接受公众质询与监督。同时，各项目单位评价结果将纳入年度考核体系，作为下一年度资金分配的重要参考，形成“绩效导向、公开透明”的长效机制。</w:t>
      </w:r>
    </w:p>
    <w:p w14:paraId="35E45201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通过“整改—激励—公开—创新”四维联动，推动绩效管理从“纸面得分”向“实效转化”升级，为丰都公路高质量发展注入可持续动力。</w:t>
      </w:r>
    </w:p>
    <w:p w14:paraId="132AC569">
      <w:pPr>
        <w:snapToGrid w:val="0"/>
        <w:spacing w:line="580" w:lineRule="exact"/>
        <w:ind w:firstLine="628" w:firstLineChars="200"/>
        <w:rPr>
          <w:rFonts w:hint="eastAsia" w:ascii="方正黑体_GBK" w:hAnsi="黑体" w:eastAsia="方正黑体_GBK" w:cs="黑体"/>
          <w:bCs/>
          <w:szCs w:val="32"/>
        </w:rPr>
      </w:pPr>
      <w:r>
        <w:rPr>
          <w:rFonts w:hint="eastAsia" w:ascii="方正黑体_GBK" w:hAnsi="黑体" w:eastAsia="方正黑体_GBK" w:cs="黑体"/>
          <w:bCs/>
          <w:szCs w:val="32"/>
        </w:rPr>
        <w:t>五、其他需要说明的问题</w:t>
      </w:r>
    </w:p>
    <w:p w14:paraId="57945DF8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2024年度资金使用合规性通过县级审计，未发现截留、挪用问题；“7.11”特大暴雨抢险获市县表彰，栗子湾抽水蓄能电站道路建设获市级示范项目认定。。</w:t>
      </w:r>
    </w:p>
    <w:p w14:paraId="71E5E19C">
      <w:pPr>
        <w:snapToGrid w:val="0"/>
        <w:spacing w:line="580" w:lineRule="exact"/>
        <w:ind w:firstLine="628" w:firstLineChars="200"/>
        <w:rPr>
          <w:rFonts w:hint="eastAsia" w:ascii="方正黑体_GBK" w:hAnsi="黑体" w:eastAsia="方正黑体_GBK" w:cs="黑体"/>
          <w:bCs/>
          <w:szCs w:val="32"/>
        </w:rPr>
      </w:pPr>
      <w:r>
        <w:rPr>
          <w:rFonts w:hint="eastAsia" w:ascii="方正黑体_GBK" w:hAnsi="黑体" w:eastAsia="方正黑体_GBK" w:cs="黑体"/>
          <w:bCs/>
          <w:szCs w:val="32"/>
        </w:rPr>
        <w:t>六、附件</w:t>
      </w:r>
    </w:p>
    <w:p w14:paraId="53832162">
      <w:pPr>
        <w:autoSpaceDN w:val="0"/>
        <w:adjustRightInd w:val="0"/>
        <w:spacing w:line="240" w:lineRule="auto"/>
        <w:ind w:firstLine="652" w:firstLineChars="200"/>
        <w:rPr>
          <w:rFonts w:eastAsia="方正仿宋_GBK"/>
          <w:spacing w:val="0"/>
          <w:szCs w:val="32"/>
        </w:rPr>
      </w:pPr>
      <w:r>
        <w:rPr>
          <w:rFonts w:hint="eastAsia" w:eastAsia="方正仿宋_GBK"/>
          <w:spacing w:val="0"/>
          <w:szCs w:val="32"/>
        </w:rPr>
        <w:t>丰都县公路事务中心2024年度项目绩效自评表</w:t>
      </w:r>
    </w:p>
    <w:sectPr>
      <w:footerReference r:id="rId5" w:type="default"/>
      <w:footerReference r:id="rId6" w:type="even"/>
      <w:pgSz w:w="11906" w:h="16838"/>
      <w:pgMar w:top="1967" w:right="1474" w:bottom="1899" w:left="1588" w:header="851" w:footer="1049" w:gutter="0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91178F-AFDA-4B83-B20B-FBD3A0B91B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8F0C033-7BC3-4A88-8B7C-3AA3E2388AD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E9B9AB2-4F02-4868-8E7A-F199CB265AC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393C69-BFA6-453E-AE39-CC085C97A8B2}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765A7E6-0D59-43D7-AA65-C3B79DF0CF8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F6A4C06A-984F-4ABF-B30D-D418B36A55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0BD6A">
    <w:pPr>
      <w:pStyle w:val="2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6C6A">
    <w:pPr>
      <w:pStyle w:val="2"/>
      <w:spacing w:line="471" w:lineRule="auto"/>
      <w:ind w:left="308" w:leftChars="100"/>
      <w:jc w:val="left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evenAndOddHeaders w:val="1"/>
  <w:drawingGridHorizontalSpacing w:val="308"/>
  <w:drawingGridVerticalSpacing w:val="295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ocStyle" w:val="2"/>
  </w:docVars>
  <w:rsids>
    <w:rsidRoot w:val="289C3FB6"/>
    <w:rsid w:val="00016B7C"/>
    <w:rsid w:val="0005594B"/>
    <w:rsid w:val="00055FA9"/>
    <w:rsid w:val="00063BE9"/>
    <w:rsid w:val="000D0A16"/>
    <w:rsid w:val="0017159C"/>
    <w:rsid w:val="0018325A"/>
    <w:rsid w:val="001919FD"/>
    <w:rsid w:val="001B6846"/>
    <w:rsid w:val="001C71A1"/>
    <w:rsid w:val="001D0089"/>
    <w:rsid w:val="001F4258"/>
    <w:rsid w:val="002158A7"/>
    <w:rsid w:val="00216F45"/>
    <w:rsid w:val="00222B72"/>
    <w:rsid w:val="00291760"/>
    <w:rsid w:val="002B7AFA"/>
    <w:rsid w:val="002C3824"/>
    <w:rsid w:val="002F5768"/>
    <w:rsid w:val="003217B7"/>
    <w:rsid w:val="00322F99"/>
    <w:rsid w:val="003A4E51"/>
    <w:rsid w:val="003D21EB"/>
    <w:rsid w:val="003F19C9"/>
    <w:rsid w:val="00472717"/>
    <w:rsid w:val="004867DB"/>
    <w:rsid w:val="004F4BC7"/>
    <w:rsid w:val="005108B1"/>
    <w:rsid w:val="00524873"/>
    <w:rsid w:val="0053785D"/>
    <w:rsid w:val="005509CA"/>
    <w:rsid w:val="00622628"/>
    <w:rsid w:val="006A2D8A"/>
    <w:rsid w:val="006A50FE"/>
    <w:rsid w:val="006D2515"/>
    <w:rsid w:val="00734313"/>
    <w:rsid w:val="00754763"/>
    <w:rsid w:val="0076176D"/>
    <w:rsid w:val="00764409"/>
    <w:rsid w:val="0079309C"/>
    <w:rsid w:val="007E7F9E"/>
    <w:rsid w:val="008103DA"/>
    <w:rsid w:val="008C6740"/>
    <w:rsid w:val="00975CCB"/>
    <w:rsid w:val="009F27B2"/>
    <w:rsid w:val="00A17CCF"/>
    <w:rsid w:val="00A5126C"/>
    <w:rsid w:val="00A6017C"/>
    <w:rsid w:val="00A736B0"/>
    <w:rsid w:val="00A91C86"/>
    <w:rsid w:val="00A92629"/>
    <w:rsid w:val="00AF26B7"/>
    <w:rsid w:val="00B04D1F"/>
    <w:rsid w:val="00B71AE0"/>
    <w:rsid w:val="00B908F4"/>
    <w:rsid w:val="00BA0A34"/>
    <w:rsid w:val="00C62196"/>
    <w:rsid w:val="00D15B42"/>
    <w:rsid w:val="00D31859"/>
    <w:rsid w:val="00D361BD"/>
    <w:rsid w:val="00D93C99"/>
    <w:rsid w:val="00DB105A"/>
    <w:rsid w:val="00DF6A0A"/>
    <w:rsid w:val="00E506AE"/>
    <w:rsid w:val="00E92299"/>
    <w:rsid w:val="00EF39C9"/>
    <w:rsid w:val="00EF55DE"/>
    <w:rsid w:val="00EF7CCF"/>
    <w:rsid w:val="00F12FB0"/>
    <w:rsid w:val="00F510F3"/>
    <w:rsid w:val="00F577A1"/>
    <w:rsid w:val="00FA6C3D"/>
    <w:rsid w:val="00FE4461"/>
    <w:rsid w:val="00FF6411"/>
    <w:rsid w:val="029D79D6"/>
    <w:rsid w:val="02E87E56"/>
    <w:rsid w:val="07272139"/>
    <w:rsid w:val="099F3D57"/>
    <w:rsid w:val="0C1609C9"/>
    <w:rsid w:val="0D624402"/>
    <w:rsid w:val="0D857002"/>
    <w:rsid w:val="0EB97441"/>
    <w:rsid w:val="0EED5E99"/>
    <w:rsid w:val="0F051AC8"/>
    <w:rsid w:val="0F22043C"/>
    <w:rsid w:val="14B055E2"/>
    <w:rsid w:val="16B03F83"/>
    <w:rsid w:val="18E83469"/>
    <w:rsid w:val="19C30098"/>
    <w:rsid w:val="1A0D2313"/>
    <w:rsid w:val="1B486B8B"/>
    <w:rsid w:val="1DC37854"/>
    <w:rsid w:val="1EDD13EC"/>
    <w:rsid w:val="1FC15723"/>
    <w:rsid w:val="1FEB4CEF"/>
    <w:rsid w:val="23E11F66"/>
    <w:rsid w:val="289C3FB6"/>
    <w:rsid w:val="2A0321A1"/>
    <w:rsid w:val="2BD56F64"/>
    <w:rsid w:val="2BE110CC"/>
    <w:rsid w:val="2BE55C1B"/>
    <w:rsid w:val="2C26057E"/>
    <w:rsid w:val="2C38122A"/>
    <w:rsid w:val="2C6C74D8"/>
    <w:rsid w:val="2D140142"/>
    <w:rsid w:val="2D607001"/>
    <w:rsid w:val="2FA33D38"/>
    <w:rsid w:val="30096A6D"/>
    <w:rsid w:val="314D2A6F"/>
    <w:rsid w:val="315F0A35"/>
    <w:rsid w:val="32144A36"/>
    <w:rsid w:val="344F0018"/>
    <w:rsid w:val="349A34DB"/>
    <w:rsid w:val="35DD1EFC"/>
    <w:rsid w:val="38694F11"/>
    <w:rsid w:val="3AC60AFD"/>
    <w:rsid w:val="3C851A1E"/>
    <w:rsid w:val="3D7F29FF"/>
    <w:rsid w:val="41371D0B"/>
    <w:rsid w:val="43DE6253"/>
    <w:rsid w:val="45264F7A"/>
    <w:rsid w:val="48633406"/>
    <w:rsid w:val="487D16AC"/>
    <w:rsid w:val="49877032"/>
    <w:rsid w:val="49A10376"/>
    <w:rsid w:val="4FE75B49"/>
    <w:rsid w:val="50CA0599"/>
    <w:rsid w:val="51704512"/>
    <w:rsid w:val="547225CE"/>
    <w:rsid w:val="54963482"/>
    <w:rsid w:val="552F4050"/>
    <w:rsid w:val="59943F04"/>
    <w:rsid w:val="5A6E1669"/>
    <w:rsid w:val="5AB3246B"/>
    <w:rsid w:val="5B526AEB"/>
    <w:rsid w:val="5B952750"/>
    <w:rsid w:val="5C564D8D"/>
    <w:rsid w:val="5CF71A0D"/>
    <w:rsid w:val="5D432A17"/>
    <w:rsid w:val="5FE56E3E"/>
    <w:rsid w:val="61465A39"/>
    <w:rsid w:val="63D53F5A"/>
    <w:rsid w:val="66001F65"/>
    <w:rsid w:val="665541AD"/>
    <w:rsid w:val="665F7EC9"/>
    <w:rsid w:val="66BC5F1C"/>
    <w:rsid w:val="6AC47830"/>
    <w:rsid w:val="6B9B04D7"/>
    <w:rsid w:val="6C407CF5"/>
    <w:rsid w:val="6C5B2117"/>
    <w:rsid w:val="6C8F50EF"/>
    <w:rsid w:val="6E815F40"/>
    <w:rsid w:val="6EB4152F"/>
    <w:rsid w:val="6EF515FF"/>
    <w:rsid w:val="6F2C4671"/>
    <w:rsid w:val="718E63D9"/>
    <w:rsid w:val="724D5513"/>
    <w:rsid w:val="730C1194"/>
    <w:rsid w:val="73316433"/>
    <w:rsid w:val="740E7C9B"/>
    <w:rsid w:val="74587BB9"/>
    <w:rsid w:val="74D54E15"/>
    <w:rsid w:val="76BA05D5"/>
    <w:rsid w:val="78DB47AF"/>
    <w:rsid w:val="7D707D59"/>
    <w:rsid w:val="7DC166B5"/>
    <w:rsid w:val="CB2BB490"/>
    <w:rsid w:val="FBFEB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8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1.8.2.9067\office6\mui\zh_CN\templates\wps\standard%20official%20document\bulletin%20issued%20a%20sealed%20single%20chapter%20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bulletin issued a sealed single chapter (downstream).wpt</Template>
  <Pages>6</Pages>
  <Words>2608</Words>
  <Characters>2804</Characters>
  <Lines>20</Lines>
  <Paragraphs>5</Paragraphs>
  <TotalTime>536</TotalTime>
  <ScaleCrop>false</ScaleCrop>
  <LinksUpToDate>false</LinksUpToDate>
  <CharactersWithSpaces>2804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2022-06-08T02:59:00Z</dcterms:created>
  <dc:creator>UMP</dc:creator>
  <cp:lastModifiedBy>飞哥</cp:lastModifiedBy>
  <dcterms:modified xsi:type="dcterms:W3CDTF">2025-04-28T02:01:50Z</dcterms:modified>
  <dc:title>No:0000001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公文模板版本">
    <vt:lpwstr>20190329</vt:lpwstr>
  </property>
  <property fmtid="{D5CDD505-2E9C-101B-9397-08002B2CF9AE}" pid="4" name="KSOTemplateDocerSaveRecord">
    <vt:lpwstr>eyJoZGlkIjoiNjEzZjZmYWJkNDI2MzgxZjVmNDgzNWNhMWM1MDM1MmMiLCJ1c2VySWQiOiIyNjg4MTg2NTMifQ==</vt:lpwstr>
  </property>
  <property fmtid="{D5CDD505-2E9C-101B-9397-08002B2CF9AE}" pid="5" name="ICV">
    <vt:lpwstr>670C60EAC4FE4D958908B06C98D48460_12</vt:lpwstr>
  </property>
</Properties>
</file>