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both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shd w:val="clear" w:color="auto" w:fill="FFFFFF"/>
          <w:lang w:val="en-US" w:eastAsia="zh-CN"/>
        </w:rPr>
      </w:pPr>
      <w:bookmarkStart w:id="0" w:name="_Hlk37239649"/>
      <w:bookmarkEnd w:id="0"/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shd w:val="clear" w:color="auto" w:fill="FFFFFF"/>
          <w:lang w:val="en-US" w:eastAsia="zh-CN"/>
        </w:rPr>
        <w:t>附件：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shd w:val="clear" w:color="auto" w:fill="FFFFFF"/>
          <w:lang w:val="en-US" w:eastAsia="zh-CN"/>
        </w:rPr>
        <w:t xml:space="preserve">  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color w:val="auto"/>
          <w:kern w:val="0"/>
          <w:sz w:val="44"/>
          <w:szCs w:val="44"/>
          <w:shd w:val="clear" w:color="auto" w:fill="FFFFFF"/>
        </w:rPr>
      </w:pPr>
      <w:r>
        <w:rPr>
          <w:rFonts w:hint="eastAsia" w:ascii="方正小标宋_GBK" w:hAnsi="方正小标宋_GBK" w:eastAsia="方正小标宋_GBK" w:cs="方正小标宋_GBK"/>
          <w:color w:val="auto"/>
          <w:kern w:val="0"/>
          <w:sz w:val="44"/>
          <w:szCs w:val="44"/>
          <w:shd w:val="clear" w:color="auto" w:fill="FFFFFF"/>
        </w:rPr>
        <w:t>行政执法基本事项信息公示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  <w:t>一、执法主体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1.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执法机关：丰都县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交通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运输委员会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方正仿宋_GBK" w:cs="Times New Roman"/>
          <w:color w:val="auto"/>
          <w:sz w:val="32"/>
          <w:szCs w:val="32"/>
          <w:shd w:val="clear" w:color="auto" w:fill="FFFFFF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2.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  <w:shd w:val="clear" w:color="auto" w:fill="FFFFFF"/>
        </w:rPr>
        <w:t>实施机构：丰都县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  <w:shd w:val="clear" w:color="auto" w:fill="FFFFFF"/>
          <w:lang w:val="en-US" w:eastAsia="zh-CN"/>
        </w:rPr>
        <w:t>交通运输综合行政执法支队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after="313" w:afterLines="100" w:line="560" w:lineRule="exact"/>
        <w:ind w:right="0" w:rightChars="0" w:firstLine="640" w:firstLineChars="200"/>
        <w:jc w:val="left"/>
        <w:textAlignment w:val="auto"/>
        <w:rPr>
          <w:rFonts w:hint="default"/>
          <w:color w:val="auto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3.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执法人员名录</w:t>
      </w:r>
    </w:p>
    <w:tbl>
      <w:tblPr>
        <w:tblStyle w:val="10"/>
        <w:tblW w:w="452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60"/>
        <w:gridCol w:w="1929"/>
        <w:gridCol w:w="3278"/>
        <w:gridCol w:w="182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7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序号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姓名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执法证件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号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1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代</w:t>
            </w:r>
            <w:r>
              <w:rPr>
                <w:rFonts w:hint="eastAsia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毅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22003017001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陈小明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2200301700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2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3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文江成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2200301700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3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4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刘  浩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22003017004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5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孙永锡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22003017005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6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李兴泉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22003017006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7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余廷勇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22003017007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8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黄馨辉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22003017008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9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毛小强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22003017011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10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秦泽勇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22003017012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11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周  峰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22003017013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12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刘  伟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22003017014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13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孙  铁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  <w:t>22003017015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14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曾宪波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22003017021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15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谭学锋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22003017022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16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向  红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22003017025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17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敖玮鸿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22003017026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18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唐兆淑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22003017027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19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胡文权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22003017028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20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蔡奉伶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22003017029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21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廖晓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eastAsia="zh-CN" w:bidi="ar"/>
              </w:rPr>
              <w:t>琳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22003017030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22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隆晓娟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22003017031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23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冉海洲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22003017032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24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刘胜林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22003017037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25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刘陵丰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22003017038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26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邹  杰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22003017039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27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邵</w:t>
            </w:r>
            <w:r>
              <w:rPr>
                <w:rFonts w:hint="eastAsia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 xml:space="preserve"> 勤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22003017040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28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廖渊文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22003017041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29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敖  勇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22003017043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30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陈  平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22003017045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31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蹇  景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22003017046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32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杨小熔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22003017047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33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彭  燕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22003017048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34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赵长波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22003017049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35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江  红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bidi="ar"/>
              </w:rPr>
              <w:t>22003017052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36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张露云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22003017055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37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吴</w:t>
            </w:r>
            <w:r>
              <w:rPr>
                <w:rFonts w:hint="eastAsia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 xml:space="preserve">  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婵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22003017056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38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邓</w:t>
            </w:r>
            <w:r>
              <w:rPr>
                <w:rFonts w:hint="eastAsia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 xml:space="preserve">  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江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22003017057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39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刘庭婷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22003017058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40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王</w:t>
            </w:r>
            <w:r>
              <w:rPr>
                <w:rFonts w:hint="eastAsia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 xml:space="preserve">  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睿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22003017059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41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周卓颖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22003017060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42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张雨馨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22003017061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43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陶</w:t>
            </w:r>
            <w:r>
              <w:rPr>
                <w:rFonts w:hint="eastAsia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 xml:space="preserve">  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钢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22003017062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  <w:jc w:val="center"/>
        </w:trPr>
        <w:tc>
          <w:tcPr>
            <w:tcW w:w="810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44</w:t>
            </w:r>
          </w:p>
        </w:tc>
        <w:tc>
          <w:tcPr>
            <w:tcW w:w="1148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杜</w:t>
            </w:r>
            <w:r>
              <w:rPr>
                <w:rFonts w:hint="eastAsia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 xml:space="preserve">  </w:t>
            </w:r>
            <w:r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kern w:val="0"/>
                <w:sz w:val="28"/>
                <w:szCs w:val="28"/>
                <w:lang w:val="en-US" w:eastAsia="zh-CN" w:bidi="ar"/>
              </w:rPr>
              <w:t>剑</w:t>
            </w:r>
          </w:p>
        </w:tc>
        <w:tc>
          <w:tcPr>
            <w:tcW w:w="1952" w:type="pc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color w:val="auto"/>
                <w:sz w:val="28"/>
                <w:szCs w:val="28"/>
                <w:vertAlign w:val="baseline"/>
                <w:lang w:val="en-US" w:eastAsia="zh-CN"/>
              </w:rPr>
              <w:t>22003017063</w:t>
            </w:r>
          </w:p>
        </w:tc>
        <w:tc>
          <w:tcPr>
            <w:tcW w:w="1088" w:type="pct"/>
            <w:noWrap w:val="0"/>
            <w:vAlign w:val="center"/>
          </w:tcPr>
          <w:p>
            <w:pPr>
              <w:pStyle w:val="9"/>
              <w:keepNext w:val="0"/>
              <w:keepLines w:val="0"/>
              <w:pageBreakBefore w:val="0"/>
              <w:widowControl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Times New Roman" w:hAnsi="Times New Roman" w:eastAsia="方正仿宋_GBK" w:cs="Times New Roman"/>
                <w:b w:val="0"/>
                <w:bCs w:val="0"/>
                <w:color w:val="auto"/>
                <w:sz w:val="28"/>
                <w:szCs w:val="28"/>
              </w:rPr>
            </w:pPr>
          </w:p>
        </w:tc>
      </w:tr>
    </w:tbl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b/>
          <w:bCs/>
          <w:color w:val="auto"/>
          <w:kern w:val="0"/>
          <w:sz w:val="32"/>
          <w:szCs w:val="32"/>
        </w:rPr>
        <w:t xml:space="preserve"> </w:t>
      </w:r>
      <w:r>
        <w:rPr>
          <w:rFonts w:hint="eastAsia" w:eastAsia="方正仿宋_GBK" w:cs="Times New Roman"/>
          <w:b/>
          <w:bCs/>
          <w:color w:val="auto"/>
          <w:kern w:val="0"/>
          <w:sz w:val="32"/>
          <w:szCs w:val="32"/>
          <w:lang w:val="en-US" w:eastAsia="zh-CN"/>
        </w:rPr>
        <w:t xml:space="preserve">   </w:t>
      </w: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  <w:t>二、执法职责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依法对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交通运输综合行政执法领域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范围内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公路路政（辖区国道、省道、县道干线公路）、道路运政、水路运输、港口行政、地方航道、地方海事、公路水运交通建设工程质量监督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事项的监督管理。</w:t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  <w:t>执法权限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</w:rPr>
        <w:t>按照职责和权限负责实施管辖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交通运输综合行政执法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领域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执法事项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共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449项，其中行政处罚410项、行政强制39项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，另有行政检查14项。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  <w:t>四、执法依据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1.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中华人民共和国行政处罚法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2.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中华人民共和国行政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强制法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3.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安全生产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法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4.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公路法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5.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港口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法</w:t>
      </w:r>
    </w:p>
    <w:p>
      <w:pPr>
        <w:pStyle w:val="9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before="0" w:beforeAutospacing="0" w:after="0" w:afterAutospacing="0" w:line="560" w:lineRule="exact"/>
        <w:ind w:right="0"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6.</w:t>
      </w:r>
      <w:r>
        <w:rPr>
          <w:rFonts w:hint="eastAsia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</w:rPr>
        <w:t>中华人民共和国招标投标法</w:t>
      </w:r>
    </w:p>
    <w:p>
      <w:pPr>
        <w:pStyle w:val="9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before="0" w:beforeAutospacing="0" w:after="0" w:afterAutospacing="0" w:line="560" w:lineRule="exact"/>
        <w:ind w:right="0"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>7.</w:t>
      </w:r>
      <w:r>
        <w:rPr>
          <w:rFonts w:hint="eastAsia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</w:rPr>
        <w:t>中华人民共和国水污染防治法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8.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公路安全保护条例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9.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道路运输条例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10.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危险化学品安全管理条例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11.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国内水路运输管理条例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12.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航道管理条例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13.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内河交通安全管理条例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14.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船员条例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15.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建设工程质量管理条例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16.</w:t>
      </w:r>
      <w:r>
        <w:rPr>
          <w:rFonts w:hint="eastAsia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中华人民共和国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建设工程安全生产管理条例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17.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交通运输行政执法程序规定</w:t>
      </w:r>
    </w:p>
    <w:p>
      <w:pPr>
        <w:pStyle w:val="2"/>
        <w:keepNext w:val="0"/>
        <w:keepLines w:val="0"/>
        <w:pageBreakBefore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18.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其他相关法律法规及规章 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  <w:t>五、执法程序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color w:val="auto"/>
          <w:kern w:val="0"/>
          <w:sz w:val="32"/>
          <w:szCs w:val="32"/>
          <w:lang w:eastAsia="zh-CN"/>
        </w:rPr>
      </w:pPr>
      <w:r>
        <w:rPr>
          <w:rFonts w:hint="eastAsia" w:ascii="方正楷体_GBK" w:hAnsi="方正楷体_GBK" w:eastAsia="方正楷体_GBK" w:cs="方正楷体_GBK"/>
          <w:color w:val="auto"/>
          <w:kern w:val="0"/>
          <w:sz w:val="32"/>
          <w:szCs w:val="32"/>
        </w:rPr>
        <w:t>（一）立案、调查与决定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1．凡发现或者接到举报、控告、移送、上级交办、主动交代等违反相关法律、法规、规章的行为，应当填写《行政处罚登记表》，报行政负责人审批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eastAsia="zh-CN"/>
        </w:rPr>
        <w:t>，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符合立案标准的，应当及时立案。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2．执法人员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在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调查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或者进行检查时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，应当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主动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向当事人或者有关人员出示执法证件。执法人员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与案件有直接利害关系或者有其他关系可能影响公正执法的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，应当回避。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3．行政执法人员在调查处理行政处罚案件时应当依法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收集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证据。</w:t>
      </w:r>
    </w:p>
    <w:p>
      <w:pPr>
        <w:pStyle w:val="2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4．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行政机关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作出行政处罚前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应当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告知当事人拟作出行政处罚的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内容及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事实、理由、依据，并告知当事人依法享有陈述、申辩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的权利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。</w:t>
      </w:r>
    </w:p>
    <w:p>
      <w:pPr>
        <w:pStyle w:val="2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/>
          <w:color w:val="auto"/>
          <w:lang w:val="en-US" w:eastAsia="zh-CN"/>
        </w:rPr>
      </w:pP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5. 行政机关拟作出较大数额罚款、没收较大数额违法所得、没收较大价值非法财物、降低资质等级、吊销许可证件、责令停产停业、责令关闭、限制从业及其他较重行政处罚的决定的，应当告知当事人有要求听证的权利，当事人要求听证的，行政机关应当组织听证。</w:t>
      </w:r>
    </w:p>
    <w:p>
      <w:pPr>
        <w:keepNext w:val="0"/>
        <w:keepLines w:val="0"/>
        <w:pageBreakBefore w:val="0"/>
        <w:widowControl/>
        <w:numPr>
          <w:ilvl w:val="0"/>
          <w:numId w:val="2"/>
        </w:numPr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对情节复杂或者重大违法行为给予行政处罚，行政机关负责人应当集体讨论决定。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color w:val="auto"/>
          <w:kern w:val="0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color w:val="auto"/>
          <w:kern w:val="0"/>
          <w:sz w:val="32"/>
          <w:szCs w:val="32"/>
        </w:rPr>
        <w:t>（二）送达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《行政处罚决定书》应当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直接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送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交受送达人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，并由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受送达人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在《行政处罚送达回证》上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记明收到日期，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签名或者盖章；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受送达人是公民的，本人不在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交其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同住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成年家属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签收；受送达人是法人或者其他组织的，应当由法人的法定代表人、该组织的主要负责人或者办公室、收发室、值班室等负责收件的人签收或者盖章；受送达人指定代收人的，交代收人签收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。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受送达人或者他的同住成年家属拒绝接收的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，可以邀请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受送达人住所地的居民委员会、村民委员会的工作人员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或者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受送达人所在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单位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的工作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人员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作见证人，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说明情况，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在《送达回证》上记明拒收事由和日期，由执法人员、见证人签名或者盖章，将执法文书留在受送达人的住所；也可以把执法文书留在受送达人的住所，并采取拍照、录像等方式记录送达过程，即视为送达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。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直接送达有困难的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，可以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邮寄送达或者委托其他执法部门代为送达。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邮寄送达的，以回执上注明的收件日期为送达日期。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方正楷体_GBK" w:hAnsi="方正楷体_GBK" w:eastAsia="方正楷体_GBK" w:cs="方正楷体_GBK"/>
          <w:color w:val="auto"/>
          <w:kern w:val="0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color w:val="auto"/>
          <w:kern w:val="0"/>
          <w:sz w:val="32"/>
          <w:szCs w:val="32"/>
        </w:rPr>
        <w:t>（三）执行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当事人逾期不履行行政处罚决定的，作出行政处罚决定的行政主管部门可以采取下列措施：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1．到期不缴纳罚款的，每日按罚款数额的百分之三加处罚款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eastAsia="zh-CN"/>
        </w:rPr>
        <w:t>，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加处罚款的数额不得超出罚款的数额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；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2．根据法律规定，将查封、扣押的财物拍卖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eastAsia="zh-CN"/>
        </w:rPr>
        <w:t>、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依法处理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或者将冻结的存款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eastAsia="zh-CN"/>
        </w:rPr>
        <w:t>、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汇款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划拨抵缴罚款；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3．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根据法律规定，采取其他行政强制执行方式；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 xml:space="preserve">4. 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申请人民法院强制执行。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当事人确有经济困难，需要延期或者分期缴纳罚款的，经当事人申请和作出处罚决定的行政主管部门审查批准，可以暂缓或者分期缴纳。</w:t>
      </w:r>
    </w:p>
    <w:p>
      <w:pPr>
        <w:keepNext w:val="0"/>
        <w:keepLines w:val="0"/>
        <w:pageBreakBefore w:val="0"/>
        <w:widowControl/>
        <w:numPr>
          <w:ilvl w:val="0"/>
          <w:numId w:val="3"/>
        </w:numPr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lang w:val="en-US" w:eastAsia="zh-CN"/>
        </w:rPr>
      </w:pP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  <w:t>投诉举报电话</w:t>
      </w: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lang w:eastAsia="zh-CN"/>
        </w:rPr>
        <w:t>：（</w:t>
      </w: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lang w:val="en-US" w:eastAsia="zh-CN"/>
        </w:rPr>
        <w:t>023</w:t>
      </w: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lang w:eastAsia="zh-CN"/>
        </w:rPr>
        <w:t>）</w:t>
      </w: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  <w:lang w:val="en-US" w:eastAsia="zh-CN"/>
        </w:rPr>
        <w:t>70722323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color w:val="auto"/>
          <w:kern w:val="0"/>
          <w:sz w:val="32"/>
          <w:szCs w:val="32"/>
        </w:rPr>
        <w:t>七、救济途径</w:t>
      </w:r>
    </w:p>
    <w:p>
      <w:pPr>
        <w:keepNext w:val="0"/>
        <w:keepLines w:val="0"/>
        <w:pageBreakBefore w:val="0"/>
        <w:widowControl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1．自接到决定书之日起60日内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向</w:t>
      </w:r>
      <w:bookmarkStart w:id="1" w:name="_GoBack"/>
      <w:bookmarkEnd w:id="1"/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重庆市丰都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县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人民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政府申请行政复议；</w:t>
      </w:r>
    </w:p>
    <w:p>
      <w:pPr>
        <w:pStyle w:val="9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="0" w:beforeAutospacing="0" w:after="160" w:afterAutospacing="0" w:line="560" w:lineRule="exact"/>
        <w:ind w:right="0" w:firstLine="640" w:firstLineChars="200"/>
        <w:textAlignment w:val="auto"/>
        <w:rPr>
          <w:rFonts w:ascii="方正仿宋_GBK" w:hAnsi="方正仿宋_GBK" w:eastAsia="方正仿宋_GBK" w:cs="方正仿宋_GBK"/>
          <w:i w:val="0"/>
          <w:iCs w:val="0"/>
          <w:caps w:val="0"/>
          <w:color w:val="333333"/>
          <w:spacing w:val="0"/>
          <w:sz w:val="32"/>
          <w:szCs w:val="32"/>
          <w:shd w:val="clear" w:fill="FFFFFF"/>
        </w:rPr>
      </w:pP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2．六个月内向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重庆市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涪陵区人民法院</w:t>
      </w:r>
      <w:r>
        <w:rPr>
          <w:rFonts w:hint="eastAsia" w:ascii="Times New Roman" w:hAnsi="Times New Roman" w:eastAsia="方正仿宋_GBK" w:cs="Times New Roman"/>
          <w:color w:val="auto"/>
          <w:kern w:val="0"/>
          <w:sz w:val="32"/>
          <w:szCs w:val="32"/>
          <w:lang w:val="en-US" w:eastAsia="zh-CN"/>
        </w:rPr>
        <w:t>提起行政诉讼</w:t>
      </w:r>
      <w:r>
        <w:rPr>
          <w:rFonts w:hint="default" w:ascii="Times New Roman" w:hAnsi="Times New Roman" w:eastAsia="方正仿宋_GBK" w:cs="Times New Roman"/>
          <w:color w:val="auto"/>
          <w:kern w:val="0"/>
          <w:sz w:val="32"/>
          <w:szCs w:val="32"/>
        </w:rPr>
        <w:t>。</w:t>
      </w:r>
    </w:p>
    <w:sectPr>
      <w:pgSz w:w="11906" w:h="16838"/>
      <w:pgMar w:top="1814" w:right="1418" w:bottom="1701" w:left="141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BD6D7C9D-DA7C-4546-A19E-4A8D82B3931A}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  <w:embedRegular r:id="rId2" w:fontKey="{853B7E45-C0FB-48B5-8EFF-DCDF4BA77245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99A76A83-2312-4351-B2F5-6850164FAB47}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  <w:embedRegular r:id="rId4" w:fontKey="{B7B6A78D-6DB9-41DF-A934-D9DA0FA9162B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27CFA760-2B6C-468C-B26B-64895450DCDB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1BE85370-A5AA-4330-85C6-D3131292176B}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  <w:embedRegular r:id="rId7" w:fontKey="{1F1AB788-5A36-4B65-AB12-2A6F2F242E1E}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8" w:fontKey="{508D4198-BC62-4EB8-A301-1798C00BC927}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9" w:fontKey="{4A9FA873-6391-49BE-A2A6-60FAF6EA3395}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10" w:fontKey="{F50D94FD-A9F0-4CC6-83F3-F705FA68B0C7}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1" w:fontKey="{212F896B-495D-4442-9EF7-40925552EA23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BC45C95B"/>
    <w:multiLevelType w:val="singleLevel"/>
    <w:tmpl w:val="BC45C95B"/>
    <w:lvl w:ilvl="0" w:tentative="0">
      <w:start w:val="6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13F8A32"/>
    <w:multiLevelType w:val="singleLevel"/>
    <w:tmpl w:val="313F8A32"/>
    <w:lvl w:ilvl="0" w:tentative="0">
      <w:start w:val="6"/>
      <w:numFmt w:val="decimal"/>
      <w:suff w:val="space"/>
      <w:lvlText w:val="%1."/>
      <w:lvlJc w:val="left"/>
    </w:lvl>
  </w:abstractNum>
  <w:abstractNum w:abstractNumId="2">
    <w:nsid w:val="71A27DD4"/>
    <w:multiLevelType w:val="singleLevel"/>
    <w:tmpl w:val="71A27DD4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TrueTypeFonts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A5NGJkMmI4ZTg5Njg5OGVlYWQyMzAzYmIyNDY5NDEifQ=="/>
    <w:docVar w:name="KSO_WPS_MARK_KEY" w:val="a0b3c03b-9514-4894-b3eb-f38c178bbad2"/>
  </w:docVars>
  <w:rsids>
    <w:rsidRoot w:val="489725FA"/>
    <w:rsid w:val="00031473"/>
    <w:rsid w:val="00463C3D"/>
    <w:rsid w:val="00716A7E"/>
    <w:rsid w:val="007C66EE"/>
    <w:rsid w:val="008B3386"/>
    <w:rsid w:val="00A82CB1"/>
    <w:rsid w:val="00A937FE"/>
    <w:rsid w:val="00E358A8"/>
    <w:rsid w:val="00E8406C"/>
    <w:rsid w:val="00EA5C06"/>
    <w:rsid w:val="0808754A"/>
    <w:rsid w:val="080C4E30"/>
    <w:rsid w:val="0A02096A"/>
    <w:rsid w:val="0AB52487"/>
    <w:rsid w:val="0B3668EC"/>
    <w:rsid w:val="0B9534C0"/>
    <w:rsid w:val="0C3C74A4"/>
    <w:rsid w:val="0CB9190B"/>
    <w:rsid w:val="121D5C3C"/>
    <w:rsid w:val="1439415C"/>
    <w:rsid w:val="1D7012D4"/>
    <w:rsid w:val="1EB737C6"/>
    <w:rsid w:val="200415EB"/>
    <w:rsid w:val="22394A78"/>
    <w:rsid w:val="25B805AA"/>
    <w:rsid w:val="26F86C44"/>
    <w:rsid w:val="28C906A9"/>
    <w:rsid w:val="2A83466C"/>
    <w:rsid w:val="305013A8"/>
    <w:rsid w:val="34505A4D"/>
    <w:rsid w:val="355423C7"/>
    <w:rsid w:val="37A7401E"/>
    <w:rsid w:val="3D1D2FFF"/>
    <w:rsid w:val="43101946"/>
    <w:rsid w:val="43657D48"/>
    <w:rsid w:val="489725FA"/>
    <w:rsid w:val="48F31366"/>
    <w:rsid w:val="4CD74CE6"/>
    <w:rsid w:val="537A61AB"/>
    <w:rsid w:val="5AB46D14"/>
    <w:rsid w:val="5B9305EA"/>
    <w:rsid w:val="61030F8F"/>
    <w:rsid w:val="641E79F6"/>
    <w:rsid w:val="6CFC69CA"/>
    <w:rsid w:val="6F133EE6"/>
    <w:rsid w:val="70335A5D"/>
    <w:rsid w:val="707B6D2D"/>
    <w:rsid w:val="7F0A4561"/>
    <w:rsid w:val="F3FB27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qFormat="1"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spacing w:line="576" w:lineRule="auto"/>
      <w:outlineLvl w:val="0"/>
    </w:pPr>
    <w:rPr>
      <w:b/>
      <w:kern w:val="44"/>
      <w:sz w:val="44"/>
    </w:rPr>
  </w:style>
  <w:style w:type="paragraph" w:styleId="4">
    <w:name w:val="heading 2"/>
    <w:basedOn w:val="1"/>
    <w:next w:val="1"/>
    <w:qFormat/>
    <w:uiPriority w:val="0"/>
    <w:pPr>
      <w:keepNext/>
      <w:keepLines/>
      <w:spacing w:before="260" w:after="260" w:line="415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2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7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index 6"/>
    <w:basedOn w:val="1"/>
    <w:next w:val="1"/>
    <w:qFormat/>
    <w:uiPriority w:val="0"/>
    <w:pPr>
      <w:ind w:left="2100"/>
    </w:pPr>
  </w:style>
  <w:style w:type="paragraph" w:styleId="6">
    <w:name w:val="Body Text"/>
    <w:basedOn w:val="1"/>
    <w:next w:val="1"/>
    <w:qFormat/>
    <w:uiPriority w:val="99"/>
    <w:pPr>
      <w:spacing w:after="120" w:line="240" w:lineRule="atLeast"/>
    </w:pPr>
    <w:rPr>
      <w:rFonts w:ascii="Times New Roman" w:hAnsi="Times New Roman" w:eastAsia="仿宋_GB2312"/>
      <w:spacing w:val="-6"/>
      <w:szCs w:val="20"/>
    </w:rPr>
  </w:style>
  <w:style w:type="paragraph" w:styleId="7">
    <w:name w:val="header"/>
    <w:basedOn w:val="1"/>
    <w:link w:val="16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toc 1"/>
    <w:basedOn w:val="1"/>
    <w:next w:val="1"/>
    <w:qFormat/>
    <w:uiPriority w:val="0"/>
  </w:style>
  <w:style w:type="paragraph" w:styleId="9">
    <w:name w:val="Normal (Web)"/>
    <w:basedOn w:val="1"/>
    <w:qFormat/>
    <w:uiPriority w:val="0"/>
    <w:pPr>
      <w:keepNext w:val="0"/>
      <w:keepLines w:val="0"/>
      <w:pageBreakBefore w:val="0"/>
      <w:widowControl/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hd w:val="clear" w:color="auto" w:fill="auto"/>
      <w:suppressAutoHyphens w:val="0"/>
      <w:kinsoku/>
      <w:wordWrap/>
      <w:overflowPunct/>
      <w:topLinePunct w:val="0"/>
      <w:autoSpaceDE/>
      <w:autoSpaceDN/>
      <w:bidi w:val="0"/>
      <w:adjustRightInd/>
      <w:snapToGrid/>
      <w:spacing w:before="0" w:beforeAutospacing="0" w:after="0" w:afterAutospacing="0" w:line="240" w:lineRule="auto"/>
      <w:ind w:left="0" w:right="0" w:firstLine="0"/>
      <w:contextualSpacing w:val="0"/>
      <w:jc w:val="left"/>
      <w:textAlignment w:val="auto"/>
      <w:outlineLvl w:val="9"/>
    </w:pPr>
    <w:rPr>
      <w:rFonts w:ascii="宋体" w:hAnsi="Times New Roman" w:eastAsia="宋体" w:cs="宋体"/>
      <w:snapToGrid/>
      <w:color w:val="auto"/>
      <w:spacing w:val="0"/>
      <w:w w:val="100"/>
      <w:kern w:val="0"/>
      <w:position w:val="0"/>
      <w:sz w:val="24"/>
      <w:szCs w:val="24"/>
      <w:u w:val="none" w:color="auto"/>
      <w:shd w:val="clear" w:color="auto" w:fill="auto"/>
      <w:vertAlign w:val="baseline"/>
      <w:lang w:val="en-US" w:eastAsia="zh-CN" w:bidi="ar-SA"/>
    </w:rPr>
  </w:style>
  <w:style w:type="table" w:styleId="11">
    <w:name w:val="Table Grid"/>
    <w:basedOn w:val="10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3">
    <w:name w:val="Hyperlink"/>
    <w:basedOn w:val="12"/>
    <w:qFormat/>
    <w:uiPriority w:val="0"/>
    <w:rPr>
      <w:color w:val="0000FF"/>
      <w:u w:val="single"/>
    </w:rPr>
  </w:style>
  <w:style w:type="paragraph" w:customStyle="1" w:styleId="14">
    <w:name w:val="样式1"/>
    <w:basedOn w:val="8"/>
    <w:next w:val="8"/>
    <w:qFormat/>
    <w:uiPriority w:val="0"/>
    <w:pPr>
      <w:widowControl/>
      <w:shd w:val="clear" w:color="auto" w:fill="FFFFFF"/>
      <w:spacing w:line="560" w:lineRule="exact"/>
    </w:pPr>
    <w:rPr>
      <w:rFonts w:ascii="Times New Roman" w:hAnsi="Times New Roman" w:eastAsia="方正小标宋_GBK"/>
      <w:b/>
      <w:sz w:val="44"/>
      <w:szCs w:val="44"/>
      <w:shd w:val="clear" w:color="auto" w:fill="FFFFFF"/>
    </w:rPr>
  </w:style>
  <w:style w:type="character" w:customStyle="1" w:styleId="15">
    <w:name w:val="font01"/>
    <w:basedOn w:val="12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16">
    <w:name w:val="页眉 字符"/>
    <w:basedOn w:val="12"/>
    <w:link w:val="7"/>
    <w:qFormat/>
    <w:uiPriority w:val="0"/>
    <w:rPr>
      <w:kern w:val="2"/>
      <w:sz w:val="18"/>
      <w:szCs w:val="18"/>
    </w:rPr>
  </w:style>
  <w:style w:type="character" w:customStyle="1" w:styleId="17">
    <w:name w:val="页脚 字符"/>
    <w:basedOn w:val="12"/>
    <w:link w:val="2"/>
    <w:qFormat/>
    <w:uiPriority w:val="0"/>
    <w:rPr>
      <w:kern w:val="2"/>
      <w:sz w:val="18"/>
      <w:szCs w:val="18"/>
    </w:rPr>
  </w:style>
  <w:style w:type="paragraph" w:customStyle="1" w:styleId="18">
    <w:name w:val="p0"/>
    <w:next w:val="5"/>
    <w:qFormat/>
    <w:uiPriority w:val="0"/>
    <w:pPr>
      <w:keepNext w:val="0"/>
      <w:keepLines w:val="0"/>
      <w:pageBreakBefore w:val="0"/>
      <w:widowControl/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hd w:val="clear" w:color="auto" w:fill="auto"/>
      <w:suppressAutoHyphens w:val="0"/>
      <w:kinsoku/>
      <w:wordWrap/>
      <w:overflowPunct/>
      <w:topLinePunct w:val="0"/>
      <w:autoSpaceDE/>
      <w:autoSpaceDN/>
      <w:bidi w:val="0"/>
      <w:adjustRightInd/>
      <w:snapToGrid/>
      <w:spacing w:before="0" w:beforeAutospacing="0" w:after="0" w:afterAutospacing="0" w:line="240" w:lineRule="auto"/>
      <w:ind w:left="0" w:right="0" w:firstLine="0"/>
      <w:contextualSpacing w:val="0"/>
      <w:jc w:val="both"/>
      <w:textAlignment w:val="auto"/>
      <w:outlineLvl w:val="9"/>
    </w:pPr>
    <w:rPr>
      <w:rFonts w:ascii="Times New Roman" w:hAnsi="Times New Roman" w:eastAsia="宋体" w:cs="宋体"/>
      <w:snapToGrid/>
      <w:color w:val="auto"/>
      <w:spacing w:val="0"/>
      <w:w w:val="100"/>
      <w:kern w:val="0"/>
      <w:position w:val="0"/>
      <w:sz w:val="21"/>
      <w:szCs w:val="21"/>
      <w:u w:val="none" w:color="auto"/>
      <w:shd w:val="clear" w:color="auto" w:fill="auto"/>
      <w:vertAlign w:val="baseline"/>
      <w:lang w:val="en-US" w:eastAsia="zh-CN" w:bidi="ar-SA"/>
    </w:rPr>
  </w:style>
  <w:style w:type="paragraph" w:customStyle="1" w:styleId="19">
    <w:name w:val="tit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paragraph" w:customStyle="1" w:styleId="20">
    <w:name w:val="Default"/>
    <w:basedOn w:val="1"/>
    <w:qFormat/>
    <w:uiPriority w:val="0"/>
    <w:pPr>
      <w:autoSpaceDE w:val="0"/>
      <w:autoSpaceDN w:val="0"/>
      <w:adjustRightInd w:val="0"/>
      <w:jc w:val="left"/>
    </w:pPr>
    <w:rPr>
      <w:rFonts w:ascii="仿宋_GB2312" w:eastAsia="仿宋_GB2312" w:cs="宋体"/>
      <w:color w:val="000000"/>
      <w:kern w:val="0"/>
      <w:sz w:val="24"/>
      <w:szCs w:val="24"/>
    </w:rPr>
  </w:style>
  <w:style w:type="paragraph" w:styleId="21">
    <w:name w:val="List Paragraph"/>
    <w:basedOn w:val="1"/>
    <w:qFormat/>
    <w:uiPriority w:val="1"/>
    <w:pPr>
      <w:spacing w:before="85"/>
      <w:ind w:left="1352" w:hanging="481"/>
    </w:pPr>
    <w:rPr>
      <w:rFonts w:ascii="方正仿宋_GBK" w:hAnsi="方正仿宋_GBK" w:eastAsia="方正仿宋_GBK" w:cs="方正仿宋_GBK"/>
      <w:lang w:val="zh-CN" w:bidi="zh-CN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numbering" Target="numbering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9</Pages>
  <Words>2238</Words>
  <Characters>2842</Characters>
  <Lines>4</Lines>
  <Paragraphs>1</Paragraphs>
  <TotalTime>35</TotalTime>
  <ScaleCrop>false</ScaleCrop>
  <LinksUpToDate>false</LinksUpToDate>
  <CharactersWithSpaces>2925</CharactersWithSpaces>
  <Application>WPS Office_11.3.0.9228_F1E327BC-269C-435d-A152-05C5408002CA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2023-10-20T15:14:00Z</dcterms:created>
  <dc:creator>作者</dc:creator>
  <cp:lastModifiedBy>曼宁</cp:lastModifiedBy>
  <cp:lastPrinted>2024-07-19T01:45:00Z</cp:lastPrinted>
  <dcterms:modified xsi:type="dcterms:W3CDTF">2024-07-19T07:35:59Z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2052-11.3.0.9228</vt:lpwstr>
  </property>
  <property fmtid="{D5CDD505-2E9C-101B-9397-08002B2CF9AE}" pid="3" name="ICV">
    <vt:lpwstr>27742FDB71D64DB4A58355F50DA4DA47_13</vt:lpwstr>
  </property>
</Properties>
</file>