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丰都县交通局</w:t>
      </w:r>
    </w:p>
    <w:p>
      <w:pPr>
        <w:spacing w:line="590" w:lineRule="exact"/>
        <w:jc w:val="center"/>
        <w:rPr>
          <w:rFonts w:hint="eastAsia" w:ascii="方正小标宋_GBK" w:hAnsi="方正小标宋简体" w:eastAsia="方正小标宋_GBK" w:cs="方正小标宋简体"/>
          <w:sz w:val="44"/>
          <w:szCs w:val="44"/>
        </w:rPr>
      </w:pPr>
      <w:bookmarkStart w:id="0" w:name="_Hlk164177452"/>
      <w:r>
        <w:rPr>
          <w:rFonts w:hint="eastAsia" w:ascii="方正小标宋_GBK" w:hAnsi="方正小标宋简体" w:eastAsia="方正小标宋_GBK" w:cs="方正小标宋简体"/>
          <w:sz w:val="44"/>
          <w:szCs w:val="44"/>
        </w:rPr>
        <w:t>2023年度部门整体绩效自评</w:t>
      </w:r>
      <w:bookmarkEnd w:id="0"/>
      <w:r>
        <w:rPr>
          <w:rFonts w:hint="eastAsia" w:ascii="方正小标宋_GBK" w:hAnsi="方正小标宋简体" w:eastAsia="方正小标宋_GBK" w:cs="方正小标宋简体"/>
          <w:sz w:val="44"/>
          <w:szCs w:val="44"/>
        </w:rPr>
        <w:t>报告</w:t>
      </w:r>
    </w:p>
    <w:p>
      <w:pPr>
        <w:spacing w:line="590" w:lineRule="exact"/>
        <w:jc w:val="center"/>
        <w:rPr>
          <w:rFonts w:hint="eastAsia" w:ascii="方正小标宋_GBK" w:hAnsi="方正小标宋简体" w:eastAsia="方正小标宋_GBK" w:cs="方正小标宋简体"/>
          <w:sz w:val="44"/>
          <w:szCs w:val="44"/>
        </w:rPr>
      </w:pP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为进一步规范和加强预算资金管理，提高财政资金使用绩效，根据《丰都县财政局关于开展2023年预算绩效自评工作的通知》（丰都财政发〔2024〕15号）相关要求，我局成立绩效评价工作小组，自2024年3月25日起对部门整体支出情况开展了绩效自评。现将有关情况报告如下：</w:t>
      </w:r>
    </w:p>
    <w:p>
      <w:pPr>
        <w:autoSpaceDN w:val="0"/>
        <w:adjustRightInd w:val="0"/>
        <w:spacing w:line="240" w:lineRule="auto"/>
        <w:ind w:firstLine="628" w:firstLineChars="200"/>
        <w:rPr>
          <w:rFonts w:ascii="方正仿宋_GBK" w:hAnsi="仿宋_GB2312" w:eastAsia="方正仿宋_GBK" w:cs="仿宋_GB2312"/>
          <w:szCs w:val="32"/>
        </w:rPr>
      </w:pPr>
      <w:r>
        <w:rPr>
          <w:rFonts w:hint="eastAsia" w:ascii="黑体" w:hAnsi="黑体" w:eastAsia="黑体" w:cs="仿宋_GB2312"/>
          <w:szCs w:val="32"/>
        </w:rPr>
        <w:t>一、基本情况</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我局是执行公务员法管理的正科级行政单位，业务上归属市交通局管理。</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（一）职能职责</w:t>
      </w:r>
    </w:p>
    <w:p>
      <w:pPr>
        <w:autoSpaceDN w:val="0"/>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1.</w:t>
      </w:r>
      <w:r>
        <w:rPr>
          <w:rFonts w:hint="eastAsia" w:ascii="方正仿宋_GBK" w:hAnsi="仿宋_GB2312" w:eastAsia="方正仿宋_GBK" w:cs="仿宋_GB2312"/>
          <w:szCs w:val="32"/>
        </w:rPr>
        <w:t>贯彻执行交通运输法律、法规、规章和方针政策根据国民经济和社会发展需要，拟订全县铁路、公路、水路、民航及邮政行业发展政策，并经批准后监督实施。</w:t>
      </w:r>
    </w:p>
    <w:p>
      <w:pPr>
        <w:autoSpaceDN w:val="0"/>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2.</w:t>
      </w:r>
      <w:r>
        <w:rPr>
          <w:rFonts w:hint="eastAsia" w:ascii="方正仿宋_GBK" w:hAnsi="仿宋_GB2312" w:eastAsia="方正仿宋_GBK" w:cs="仿宋_GB2312"/>
          <w:szCs w:val="32"/>
        </w:rPr>
        <w:t>推进综合交通运输体系建设，统筹平衡、组织拟订全县铁路、公路、水路、民航及邮政行业的发展规划和年度计划。</w:t>
      </w:r>
    </w:p>
    <w:p>
      <w:pPr>
        <w:autoSpaceDN w:val="0"/>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3.</w:t>
      </w:r>
      <w:r>
        <w:rPr>
          <w:rFonts w:hint="eastAsia" w:ascii="方正仿宋_GBK" w:hAnsi="仿宋_GB2312" w:eastAsia="方正仿宋_GBK" w:cs="仿宋_GB2312"/>
          <w:szCs w:val="32"/>
        </w:rPr>
        <w:t>负责提出铁路、公路、水路、民航及邮政行业投资规模和方向、财政性资金安排意见，参与铁路投融资体制改革。</w:t>
      </w:r>
    </w:p>
    <w:p>
      <w:pPr>
        <w:autoSpaceDN w:val="0"/>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4.</w:t>
      </w:r>
      <w:r>
        <w:rPr>
          <w:rFonts w:hint="eastAsia" w:ascii="方正仿宋_GBK" w:hAnsi="仿宋_GB2312" w:eastAsia="方正仿宋_GBK" w:cs="仿宋_GB2312"/>
          <w:szCs w:val="32"/>
        </w:rPr>
        <w:t>负责铁路、公路、水路、民航及邮政行业管理和综合运输体系组织管理。</w:t>
      </w:r>
    </w:p>
    <w:p>
      <w:pPr>
        <w:autoSpaceDN w:val="0"/>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5.</w:t>
      </w:r>
      <w:r>
        <w:rPr>
          <w:rFonts w:hint="eastAsia" w:ascii="方正仿宋_GBK" w:hAnsi="仿宋_GB2312" w:eastAsia="方正仿宋_GBK" w:cs="仿宋_GB2312"/>
          <w:szCs w:val="32"/>
        </w:rPr>
        <w:t>负责全县道路运输的行业管理，对旅客运输、道路货物运输、搬运装卸、运输服务、汽车维修市场、车辆技术、机动车驾驶员培训及驾驶培训学校的行业管理。</w:t>
      </w:r>
    </w:p>
    <w:p>
      <w:pPr>
        <w:autoSpaceDN w:val="0"/>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6.</w:t>
      </w:r>
      <w:r>
        <w:rPr>
          <w:rFonts w:hint="eastAsia" w:ascii="方正仿宋_GBK" w:hAnsi="仿宋_GB2312" w:eastAsia="方正仿宋_GBK" w:cs="仿宋_GB2312"/>
          <w:szCs w:val="32"/>
        </w:rPr>
        <w:t>负责全县地方港口、码头、航道的规划、建设、养护、维修和管理工作；负责全县地方水上交通安全的监督管理。</w:t>
      </w:r>
    </w:p>
    <w:p>
      <w:pPr>
        <w:autoSpaceDN w:val="0"/>
        <w:adjustRightInd w:val="0"/>
        <w:spacing w:line="240" w:lineRule="auto"/>
        <w:ind w:firstLine="652" w:firstLineChars="200"/>
        <w:rPr>
          <w:rFonts w:eastAsia="方正仿宋_GBK"/>
          <w:spacing w:val="0"/>
          <w:szCs w:val="32"/>
        </w:rPr>
      </w:pPr>
      <w:r>
        <w:rPr>
          <w:rFonts w:hint="eastAsia" w:eastAsia="方正仿宋_GBK"/>
          <w:spacing w:val="0"/>
          <w:szCs w:val="32"/>
        </w:rPr>
        <w:t>（二）机构设置及人员情况</w:t>
      </w:r>
    </w:p>
    <w:p>
      <w:pPr>
        <w:autoSpaceDN w:val="0"/>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我局下设直属机构</w:t>
      </w:r>
      <w:r>
        <w:rPr>
          <w:rFonts w:hint="eastAsia" w:eastAsia="方正仿宋_GBK"/>
          <w:spacing w:val="0"/>
          <w:szCs w:val="32"/>
        </w:rPr>
        <w:t>7</w:t>
      </w:r>
      <w:r>
        <w:rPr>
          <w:rFonts w:hint="eastAsia" w:ascii="方正仿宋_GBK" w:hAnsi="仿宋_GB2312" w:eastAsia="方正仿宋_GBK" w:cs="仿宋_GB2312"/>
          <w:szCs w:val="32"/>
        </w:rPr>
        <w:t>个，即：县渡口管理所、县公路事务中心、县道路运输事务中心、县港航海事事务中心、县交通工程质量服务中心、县大桥管理事务中心、县交通运输综合行政执法支队。截</w:t>
      </w:r>
      <w:r>
        <w:rPr>
          <w:rFonts w:hint="eastAsia" w:ascii="方正仿宋_GBK" w:hAnsi="仿宋_GB2312" w:eastAsia="方正仿宋_GBK" w:cs="仿宋_GB2312"/>
          <w:szCs w:val="32"/>
          <w:lang w:val="en-US" w:eastAsia="zh-CN"/>
        </w:rPr>
        <w:t>至</w:t>
      </w:r>
      <w:r>
        <w:rPr>
          <w:rFonts w:hint="eastAsia" w:eastAsia="方正仿宋_GBK"/>
          <w:spacing w:val="0"/>
          <w:szCs w:val="32"/>
        </w:rPr>
        <w:t>2023</w:t>
      </w:r>
      <w:r>
        <w:rPr>
          <w:rFonts w:hint="eastAsia" w:ascii="方正仿宋_GBK" w:hAnsi="仿宋_GB2312" w:eastAsia="方正仿宋_GBK" w:cs="仿宋_GB2312"/>
          <w:szCs w:val="32"/>
        </w:rPr>
        <w:t>年</w:t>
      </w:r>
      <w:r>
        <w:rPr>
          <w:rFonts w:hint="eastAsia" w:eastAsia="方正仿宋_GBK"/>
          <w:spacing w:val="0"/>
          <w:szCs w:val="32"/>
        </w:rPr>
        <w:t>12</w:t>
      </w:r>
      <w:r>
        <w:rPr>
          <w:rFonts w:hint="eastAsia" w:ascii="方正仿宋_GBK" w:hAnsi="仿宋_GB2312" w:eastAsia="方正仿宋_GBK" w:cs="仿宋_GB2312"/>
          <w:szCs w:val="32"/>
        </w:rPr>
        <w:t>月实有在职人员</w:t>
      </w:r>
      <w:r>
        <w:rPr>
          <w:rFonts w:hint="eastAsia" w:eastAsia="方正仿宋_GBK"/>
          <w:spacing w:val="0"/>
          <w:szCs w:val="32"/>
        </w:rPr>
        <w:t>228</w:t>
      </w:r>
      <w:r>
        <w:rPr>
          <w:rFonts w:hint="eastAsia" w:ascii="方正仿宋_GBK" w:hAnsi="仿宋_GB2312" w:eastAsia="方正仿宋_GBK" w:cs="仿宋_GB2312"/>
          <w:szCs w:val="32"/>
        </w:rPr>
        <w:t>人，其中：参公管理人员</w:t>
      </w:r>
      <w:r>
        <w:rPr>
          <w:rFonts w:hint="eastAsia" w:eastAsia="方正仿宋_GBK"/>
          <w:spacing w:val="0"/>
          <w:szCs w:val="32"/>
        </w:rPr>
        <w:t>9</w:t>
      </w:r>
      <w:r>
        <w:rPr>
          <w:rFonts w:hint="eastAsia" w:ascii="方正仿宋_GBK" w:hAnsi="仿宋_GB2312" w:eastAsia="方正仿宋_GBK" w:cs="仿宋_GB2312"/>
          <w:szCs w:val="32"/>
        </w:rPr>
        <w:t>人，非参公管理人员</w:t>
      </w:r>
      <w:r>
        <w:rPr>
          <w:rFonts w:hint="eastAsia" w:eastAsia="方正仿宋_GBK"/>
          <w:spacing w:val="0"/>
          <w:szCs w:val="32"/>
        </w:rPr>
        <w:t>219</w:t>
      </w:r>
      <w:r>
        <w:rPr>
          <w:rFonts w:hint="eastAsia" w:ascii="方正仿宋_GBK" w:hAnsi="仿宋_GB2312" w:eastAsia="方正仿宋_GBK" w:cs="仿宋_GB2312"/>
          <w:szCs w:val="32"/>
        </w:rPr>
        <w:t>人（事业管理人员</w:t>
      </w:r>
      <w:r>
        <w:rPr>
          <w:rFonts w:hint="eastAsia" w:eastAsia="方正仿宋_GBK"/>
          <w:spacing w:val="0"/>
          <w:szCs w:val="32"/>
        </w:rPr>
        <w:t>69</w:t>
      </w:r>
      <w:r>
        <w:rPr>
          <w:rFonts w:hint="eastAsia" w:ascii="方正仿宋_GBK" w:hAnsi="仿宋_GB2312" w:eastAsia="方正仿宋_GBK" w:cs="仿宋_GB2312"/>
          <w:szCs w:val="32"/>
        </w:rPr>
        <w:t>人，工勤人</w:t>
      </w:r>
      <w:r>
        <w:rPr>
          <w:rFonts w:hint="eastAsia" w:eastAsia="方正仿宋_GBK"/>
          <w:spacing w:val="0"/>
          <w:szCs w:val="32"/>
        </w:rPr>
        <w:t>员72</w:t>
      </w:r>
      <w:r>
        <w:rPr>
          <w:rFonts w:hint="eastAsia" w:ascii="方正仿宋_GBK" w:hAnsi="仿宋_GB2312" w:eastAsia="方正仿宋_GBK" w:cs="仿宋_GB2312"/>
          <w:szCs w:val="32"/>
        </w:rPr>
        <w:t>人）。</w:t>
      </w:r>
    </w:p>
    <w:p>
      <w:pPr>
        <w:autoSpaceDN w:val="0"/>
        <w:adjustRightInd w:val="0"/>
        <w:spacing w:line="240" w:lineRule="auto"/>
        <w:ind w:firstLine="628" w:firstLineChars="200"/>
        <w:rPr>
          <w:rFonts w:ascii="方正仿宋_GBK" w:hAnsi="仿宋_GB2312" w:eastAsia="方正仿宋_GBK" w:cs="仿宋_GB2312"/>
          <w:szCs w:val="32"/>
        </w:rPr>
      </w:pPr>
      <w:r>
        <w:rPr>
          <w:rFonts w:hint="eastAsia" w:ascii="黑体" w:hAnsi="黑体" w:eastAsia="黑体" w:cs="仿宋_GB2312"/>
          <w:szCs w:val="32"/>
        </w:rPr>
        <w:t>二、一般公共预算支出情况</w:t>
      </w:r>
    </w:p>
    <w:p>
      <w:pPr>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2023</w:t>
      </w:r>
      <w:r>
        <w:rPr>
          <w:rFonts w:hint="eastAsia" w:ascii="方正仿宋_GBK" w:hAnsi="仿宋_GB2312" w:eastAsia="方正仿宋_GBK" w:cs="仿宋_GB2312"/>
          <w:szCs w:val="32"/>
        </w:rPr>
        <w:t>年度一般公共预算总收入</w:t>
      </w:r>
      <w:r>
        <w:rPr>
          <w:rFonts w:hint="eastAsia" w:eastAsia="方正仿宋_GBK"/>
          <w:spacing w:val="0"/>
          <w:szCs w:val="32"/>
        </w:rPr>
        <w:t>61074.37</w:t>
      </w:r>
      <w:r>
        <w:rPr>
          <w:rFonts w:hint="eastAsia" w:ascii="方正仿宋_GBK" w:hAnsi="仿宋_GB2312" w:eastAsia="方正仿宋_GBK" w:cs="仿宋_GB2312"/>
          <w:szCs w:val="32"/>
        </w:rPr>
        <w:t>万元，其中：</w:t>
      </w:r>
      <w:r>
        <w:rPr>
          <w:rFonts w:hint="eastAsia" w:eastAsia="方正仿宋_GBK"/>
          <w:spacing w:val="0"/>
          <w:szCs w:val="32"/>
        </w:rPr>
        <w:t>2023</w:t>
      </w:r>
      <w:r>
        <w:rPr>
          <w:rFonts w:hint="eastAsia" w:ascii="方正仿宋_GBK" w:hAnsi="仿宋_GB2312" w:eastAsia="方正仿宋_GBK" w:cs="仿宋_GB2312"/>
          <w:szCs w:val="32"/>
        </w:rPr>
        <w:t>年初批复预算</w:t>
      </w:r>
      <w:r>
        <w:rPr>
          <w:rFonts w:hint="eastAsia" w:eastAsia="方正仿宋_GBK"/>
          <w:spacing w:val="0"/>
          <w:szCs w:val="32"/>
        </w:rPr>
        <w:t>21698.09</w:t>
      </w:r>
      <w:r>
        <w:rPr>
          <w:rFonts w:hint="eastAsia" w:ascii="方正仿宋_GBK" w:hAnsi="仿宋_GB2312" w:eastAsia="方正仿宋_GBK" w:cs="仿宋_GB2312"/>
          <w:szCs w:val="32"/>
        </w:rPr>
        <w:t>万元，年中追加预算</w:t>
      </w:r>
      <w:r>
        <w:rPr>
          <w:rFonts w:hint="eastAsia" w:eastAsia="方正仿宋_GBK"/>
          <w:spacing w:val="0"/>
          <w:szCs w:val="32"/>
        </w:rPr>
        <w:t>39376.28</w:t>
      </w:r>
      <w:r>
        <w:rPr>
          <w:rFonts w:hint="eastAsia" w:ascii="方正仿宋_GBK" w:hAnsi="仿宋_GB2312" w:eastAsia="方正仿宋_GBK" w:cs="仿宋_GB2312"/>
          <w:szCs w:val="32"/>
        </w:rPr>
        <w:t>万元；</w:t>
      </w:r>
      <w:r>
        <w:rPr>
          <w:rFonts w:hint="eastAsia" w:eastAsia="方正仿宋_GBK"/>
          <w:spacing w:val="0"/>
          <w:szCs w:val="32"/>
        </w:rPr>
        <w:t>2023</w:t>
      </w:r>
      <w:r>
        <w:rPr>
          <w:rFonts w:hint="eastAsia" w:ascii="方正仿宋_GBK" w:hAnsi="仿宋_GB2312" w:eastAsia="方正仿宋_GBK" w:cs="仿宋_GB2312"/>
          <w:szCs w:val="32"/>
        </w:rPr>
        <w:t>年度一般公共预算支出</w:t>
      </w:r>
      <w:r>
        <w:rPr>
          <w:rFonts w:hint="eastAsia" w:eastAsia="方正仿宋_GBK"/>
          <w:spacing w:val="0"/>
          <w:szCs w:val="32"/>
        </w:rPr>
        <w:t>51861.3</w:t>
      </w:r>
      <w:r>
        <w:rPr>
          <w:rFonts w:hint="eastAsia" w:ascii="方正仿宋_GBK" w:hAnsi="仿宋_GB2312" w:eastAsia="方正仿宋_GBK" w:cs="仿宋_GB2312"/>
          <w:szCs w:val="32"/>
        </w:rPr>
        <w:t>万元，其中：基本支出</w:t>
      </w:r>
      <w:r>
        <w:rPr>
          <w:rFonts w:hint="eastAsia" w:eastAsia="方正仿宋_GBK"/>
          <w:spacing w:val="0"/>
          <w:szCs w:val="32"/>
        </w:rPr>
        <w:t>5980.63</w:t>
      </w:r>
      <w:r>
        <w:rPr>
          <w:rFonts w:hint="eastAsia" w:ascii="方正仿宋_GBK" w:hAnsi="仿宋_GB2312" w:eastAsia="方正仿宋_GBK" w:cs="仿宋_GB2312"/>
          <w:szCs w:val="32"/>
        </w:rPr>
        <w:t>万元、项目支出</w:t>
      </w:r>
      <w:r>
        <w:rPr>
          <w:rFonts w:hint="eastAsia" w:eastAsia="方正仿宋_GBK"/>
          <w:spacing w:val="0"/>
          <w:szCs w:val="32"/>
        </w:rPr>
        <w:t>45880.67</w:t>
      </w:r>
      <w:r>
        <w:rPr>
          <w:rFonts w:hint="eastAsia" w:ascii="方正仿宋_GBK" w:hAnsi="仿宋_GB2312" w:eastAsia="方正仿宋_GBK" w:cs="仿宋_GB2312"/>
          <w:szCs w:val="32"/>
        </w:rPr>
        <w:t>万元，具体情况如下：</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（一）基本支出情况</w:t>
      </w:r>
    </w:p>
    <w:p>
      <w:pPr>
        <w:adjustRightInd w:val="0"/>
        <w:spacing w:line="240" w:lineRule="auto"/>
        <w:ind w:firstLine="652" w:firstLineChars="200"/>
        <w:rPr>
          <w:rFonts w:eastAsia="方正仿宋_GBK"/>
          <w:spacing w:val="0"/>
          <w:szCs w:val="32"/>
        </w:rPr>
      </w:pPr>
      <w:r>
        <w:rPr>
          <w:rFonts w:hint="eastAsia" w:eastAsia="方正仿宋_GBK"/>
          <w:spacing w:val="0"/>
          <w:szCs w:val="32"/>
        </w:rPr>
        <w:t>2023年初预算基本支出为4940.79万元，年中追加520.97万元，年底指标收回518.87万元，全年预算为5980.63万元。</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（二）项目支出情况</w:t>
      </w:r>
    </w:p>
    <w:p>
      <w:pPr>
        <w:adjustRightInd w:val="0"/>
        <w:spacing w:line="240" w:lineRule="auto"/>
        <w:ind w:firstLine="628" w:firstLineChars="200"/>
        <w:rPr>
          <w:rFonts w:hint="eastAsia" w:ascii="方正仿宋_GBK" w:hAnsi="仿宋_GB2312" w:eastAsia="方正仿宋_GBK" w:cs="仿宋_GB2312"/>
          <w:szCs w:val="32"/>
        </w:rPr>
      </w:pPr>
      <w:r>
        <w:rPr>
          <w:rFonts w:hint="eastAsia" w:ascii="方正仿宋_GBK" w:hAnsi="仿宋_GB2312" w:eastAsia="方正仿宋_GBK" w:cs="仿宋_GB2312"/>
          <w:szCs w:val="32"/>
        </w:rPr>
        <w:t>项目支出是在基本支出和上级专项以外的为完成其特定的行政工作任务而发生的支出，主要为业务工作经费及交通运输发展类资金项目。</w:t>
      </w:r>
    </w:p>
    <w:p>
      <w:pPr>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2023年初预算项目支出为17408.11万元，年中追加42150.18万元，全年预算为595583.29万元。项目支出决算金额48081.22万元，执行率80.73%</w:t>
      </w:r>
      <w:r>
        <w:rPr>
          <w:rFonts w:hint="eastAsia" w:ascii="方正仿宋_GBK" w:hAnsi="仿宋_GB2312" w:eastAsia="方正仿宋_GBK" w:cs="仿宋_GB2312"/>
          <w:szCs w:val="32"/>
        </w:rPr>
        <w:t>。</w:t>
      </w:r>
    </w:p>
    <w:p>
      <w:pPr>
        <w:adjustRightInd w:val="0"/>
        <w:spacing w:line="240" w:lineRule="auto"/>
        <w:ind w:firstLine="628" w:firstLineChars="200"/>
        <w:rPr>
          <w:rFonts w:ascii="黑体" w:hAnsi="黑体" w:eastAsia="黑体" w:cs="仿宋_GB2312"/>
          <w:szCs w:val="32"/>
        </w:rPr>
      </w:pPr>
      <w:r>
        <w:rPr>
          <w:rFonts w:hint="eastAsia" w:ascii="黑体" w:hAnsi="黑体" w:eastAsia="黑体" w:cs="仿宋_GB2312"/>
          <w:szCs w:val="32"/>
        </w:rPr>
        <w:t>三、政府性基金预算支出情况</w:t>
      </w:r>
    </w:p>
    <w:p>
      <w:pPr>
        <w:adjustRightInd w:val="0"/>
        <w:spacing w:line="240" w:lineRule="auto"/>
        <w:ind w:firstLine="652" w:firstLineChars="200"/>
        <w:rPr>
          <w:rFonts w:eastAsia="方正仿宋_GBK"/>
          <w:spacing w:val="0"/>
          <w:szCs w:val="32"/>
        </w:rPr>
      </w:pPr>
      <w:r>
        <w:rPr>
          <w:rFonts w:hint="eastAsia" w:eastAsia="方正仿宋_GBK"/>
          <w:spacing w:val="0"/>
          <w:szCs w:val="32"/>
        </w:rPr>
        <w:t>2023</w:t>
      </w:r>
      <w:r>
        <w:rPr>
          <w:rFonts w:hint="eastAsia" w:ascii="方正仿宋_GBK" w:hAnsi="仿宋_GB2312" w:eastAsia="方正仿宋_GBK" w:cs="仿宋_GB2312"/>
          <w:szCs w:val="32"/>
        </w:rPr>
        <w:t>年度政府性基金预算总收入</w:t>
      </w:r>
      <w:r>
        <w:rPr>
          <w:rFonts w:hint="eastAsia" w:eastAsia="方正仿宋_GBK"/>
          <w:spacing w:val="0"/>
          <w:szCs w:val="32"/>
        </w:rPr>
        <w:t>4487.91</w:t>
      </w:r>
      <w:r>
        <w:rPr>
          <w:rFonts w:hint="eastAsia" w:ascii="方正仿宋_GBK" w:hAnsi="仿宋_GB2312" w:eastAsia="方正仿宋_GBK" w:cs="仿宋_GB2312"/>
          <w:szCs w:val="32"/>
        </w:rPr>
        <w:t>万元，其中：</w:t>
      </w:r>
      <w:r>
        <w:rPr>
          <w:rFonts w:hint="eastAsia" w:eastAsia="方正仿宋_GBK"/>
          <w:spacing w:val="0"/>
          <w:szCs w:val="32"/>
        </w:rPr>
        <w:t>2023</w:t>
      </w:r>
      <w:r>
        <w:rPr>
          <w:rFonts w:hint="eastAsia" w:ascii="方正仿宋_GBK" w:hAnsi="仿宋_GB2312" w:eastAsia="方正仿宋_GBK" w:cs="仿宋_GB2312"/>
          <w:szCs w:val="32"/>
        </w:rPr>
        <w:t>年初批复预算</w:t>
      </w:r>
      <w:r>
        <w:rPr>
          <w:rFonts w:hint="eastAsia" w:eastAsia="方正仿宋_GBK"/>
          <w:spacing w:val="0"/>
          <w:szCs w:val="32"/>
        </w:rPr>
        <w:t>1187.85</w:t>
      </w:r>
      <w:r>
        <w:rPr>
          <w:rFonts w:hint="eastAsia" w:ascii="方正仿宋_GBK" w:hAnsi="仿宋_GB2312" w:eastAsia="方正仿宋_GBK" w:cs="仿宋_GB2312"/>
          <w:szCs w:val="32"/>
        </w:rPr>
        <w:t>万元，年中追加预算</w:t>
      </w:r>
      <w:r>
        <w:rPr>
          <w:rFonts w:hint="eastAsia" w:eastAsia="方正仿宋_GBK"/>
          <w:spacing w:val="0"/>
          <w:szCs w:val="32"/>
        </w:rPr>
        <w:t>3300.06</w:t>
      </w:r>
      <w:r>
        <w:rPr>
          <w:rFonts w:hint="eastAsia" w:ascii="方正仿宋_GBK" w:hAnsi="仿宋_GB2312" w:eastAsia="方正仿宋_GBK" w:cs="仿宋_GB2312"/>
          <w:szCs w:val="32"/>
        </w:rPr>
        <w:t>万元；</w:t>
      </w:r>
      <w:r>
        <w:rPr>
          <w:rFonts w:hint="eastAsia" w:eastAsia="方正仿宋_GBK"/>
          <w:spacing w:val="0"/>
          <w:szCs w:val="32"/>
        </w:rPr>
        <w:t>2023</w:t>
      </w:r>
      <w:r>
        <w:rPr>
          <w:rFonts w:hint="eastAsia" w:ascii="方正仿宋_GBK" w:hAnsi="仿宋_GB2312" w:eastAsia="方正仿宋_GBK" w:cs="仿宋_GB2312"/>
          <w:szCs w:val="32"/>
        </w:rPr>
        <w:t>年度政府性基金预算支出</w:t>
      </w:r>
      <w:r>
        <w:rPr>
          <w:rFonts w:hint="eastAsia" w:eastAsia="方正仿宋_GBK"/>
          <w:spacing w:val="0"/>
          <w:szCs w:val="32"/>
        </w:rPr>
        <w:t>2200.55</w:t>
      </w:r>
      <w:r>
        <w:rPr>
          <w:rFonts w:hint="eastAsia" w:ascii="方正仿宋_GBK" w:hAnsi="仿宋_GB2312" w:eastAsia="方正仿宋_GBK" w:cs="仿宋_GB2312"/>
          <w:szCs w:val="32"/>
        </w:rPr>
        <w:t>万元，</w:t>
      </w:r>
      <w:r>
        <w:rPr>
          <w:rFonts w:hint="eastAsia" w:eastAsia="方正仿宋_GBK"/>
          <w:spacing w:val="0"/>
          <w:szCs w:val="32"/>
        </w:rPr>
        <w:t>执行率49.03%。</w:t>
      </w:r>
    </w:p>
    <w:p>
      <w:pPr>
        <w:adjustRightInd w:val="0"/>
        <w:spacing w:line="240" w:lineRule="auto"/>
        <w:ind w:firstLine="628" w:firstLineChars="200"/>
        <w:rPr>
          <w:rFonts w:hint="eastAsia" w:ascii="方正仿宋_GBK" w:hAnsi="仿宋_GB2312" w:eastAsia="方正仿宋_GBK" w:cs="仿宋_GB2312"/>
          <w:szCs w:val="32"/>
        </w:rPr>
      </w:pPr>
      <w:r>
        <w:rPr>
          <w:rFonts w:hint="eastAsia" w:ascii="黑体" w:hAnsi="黑体" w:eastAsia="黑体" w:cs="仿宋_GB2312"/>
          <w:szCs w:val="32"/>
        </w:rPr>
        <w:t>四、国有资本经营预算支出情况</w:t>
      </w:r>
    </w:p>
    <w:p>
      <w:pPr>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2023</w:t>
      </w:r>
      <w:r>
        <w:rPr>
          <w:rFonts w:hint="eastAsia" w:ascii="方正仿宋_GBK" w:hAnsi="仿宋_GB2312" w:eastAsia="方正仿宋_GBK" w:cs="仿宋_GB2312"/>
          <w:szCs w:val="32"/>
        </w:rPr>
        <w:t>年无国有资本经营预算支出。</w:t>
      </w:r>
    </w:p>
    <w:p>
      <w:pPr>
        <w:autoSpaceDN w:val="0"/>
        <w:adjustRightInd w:val="0"/>
        <w:spacing w:line="240" w:lineRule="auto"/>
        <w:ind w:firstLine="628" w:firstLineChars="200"/>
        <w:rPr>
          <w:rFonts w:ascii="黑体" w:hAnsi="黑体" w:eastAsia="黑体" w:cs="仿宋_GB2312"/>
          <w:szCs w:val="32"/>
        </w:rPr>
      </w:pPr>
      <w:r>
        <w:rPr>
          <w:rFonts w:hint="eastAsia" w:ascii="黑体" w:hAnsi="黑体" w:eastAsia="黑体" w:cs="仿宋_GB2312"/>
          <w:szCs w:val="32"/>
        </w:rPr>
        <w:t>五、部门（单位）整体支出绩效情况</w:t>
      </w:r>
    </w:p>
    <w:p>
      <w:pPr>
        <w:autoSpaceDN w:val="0"/>
        <w:adjustRightInd w:val="0"/>
        <w:spacing w:line="240" w:lineRule="auto"/>
        <w:ind w:firstLine="628" w:firstLineChars="200"/>
        <w:rPr>
          <w:rFonts w:hint="eastAsia" w:ascii="方正仿宋_GBK" w:hAnsi="仿宋_GB2312" w:eastAsia="方正仿宋_GBK" w:cs="仿宋_GB2312"/>
          <w:szCs w:val="32"/>
        </w:rPr>
      </w:pPr>
      <w:r>
        <w:rPr>
          <w:rFonts w:hint="eastAsia" w:ascii="方正仿宋_GBK" w:hAnsi="仿宋_GB2312" w:eastAsia="方正仿宋_GBK" w:cs="仿宋_GB2312"/>
          <w:szCs w:val="32"/>
        </w:rPr>
        <w:t>（一）绩效评价结果</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对照《丰都县财政局关于开展</w:t>
      </w:r>
      <w:r>
        <w:rPr>
          <w:rFonts w:hint="eastAsia" w:eastAsia="方正仿宋_GBK"/>
          <w:spacing w:val="0"/>
          <w:szCs w:val="32"/>
        </w:rPr>
        <w:t>2023</w:t>
      </w:r>
      <w:r>
        <w:rPr>
          <w:rFonts w:hint="eastAsia" w:ascii="方正仿宋_GBK" w:hAnsi="仿宋_GB2312" w:eastAsia="方正仿宋_GBK" w:cs="仿宋_GB2312"/>
          <w:szCs w:val="32"/>
        </w:rPr>
        <w:t>年预算绩效自评工作的通知》（</w:t>
      </w:r>
      <w:r>
        <w:rPr>
          <w:rFonts w:hint="eastAsia" w:eastAsia="方正仿宋_GBK"/>
          <w:spacing w:val="0"/>
          <w:szCs w:val="32"/>
        </w:rPr>
        <w:t>丰都财政发〔2024〕15号</w:t>
      </w:r>
      <w:r>
        <w:rPr>
          <w:rFonts w:hint="eastAsia" w:ascii="方正仿宋_GBK" w:hAnsi="仿宋_GB2312" w:eastAsia="方正仿宋_GBK" w:cs="仿宋_GB2312"/>
          <w:szCs w:val="32"/>
        </w:rPr>
        <w:t>）相关要求，我局从预算执行、预算管理、履职效能、社会效应等方面对</w:t>
      </w:r>
      <w:r>
        <w:rPr>
          <w:rFonts w:hint="eastAsia" w:eastAsia="方正仿宋_GBK"/>
          <w:spacing w:val="0"/>
          <w:szCs w:val="32"/>
        </w:rPr>
        <w:t>2023</w:t>
      </w:r>
      <w:r>
        <w:rPr>
          <w:rFonts w:hint="eastAsia" w:ascii="方正仿宋_GBK" w:hAnsi="仿宋_GB2312" w:eastAsia="方正仿宋_GBK" w:cs="仿宋_GB2312"/>
          <w:szCs w:val="32"/>
        </w:rPr>
        <w:t>年部门整体支出绩效开展了评价。</w:t>
      </w:r>
      <w:r>
        <w:rPr>
          <w:rFonts w:hint="eastAsia" w:eastAsia="方正仿宋_GBK"/>
          <w:spacing w:val="0"/>
          <w:szCs w:val="32"/>
        </w:rPr>
        <w:t>2023</w:t>
      </w:r>
      <w:r>
        <w:rPr>
          <w:rFonts w:hint="eastAsia" w:ascii="方正仿宋_GBK" w:hAnsi="仿宋_GB2312" w:eastAsia="方正仿宋_GBK" w:cs="仿宋_GB2312"/>
          <w:szCs w:val="32"/>
        </w:rPr>
        <w:t>年度部门整体支出绩效自评综合得分为</w:t>
      </w:r>
      <w:r>
        <w:rPr>
          <w:rFonts w:hint="eastAsia" w:eastAsia="方正仿宋_GBK"/>
          <w:spacing w:val="0"/>
          <w:szCs w:val="32"/>
        </w:rPr>
        <w:t>98.25</w:t>
      </w:r>
      <w:r>
        <w:rPr>
          <w:rFonts w:hint="eastAsia" w:ascii="方正仿宋_GBK" w:hAnsi="仿宋_GB2312" w:eastAsia="方正仿宋_GBK" w:cs="仿宋_GB2312"/>
          <w:szCs w:val="32"/>
        </w:rPr>
        <w:t>分，评价等级为“优”。</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（二）部门整体支出年度绩效目标完成情况</w:t>
      </w:r>
    </w:p>
    <w:p>
      <w:pPr>
        <w:adjustRightInd w:val="0"/>
        <w:spacing w:line="240" w:lineRule="auto"/>
        <w:ind w:firstLine="652" w:firstLineChars="200"/>
        <w:rPr>
          <w:rFonts w:ascii="方正仿宋_GBK" w:hAnsi="仿宋_GB2312" w:eastAsia="方正仿宋_GBK" w:cs="仿宋_GB2312"/>
          <w:szCs w:val="32"/>
        </w:rPr>
      </w:pPr>
      <w:r>
        <w:rPr>
          <w:rFonts w:hint="eastAsia" w:eastAsia="方正仿宋_GBK"/>
          <w:spacing w:val="0"/>
          <w:szCs w:val="32"/>
        </w:rPr>
        <w:t>2023</w:t>
      </w:r>
      <w:r>
        <w:rPr>
          <w:rFonts w:hint="eastAsia" w:ascii="方正仿宋_GBK" w:hAnsi="仿宋_GB2312" w:eastAsia="方正仿宋_GBK" w:cs="仿宋_GB2312"/>
          <w:szCs w:val="32"/>
        </w:rPr>
        <w:t>年，我部门紧紧围绕县委、县政府决策部署和县委经济工作会、政府工作报告确定的目标任务要求，坚持以党建统领“三项重点任务”为抓手，凝聚“大抓交通、抓大交通”的高度共识和朋心合力，大力推动交通强县建设。</w:t>
      </w:r>
    </w:p>
    <w:p>
      <w:pPr>
        <w:adjustRightInd w:val="0"/>
        <w:spacing w:line="240" w:lineRule="auto"/>
        <w:ind w:firstLine="652" w:firstLineChars="200"/>
        <w:rPr>
          <w:rFonts w:eastAsia="方正仿宋_GBK"/>
          <w:spacing w:val="0"/>
          <w:szCs w:val="32"/>
        </w:rPr>
      </w:pPr>
      <w:r>
        <w:rPr>
          <w:rFonts w:hint="eastAsia" w:eastAsia="方正仿宋_GBK"/>
          <w:spacing w:val="0"/>
          <w:szCs w:val="32"/>
        </w:rPr>
        <w:t>1.</w:t>
      </w:r>
      <w:r>
        <w:rPr>
          <w:rFonts w:hint="eastAsia"/>
        </w:rPr>
        <w:t xml:space="preserve"> </w:t>
      </w:r>
      <w:r>
        <w:rPr>
          <w:rFonts w:hint="eastAsia" w:eastAsia="方正仿宋_GBK"/>
          <w:spacing w:val="0"/>
          <w:szCs w:val="32"/>
        </w:rPr>
        <w:t>重大项目实现历史突破。渝万高铁，计划永久占地1489亩已全部交付使用，交付临时用地2489亩超计划13%，站场路基全面铺开，关键性工程“三桥三隧”推进有序。垫丰武高速公路，兴义长江大桥实质性开工，南岸拌合站建成投用，征地拆迁提前进入实物调查阶段。渝宜高铁，正在开展初步设计工作。游轮辅港至南天湖高速，通过市交通局行业审查，进入市发改委立项阶段。北岸沿江、丰石、丰涪、丰彭旅游高速公路正式纳入市政府中长期规划。游轮辅港、水天坪枢纽港进入规划设计阶段。初步奠定了“二港五铁八高”铁公水一体化交通大格局，西部陆海新通道第六交通走廊作用日渐凸显。</w:t>
      </w:r>
    </w:p>
    <w:p>
      <w:pPr>
        <w:adjustRightInd w:val="0"/>
        <w:spacing w:line="240" w:lineRule="auto"/>
        <w:ind w:firstLine="652" w:firstLineChars="200"/>
        <w:rPr>
          <w:rFonts w:eastAsia="方正仿宋_GBK"/>
          <w:spacing w:val="0"/>
          <w:szCs w:val="32"/>
        </w:rPr>
      </w:pPr>
      <w:r>
        <w:rPr>
          <w:rFonts w:hint="eastAsia" w:eastAsia="方正仿宋_GBK"/>
          <w:spacing w:val="0"/>
          <w:szCs w:val="32"/>
        </w:rPr>
        <w:t>2.</w:t>
      </w:r>
      <w:r>
        <w:rPr>
          <w:rFonts w:hint="eastAsia"/>
        </w:rPr>
        <w:t xml:space="preserve"> </w:t>
      </w:r>
      <w:r>
        <w:rPr>
          <w:rFonts w:hint="eastAsia" w:eastAsia="方正仿宋_GBK"/>
          <w:spacing w:val="0"/>
          <w:szCs w:val="32"/>
        </w:rPr>
        <w:t>助推乡村振兴成效显著。全年完成交通固定资产投资21225万元，同比增长9%。围绕旅游景区、产业园区、场镇区“三区”建设，G351高镇至龙河东、社坛至大保、双龙至灯塔、青龙至十直、双路莲花至九重天、汇南至包鸾、永兴至一碗水等道路改造提升全部完成，丰彭二级路全线贯通。围绕群众关注的急难愁盼问题，重点从村社道路拓宽、连接线优化、黑色路段安保工程等方面着力，完成“四好农村路”100公里，安保护栏200公里，改造危桥2座。包鸾镇花地堡村道路、包鸾村联网路、飞仙洞村道路等乡村振兴试验示范农业观光园环线全面完工。</w:t>
      </w:r>
    </w:p>
    <w:p>
      <w:pPr>
        <w:adjustRightInd w:val="0"/>
        <w:spacing w:line="240" w:lineRule="auto"/>
        <w:ind w:firstLine="652" w:firstLineChars="200"/>
        <w:rPr>
          <w:rFonts w:eastAsia="方正仿宋_GBK"/>
          <w:spacing w:val="0"/>
          <w:szCs w:val="32"/>
        </w:rPr>
      </w:pPr>
      <w:r>
        <w:rPr>
          <w:rFonts w:hint="eastAsia" w:eastAsia="方正仿宋_GBK"/>
          <w:spacing w:val="0"/>
          <w:szCs w:val="32"/>
        </w:rPr>
        <w:t>3.</w:t>
      </w:r>
      <w:r>
        <w:rPr>
          <w:rFonts w:hint="eastAsia"/>
        </w:rPr>
        <w:t xml:space="preserve"> </w:t>
      </w:r>
      <w:r>
        <w:rPr>
          <w:rFonts w:hint="eastAsia" w:eastAsia="方正仿宋_GBK"/>
          <w:spacing w:val="0"/>
          <w:szCs w:val="32"/>
        </w:rPr>
        <w:t>综合交通运输稳步增长。制定交通助企纾困“七条措施”，培育新增规上企业6家，交通运输总量呈现增长趋势。1.道路运输。1-12月客运量466.7万人，同比上升35.39%，客运周转量约19604万人公里，同比上升44.21%。1-9月货运量447万吨，货运周转量29169万吨公里，同比增长4.5%。2.水上运输。1-12月客运量24.58万人，同比增长8.91%；客运周转量295.84万人公里，同比增长8.68%。货运量930.78万吨，同比上升8.94%，货运周转量1100587.11万吨公里，同比上升6.38%。总周转量1100734.59万吨，同比增长6.38%，全市排名第9，渝东北排名第3。3.铁路运输。1-12月动车客运累计到达量1405347人次，同比增长65.08%，累计发送量1489644人次，同比增长79.93%。</w:t>
      </w:r>
    </w:p>
    <w:p>
      <w:pPr>
        <w:adjustRightInd w:val="0"/>
        <w:spacing w:line="240" w:lineRule="auto"/>
        <w:ind w:firstLine="652" w:firstLineChars="200"/>
        <w:rPr>
          <w:rFonts w:hint="eastAsia" w:eastAsia="方正仿宋_GBK"/>
          <w:spacing w:val="0"/>
          <w:szCs w:val="32"/>
        </w:rPr>
      </w:pPr>
      <w:r>
        <w:rPr>
          <w:rFonts w:hint="eastAsia" w:eastAsia="方正仿宋_GBK"/>
          <w:spacing w:val="0"/>
          <w:szCs w:val="32"/>
        </w:rPr>
        <w:t>4.</w:t>
      </w:r>
      <w:r>
        <w:rPr>
          <w:rFonts w:hint="eastAsia"/>
        </w:rPr>
        <w:t xml:space="preserve"> </w:t>
      </w:r>
      <w:r>
        <w:rPr>
          <w:rFonts w:hint="eastAsia" w:eastAsia="方正仿宋_GBK"/>
          <w:spacing w:val="0"/>
          <w:szCs w:val="32"/>
        </w:rPr>
        <w:t>行业治理能力持续增强。着力优化营商环境。深入推进“放管服”改革，推动“一件事一次办”落地实施，交通领域176项行政许可事项全部实现网上流转、“一站式”审批以及电子证照及签章配置。全年共办理行政许可413件，公共服务类208件。</w:t>
      </w:r>
    </w:p>
    <w:p>
      <w:pPr>
        <w:autoSpaceDN w:val="0"/>
        <w:adjustRightInd w:val="0"/>
        <w:spacing w:line="240" w:lineRule="auto"/>
        <w:ind w:firstLine="628" w:firstLineChars="200"/>
        <w:rPr>
          <w:rFonts w:ascii="方正仿宋_GBK" w:hAnsi="仿宋_GB2312" w:eastAsia="方正仿宋_GBK" w:cs="仿宋_GB2312"/>
          <w:szCs w:val="32"/>
        </w:rPr>
      </w:pPr>
      <w:r>
        <w:rPr>
          <w:rFonts w:hint="eastAsia" w:ascii="黑体" w:hAnsi="黑体" w:eastAsia="黑体" w:cs="仿宋_GB2312"/>
          <w:szCs w:val="32"/>
        </w:rPr>
        <w:t>六、存在的问题及原因分析</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（一）部门整体绩效目标在设定、细化程度和可衡量方面未进行细化和量化，需进一步加强对部门整体绩效管理。</w:t>
      </w:r>
    </w:p>
    <w:p>
      <w:pPr>
        <w:adjustRightInd w:val="0"/>
        <w:spacing w:line="240" w:lineRule="auto"/>
        <w:ind w:firstLine="628" w:firstLineChars="200"/>
        <w:rPr>
          <w:rFonts w:hint="eastAsia" w:ascii="方正仿宋_GBK" w:hAnsi="仿宋_GB2312" w:eastAsia="方正仿宋_GBK" w:cs="仿宋_GB2312"/>
          <w:szCs w:val="32"/>
        </w:rPr>
      </w:pPr>
      <w:r>
        <w:rPr>
          <w:rFonts w:hint="eastAsia" w:ascii="方正仿宋_GBK" w:hAnsi="仿宋_GB2312" w:eastAsia="方正仿宋_GBK" w:cs="仿宋_GB2312"/>
          <w:szCs w:val="32"/>
        </w:rPr>
        <w:t>（二）部分项目预算执行率较低。</w:t>
      </w:r>
      <w:r>
        <w:rPr>
          <w:rFonts w:hint="eastAsia" w:eastAsia="方正仿宋_GBK"/>
          <w:spacing w:val="0"/>
          <w:szCs w:val="32"/>
        </w:rPr>
        <w:t>2023</w:t>
      </w:r>
      <w:r>
        <w:rPr>
          <w:rFonts w:hint="eastAsia" w:ascii="方正仿宋_GBK" w:hAnsi="仿宋_GB2312" w:eastAsia="方正仿宋_GBK" w:cs="仿宋_GB2312"/>
          <w:szCs w:val="32"/>
        </w:rPr>
        <w:t>年部门预算项目中部分交通建设项目执行率低于</w:t>
      </w:r>
      <w:r>
        <w:rPr>
          <w:rFonts w:hint="eastAsia" w:eastAsia="方正仿宋_GBK"/>
          <w:spacing w:val="0"/>
          <w:szCs w:val="32"/>
        </w:rPr>
        <w:t>50%</w:t>
      </w:r>
      <w:r>
        <w:rPr>
          <w:rFonts w:hint="eastAsia" w:ascii="方正仿宋_GBK" w:hAnsi="仿宋_GB2312" w:eastAsia="方正仿宋_GBK" w:cs="仿宋_GB2312"/>
          <w:szCs w:val="32"/>
        </w:rPr>
        <w:t>，影响了项目实施进度。</w:t>
      </w:r>
    </w:p>
    <w:p>
      <w:pPr>
        <w:autoSpaceDN w:val="0"/>
        <w:adjustRightInd w:val="0"/>
        <w:spacing w:line="240" w:lineRule="auto"/>
        <w:ind w:firstLine="628" w:firstLineChars="200"/>
        <w:rPr>
          <w:rFonts w:ascii="方正仿宋_GBK" w:hAnsi="仿宋_GB2312" w:eastAsia="方正仿宋_GBK" w:cs="仿宋_GB2312"/>
          <w:szCs w:val="32"/>
        </w:rPr>
      </w:pPr>
      <w:r>
        <w:rPr>
          <w:rFonts w:hint="eastAsia" w:ascii="黑体" w:hAnsi="黑体" w:eastAsia="黑体" w:cs="仿宋_GB2312"/>
          <w:szCs w:val="32"/>
        </w:rPr>
        <w:t>七、下步改进措施</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一）完善绩效目标管理，对绩效目标进行细化和量化，做到绩效目标可衡量。完善绩效评价管理机制，结合实际工作情况，优化财务、业务、资源和资产绩效的协同管理模式。进一步加强预算绩效管理业务培训。</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（二）督促加快项目实施进度，提高项目资金使用效率。</w:t>
      </w:r>
    </w:p>
    <w:p>
      <w:pPr>
        <w:adjustRightInd w:val="0"/>
        <w:spacing w:line="240" w:lineRule="auto"/>
        <w:ind w:firstLine="628" w:firstLineChars="200"/>
        <w:rPr>
          <w:rFonts w:ascii="方正仿宋_GBK" w:hAnsi="仿宋_GB2312" w:eastAsia="方正仿宋_GBK" w:cs="仿宋_GB2312"/>
          <w:szCs w:val="32"/>
        </w:rPr>
      </w:pPr>
      <w:r>
        <w:rPr>
          <w:rFonts w:hint="eastAsia" w:ascii="方正仿宋_GBK" w:hAnsi="仿宋_GB2312" w:eastAsia="方正仿宋_GBK" w:cs="仿宋_GB2312"/>
          <w:szCs w:val="32"/>
        </w:rPr>
        <w:t>（三）加强绩效评价结果应用。</w:t>
      </w:r>
    </w:p>
    <w:p>
      <w:pPr>
        <w:autoSpaceDN w:val="0"/>
        <w:adjustRightInd w:val="0"/>
        <w:spacing w:line="240" w:lineRule="auto"/>
        <w:rPr>
          <w:rFonts w:ascii="方正仿宋_GBK" w:hAnsi="仿宋_GB2312" w:eastAsia="方正仿宋_GBK" w:cs="仿宋_GB2312"/>
          <w:szCs w:val="32"/>
        </w:rPr>
      </w:pPr>
      <w:r>
        <w:rPr>
          <w:rFonts w:hint="eastAsia" w:ascii="黑体" w:hAnsi="黑体" w:eastAsia="黑体" w:cs="仿宋_GB2312"/>
          <w:szCs w:val="32"/>
          <w:lang w:eastAsia="zh-CN"/>
        </w:rPr>
        <w:t>八</w:t>
      </w:r>
      <w:r>
        <w:rPr>
          <w:rFonts w:hint="eastAsia" w:ascii="黑体" w:hAnsi="黑体" w:eastAsia="黑体" w:cs="仿宋_GB2312"/>
          <w:szCs w:val="32"/>
        </w:rPr>
        <w:t>、部门整体支出绩效自评结果拟应用和公开情况</w:t>
      </w:r>
    </w:p>
    <w:p>
      <w:pPr>
        <w:adjustRightInd w:val="0"/>
        <w:spacing w:line="240" w:lineRule="auto"/>
        <w:ind w:firstLine="720"/>
        <w:rPr>
          <w:rFonts w:ascii="方正仿宋_GBK" w:hAnsi="仿宋_GB2312" w:eastAsia="方正仿宋_GBK" w:cs="仿宋_GB2312"/>
          <w:szCs w:val="32"/>
        </w:rPr>
      </w:pPr>
      <w:r>
        <w:rPr>
          <w:rFonts w:hint="eastAsia" w:ascii="方正仿宋_GBK" w:hAnsi="仿宋_GB2312" w:eastAsia="方正仿宋_GBK" w:cs="仿宋_GB2312"/>
          <w:szCs w:val="32"/>
        </w:rPr>
        <w:t>以结果为导向，健全绩效评估与绩效评价结果挂钩机制。我部门将针对绩效评价发现的问题，采取有力措施进行整改，并将绩效评价结果作为年度绩效考核重要依据，持续提高财政资金使用效益。</w:t>
      </w:r>
      <w:bookmarkStart w:id="1" w:name="_GoBack"/>
      <w:bookmarkEnd w:id="1"/>
    </w:p>
    <w:p>
      <w:pPr>
        <w:autoSpaceDN w:val="0"/>
        <w:adjustRightInd w:val="0"/>
        <w:spacing w:line="240" w:lineRule="auto"/>
        <w:rPr>
          <w:rFonts w:ascii="方正仿宋_GBK" w:hAnsi="仿宋_GB2312" w:eastAsia="方正仿宋_GBK" w:cs="仿宋_GB2312"/>
          <w:szCs w:val="32"/>
        </w:rPr>
      </w:pPr>
      <w:r>
        <w:rPr>
          <w:rFonts w:hint="eastAsia" w:ascii="黑体" w:hAnsi="黑体" w:eastAsia="黑体" w:cs="仿宋_GB2312"/>
          <w:szCs w:val="32"/>
          <w:lang w:eastAsia="zh-CN"/>
        </w:rPr>
        <w:t>九</w:t>
      </w:r>
      <w:r>
        <w:rPr>
          <w:rFonts w:hint="eastAsia" w:ascii="黑体" w:hAnsi="黑体" w:eastAsia="黑体" w:cs="仿宋_GB2312"/>
          <w:szCs w:val="32"/>
        </w:rPr>
        <w:t>、附件</w:t>
      </w:r>
    </w:p>
    <w:p>
      <w:pPr>
        <w:adjustRightInd w:val="0"/>
        <w:spacing w:line="240" w:lineRule="auto"/>
        <w:ind w:firstLine="720"/>
        <w:rPr>
          <w:rFonts w:hint="eastAsia" w:ascii="方正仿宋_GBK" w:hAnsi="仿宋_GB2312" w:eastAsia="方正仿宋_GBK" w:cs="仿宋_GB2312"/>
          <w:szCs w:val="32"/>
        </w:rPr>
      </w:pPr>
      <w:r>
        <w:rPr>
          <w:rFonts w:hint="eastAsia" w:ascii="方正仿宋_GBK" w:hAnsi="仿宋_GB2312" w:eastAsia="方正仿宋_GBK" w:cs="仿宋_GB2312"/>
          <w:szCs w:val="32"/>
          <w:lang w:val="en-US" w:eastAsia="zh-CN"/>
        </w:rPr>
        <w:t>丰都县</w:t>
      </w:r>
      <w:r>
        <w:rPr>
          <w:rFonts w:hint="eastAsia" w:ascii="方正仿宋_GBK" w:hAnsi="仿宋_GB2312" w:eastAsia="方正仿宋_GBK" w:cs="仿宋_GB2312"/>
          <w:szCs w:val="32"/>
        </w:rPr>
        <w:t>交通局</w:t>
      </w:r>
      <w:r>
        <w:rPr>
          <w:rFonts w:hint="eastAsia" w:eastAsia="方正仿宋_GBK"/>
          <w:spacing w:val="0"/>
          <w:szCs w:val="32"/>
        </w:rPr>
        <w:t>2023</w:t>
      </w:r>
      <w:r>
        <w:rPr>
          <w:rFonts w:hint="eastAsia" w:ascii="方正仿宋_GBK" w:hAnsi="仿宋_GB2312" w:eastAsia="方正仿宋_GBK" w:cs="仿宋_GB2312"/>
          <w:szCs w:val="32"/>
        </w:rPr>
        <w:t>年度部门整体绩效自评表</w:t>
      </w:r>
    </w:p>
    <w:sectPr>
      <w:footerReference r:id="rId3" w:type="default"/>
      <w:footerReference r:id="rId4" w:type="even"/>
      <w:pgSz w:w="11906" w:h="16838"/>
      <w:pgMar w:top="1967" w:right="1474" w:bottom="1899" w:left="1588" w:header="851" w:footer="1049"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6" w:lineRule="auto"/>
      <w:ind w:right="308" w:rightChars="100"/>
      <w:jc w:val="right"/>
      <w:rPr>
        <w:rFonts w:ascii="楷体_GB2312" w:eastAsia="楷体_GB2312"/>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3" w:lineRule="auto"/>
      <w:ind w:left="308" w:leftChars="100"/>
      <w:jc w:val="left"/>
      <w:rPr>
        <w:rStyle w:val="7"/>
        <w:rFonts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4</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9"/>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rawingGridHorizontalSpacing w:val="308"/>
  <w:drawingGridVerticalSpacing w:val="295"/>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MGYxYTY1OWNmYTlmYWQwOGZkYTJiODBkODhjYWEifQ=="/>
    <w:docVar w:name="iDocStyle" w:val="2"/>
    <w:docVar w:name="KSO_WPS_MARK_KEY" w:val="952f1ae0-f752-4e68-948e-75e2edfcfd88"/>
  </w:docVars>
  <w:rsids>
    <w:rsidRoot w:val="03E2635E"/>
    <w:rsid w:val="00003335"/>
    <w:rsid w:val="000309DB"/>
    <w:rsid w:val="000B0640"/>
    <w:rsid w:val="000D6675"/>
    <w:rsid w:val="00173A68"/>
    <w:rsid w:val="00203CFF"/>
    <w:rsid w:val="00271C31"/>
    <w:rsid w:val="00285621"/>
    <w:rsid w:val="002E698B"/>
    <w:rsid w:val="003376FF"/>
    <w:rsid w:val="00365B4E"/>
    <w:rsid w:val="00374D4A"/>
    <w:rsid w:val="0039488D"/>
    <w:rsid w:val="003B5633"/>
    <w:rsid w:val="003D7202"/>
    <w:rsid w:val="00440B6A"/>
    <w:rsid w:val="004A1C6B"/>
    <w:rsid w:val="004A6F22"/>
    <w:rsid w:val="004F36B0"/>
    <w:rsid w:val="005778EC"/>
    <w:rsid w:val="005E30A3"/>
    <w:rsid w:val="006953A0"/>
    <w:rsid w:val="006C6C83"/>
    <w:rsid w:val="006D37A5"/>
    <w:rsid w:val="00740F94"/>
    <w:rsid w:val="007B351B"/>
    <w:rsid w:val="007E2FB7"/>
    <w:rsid w:val="00800961"/>
    <w:rsid w:val="00802E8F"/>
    <w:rsid w:val="008049FE"/>
    <w:rsid w:val="00837B62"/>
    <w:rsid w:val="008B3422"/>
    <w:rsid w:val="008E165E"/>
    <w:rsid w:val="008F6AE8"/>
    <w:rsid w:val="00954216"/>
    <w:rsid w:val="00964326"/>
    <w:rsid w:val="00965970"/>
    <w:rsid w:val="00980347"/>
    <w:rsid w:val="00992A40"/>
    <w:rsid w:val="009A61C8"/>
    <w:rsid w:val="009A7C16"/>
    <w:rsid w:val="009C210C"/>
    <w:rsid w:val="00A520CF"/>
    <w:rsid w:val="00A55E4E"/>
    <w:rsid w:val="00A614F0"/>
    <w:rsid w:val="00AC775E"/>
    <w:rsid w:val="00AE2B00"/>
    <w:rsid w:val="00AF7709"/>
    <w:rsid w:val="00B35A5E"/>
    <w:rsid w:val="00B53501"/>
    <w:rsid w:val="00B84507"/>
    <w:rsid w:val="00BD5B74"/>
    <w:rsid w:val="00C81934"/>
    <w:rsid w:val="00C90A37"/>
    <w:rsid w:val="00D01E9C"/>
    <w:rsid w:val="00D422A1"/>
    <w:rsid w:val="00DC57F7"/>
    <w:rsid w:val="00DD2202"/>
    <w:rsid w:val="00DE1749"/>
    <w:rsid w:val="00E05F59"/>
    <w:rsid w:val="00E272BC"/>
    <w:rsid w:val="00E52611"/>
    <w:rsid w:val="00E64A7E"/>
    <w:rsid w:val="00E96301"/>
    <w:rsid w:val="00EB29BF"/>
    <w:rsid w:val="00F01151"/>
    <w:rsid w:val="00F26E04"/>
    <w:rsid w:val="00FA0968"/>
    <w:rsid w:val="00FA7014"/>
    <w:rsid w:val="00FB6CD8"/>
    <w:rsid w:val="00FE1FBC"/>
    <w:rsid w:val="02A757AF"/>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7516AE5"/>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21CCC"/>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55464C"/>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673540"/>
    <w:rsid w:val="5C813653"/>
    <w:rsid w:val="5C883DDD"/>
    <w:rsid w:val="5CB1580F"/>
    <w:rsid w:val="5CC21EBE"/>
    <w:rsid w:val="5E340A9B"/>
    <w:rsid w:val="5F715F24"/>
    <w:rsid w:val="5F956A3B"/>
    <w:rsid w:val="5FE274DC"/>
    <w:rsid w:val="6061582C"/>
    <w:rsid w:val="61D66A13"/>
    <w:rsid w:val="62755297"/>
    <w:rsid w:val="629E2BD8"/>
    <w:rsid w:val="634D3C76"/>
    <w:rsid w:val="63554283"/>
    <w:rsid w:val="63FA16A1"/>
    <w:rsid w:val="650F29DD"/>
    <w:rsid w:val="65302858"/>
    <w:rsid w:val="65F64CD2"/>
    <w:rsid w:val="663B466F"/>
    <w:rsid w:val="66531D6F"/>
    <w:rsid w:val="66810852"/>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BF7973"/>
    <w:rsid w:val="748E6D46"/>
    <w:rsid w:val="74B9560C"/>
    <w:rsid w:val="75FF437D"/>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 w:val="FBFF3FA6"/>
    <w:rsid w:val="FEA3BA90"/>
    <w:rsid w:val="FEDF062E"/>
    <w:rsid w:val="FF4B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line number"/>
    <w:basedOn w:val="6"/>
    <w:qFormat/>
    <w:uiPriority w:val="0"/>
  </w:style>
  <w:style w:type="paragraph" w:customStyle="1" w:styleId="9">
    <w:name w:val="居中"/>
    <w:basedOn w:val="1"/>
    <w:qFormat/>
    <w:uiPriority w:val="0"/>
    <w:pPr>
      <w:numPr>
        <w:ilvl w:val="0"/>
        <w:numId w:val="1"/>
      </w:numPr>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Template>
  <Pages>6</Pages>
  <Words>2536</Words>
  <Characters>2891</Characters>
  <Lines>21</Lines>
  <Paragraphs>6</Paragraphs>
  <TotalTime>342</TotalTime>
  <ScaleCrop>false</ScaleCrop>
  <LinksUpToDate>false</LinksUpToDate>
  <CharactersWithSpaces>2895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2022-06-07T10:01:00Z</dcterms:created>
  <dc:creator>UMP</dc:creator>
  <cp:lastModifiedBy>Administrator</cp:lastModifiedBy>
  <cp:lastPrinted>2024-04-15T08:30:00Z</cp:lastPrinted>
  <dcterms:modified xsi:type="dcterms:W3CDTF">2024-05-07T03:27:20Z</dcterms:modified>
  <dc:title>No:0000001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公文模板版本">
    <vt:lpwstr>20190329</vt:lpwstr>
  </property>
  <property fmtid="{D5CDD505-2E9C-101B-9397-08002B2CF9AE}" pid="4" name="ICV">
    <vt:lpwstr>E1013109C8A844D59DFE31F0ACD169EF_13</vt:lpwstr>
  </property>
</Properties>
</file>