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丰都县大桥管理事务中心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Hlk164177452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2023年度项目绩效目标自评</w:t>
      </w:r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报告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一、绩效目标分解下达情况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年财政下达大桥管理事务补助总资金为</w:t>
      </w:r>
      <w:r>
        <w:rPr>
          <w:rFonts w:hint="eastAsia" w:eastAsia="方正仿宋_GBK"/>
          <w:spacing w:val="0"/>
          <w:szCs w:val="32"/>
        </w:rPr>
        <w:t>717.99</w:t>
      </w:r>
      <w:r>
        <w:rPr>
          <w:rFonts w:hint="eastAsia" w:ascii="方正仿宋_GBK" w:hAnsi="仿宋_GB2312" w:eastAsia="方正仿宋_GBK" w:cs="仿宋_GB2312"/>
          <w:szCs w:val="32"/>
        </w:rPr>
        <w:t>万元，分解细化下达项目</w:t>
      </w:r>
      <w:r>
        <w:rPr>
          <w:rFonts w:hint="eastAsia" w:eastAsia="方正仿宋_GBK"/>
          <w:spacing w:val="0"/>
          <w:szCs w:val="32"/>
        </w:rPr>
        <w:t>7</w:t>
      </w:r>
      <w:r>
        <w:rPr>
          <w:rFonts w:hint="eastAsia" w:ascii="方正仿宋_GBK" w:hAnsi="仿宋_GB2312" w:eastAsia="方正仿宋_GBK" w:cs="仿宋_GB2312"/>
          <w:szCs w:val="32"/>
        </w:rPr>
        <w:t>个；项目绩效目标完成长江大桥维护改造建设，完成大桥结构健康监测系统，桥梁日常维护保养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二、绩效情况分析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（一）资金投入情况分析</w:t>
      </w:r>
    </w:p>
    <w:p>
      <w:pPr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年财政安排大桥管理事务补助资金</w:t>
      </w:r>
      <w:r>
        <w:rPr>
          <w:rFonts w:hint="eastAsia" w:eastAsia="方正仿宋_GBK"/>
          <w:spacing w:val="0"/>
          <w:szCs w:val="32"/>
        </w:rPr>
        <w:t>717.99</w:t>
      </w:r>
      <w:r>
        <w:rPr>
          <w:rFonts w:hint="eastAsia" w:ascii="方正仿宋_GBK" w:hAnsi="仿宋_GB2312" w:eastAsia="方正仿宋_GBK" w:cs="仿宋_GB2312"/>
          <w:szCs w:val="32"/>
        </w:rPr>
        <w:t>万元，主要用于长江大桥维护改造工程建设、大桥结构健康监测系统建设、桥梁日常维护保养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（二）资金管理情况分析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截</w:t>
      </w:r>
      <w:r>
        <w:rPr>
          <w:rFonts w:hint="eastAsia" w:ascii="方正仿宋_GBK" w:hAnsi="仿宋_GB2312" w:eastAsia="方正仿宋_GBK" w:cs="仿宋_GB2312"/>
          <w:szCs w:val="32"/>
          <w:lang w:val="en-US" w:eastAsia="zh-CN"/>
        </w:rPr>
        <w:t>至</w:t>
      </w:r>
      <w:r>
        <w:rPr>
          <w:rFonts w:hint="eastAsia" w:ascii="方正仿宋_GBK" w:hAnsi="仿宋_GB2312" w:eastAsia="方正仿宋_GBK" w:cs="仿宋_GB2312"/>
          <w:szCs w:val="32"/>
        </w:rPr>
        <w:t>目前交通工程安全管理补助资金财政已累计拨付</w:t>
      </w:r>
      <w:r>
        <w:rPr>
          <w:rFonts w:hint="eastAsia" w:eastAsia="方正仿宋_GBK"/>
          <w:spacing w:val="0"/>
          <w:szCs w:val="32"/>
        </w:rPr>
        <w:t>498.34</w:t>
      </w:r>
      <w:r>
        <w:rPr>
          <w:rFonts w:hint="eastAsia" w:ascii="方正仿宋_GBK" w:hAnsi="仿宋_GB2312" w:eastAsia="方正仿宋_GBK" w:cs="仿宋_GB2312"/>
          <w:szCs w:val="32"/>
        </w:rPr>
        <w:t>万元，预算执行率为</w:t>
      </w:r>
      <w:r>
        <w:rPr>
          <w:rFonts w:hint="eastAsia" w:eastAsia="方正仿宋_GBK"/>
          <w:spacing w:val="0"/>
          <w:szCs w:val="32"/>
        </w:rPr>
        <w:t>69.4%</w:t>
      </w:r>
      <w:r>
        <w:rPr>
          <w:rFonts w:hint="eastAsia" w:ascii="方正仿宋_GBK" w:hAnsi="仿宋_GB2312" w:eastAsia="方正仿宋_GBK" w:cs="仿宋_GB2312"/>
          <w:szCs w:val="32"/>
        </w:rPr>
        <w:t>，预算绩效管理覆盖率</w:t>
      </w:r>
      <w:r>
        <w:rPr>
          <w:rFonts w:hint="eastAsia" w:eastAsia="方正仿宋_GBK"/>
          <w:spacing w:val="0"/>
          <w:szCs w:val="32"/>
        </w:rPr>
        <w:t>100%</w:t>
      </w:r>
      <w:r>
        <w:rPr>
          <w:rFonts w:hint="eastAsia" w:ascii="方正仿宋_GBK" w:hAnsi="仿宋_GB2312" w:eastAsia="方正仿宋_GBK" w:cs="仿宋_GB2312"/>
          <w:szCs w:val="32"/>
        </w:rPr>
        <w:t>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（三）绩效指标完成情况分析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一是完成长江大桥维护改造工程建设，严格按照危大专项方案进行安全有序、文明施工，加大施工现场安全检查力度，加强各部位、各环节的安全质量等隐患排查治理，做到全覆盖、零容忍、严执行、重实效，把安全生产责任落到实处；二是完成大桥结构健康监测系统建设，落实项目责任制，加强项目实施过程管理，抓好质量、资金和进度控制。目前该工程已完成交工验收工作，该系统技术将自动、实时获得桥址环境、外部荷载、结构响应等数据和信息，实时监测并掌握桥梁的结构状态、交通状况，发现桥梁运营出现异常状况实时预警；三是每月对大桥护栏及桥面不少于</w:t>
      </w:r>
      <w:r>
        <w:rPr>
          <w:rFonts w:hint="eastAsia" w:eastAsia="方正仿宋_GBK"/>
          <w:spacing w:val="0"/>
          <w:szCs w:val="32"/>
        </w:rPr>
        <w:t>4</w:t>
      </w:r>
      <w:r>
        <w:rPr>
          <w:rFonts w:hint="eastAsia" w:ascii="方正仿宋_GBK" w:hAnsi="仿宋_GB2312" w:eastAsia="方正仿宋_GBK" w:cs="仿宋_GB2312"/>
          <w:szCs w:val="32"/>
        </w:rPr>
        <w:t>次清洗保洁，全年累计清洗</w:t>
      </w:r>
      <w:r>
        <w:rPr>
          <w:rFonts w:hint="eastAsia" w:eastAsia="方正仿宋_GBK"/>
          <w:spacing w:val="0"/>
          <w:szCs w:val="32"/>
        </w:rPr>
        <w:t>48</w:t>
      </w:r>
      <w:r>
        <w:rPr>
          <w:rFonts w:hint="eastAsia" w:ascii="方正仿宋_GBK" w:hAnsi="仿宋_GB2312" w:eastAsia="方正仿宋_GBK" w:cs="仿宋_GB2312"/>
          <w:szCs w:val="32"/>
        </w:rPr>
        <w:t>次，在日常养护、汛期间清理南北公路边沟杂草、泥土</w:t>
      </w:r>
      <w:r>
        <w:rPr>
          <w:rFonts w:hint="eastAsia" w:eastAsia="方正仿宋_GBK"/>
          <w:spacing w:val="0"/>
          <w:szCs w:val="32"/>
        </w:rPr>
        <w:t>450</w:t>
      </w:r>
      <w:r>
        <w:rPr>
          <w:rFonts w:hint="eastAsia" w:ascii="方正仿宋_GBK" w:hAnsi="仿宋_GB2312" w:eastAsia="方正仿宋_GBK" w:cs="仿宋_GB2312"/>
          <w:szCs w:val="32"/>
        </w:rPr>
        <w:t>米，共计清理</w:t>
      </w:r>
      <w:r>
        <w:rPr>
          <w:rFonts w:hint="eastAsia" w:eastAsia="方正仿宋_GBK"/>
          <w:spacing w:val="0"/>
          <w:szCs w:val="32"/>
        </w:rPr>
        <w:t>16</w:t>
      </w:r>
      <w:r>
        <w:rPr>
          <w:rFonts w:hint="eastAsia" w:ascii="方正仿宋_GBK" w:hAnsi="仿宋_GB2312" w:eastAsia="方正仿宋_GBK" w:cs="仿宋_GB2312"/>
          <w:szCs w:val="32"/>
        </w:rPr>
        <w:t>次，清理横系梁渣土、垃圾、锚室水垢堵塞积水等</w:t>
      </w:r>
      <w:r>
        <w:rPr>
          <w:rFonts w:hint="eastAsia" w:eastAsia="方正仿宋_GBK"/>
          <w:spacing w:val="0"/>
          <w:szCs w:val="32"/>
        </w:rPr>
        <w:t>13</w:t>
      </w:r>
      <w:r>
        <w:rPr>
          <w:rFonts w:hint="eastAsia" w:ascii="方正仿宋_GBK" w:hAnsi="仿宋_GB2312" w:eastAsia="方正仿宋_GBK" w:cs="仿宋_GB2312"/>
          <w:szCs w:val="32"/>
        </w:rPr>
        <w:t>次，除湿机发热器、除尘网更换</w:t>
      </w:r>
      <w:r>
        <w:rPr>
          <w:rFonts w:hint="eastAsia" w:eastAsia="方正仿宋_GBK"/>
          <w:spacing w:val="0"/>
          <w:szCs w:val="32"/>
        </w:rPr>
        <w:t>3</w:t>
      </w:r>
      <w:r>
        <w:rPr>
          <w:rFonts w:hint="eastAsia" w:ascii="方正仿宋_GBK" w:hAnsi="仿宋_GB2312" w:eastAsia="方正仿宋_GBK" w:cs="仿宋_GB2312"/>
          <w:szCs w:val="32"/>
        </w:rPr>
        <w:t>次，确保了大桥环境卫生及安全运行。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三、偏离绩效目标的原因和下一步改进措施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无。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四、绩效自评结果拟应用和公开情况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通过认真组织</w:t>
      </w:r>
      <w:r>
        <w:rPr>
          <w:rFonts w:hint="eastAsia" w:ascii="方正仿宋_GBK" w:hAnsi="仿宋_GB2312" w:eastAsia="方正仿宋_GBK" w:cs="仿宋_GB2312"/>
          <w:szCs w:val="32"/>
          <w:lang w:val="en-US" w:eastAsia="zh-CN"/>
        </w:rPr>
        <w:t>落</w:t>
      </w:r>
      <w:r>
        <w:rPr>
          <w:rFonts w:hint="eastAsia" w:ascii="方正仿宋_GBK" w:hAnsi="仿宋_GB2312" w:eastAsia="方正仿宋_GBK" w:cs="仿宋_GB2312"/>
          <w:szCs w:val="32"/>
        </w:rPr>
        <w:t>实大桥管理事务，并对财政补助资金开展绩效自评工作，完成了年度绩效目标。最终，自评得分为</w:t>
      </w:r>
      <w:r>
        <w:rPr>
          <w:rFonts w:hint="eastAsia" w:eastAsia="方正仿宋_GBK"/>
          <w:spacing w:val="0"/>
          <w:szCs w:val="32"/>
        </w:rPr>
        <w:t>90</w:t>
      </w:r>
      <w:r>
        <w:rPr>
          <w:rFonts w:hint="eastAsia" w:ascii="方正仿宋_GBK" w:hAnsi="仿宋_GB2312" w:eastAsia="方正仿宋_GBK" w:cs="仿宋_GB2312"/>
          <w:szCs w:val="32"/>
        </w:rPr>
        <w:t>分，自评结果为“优”。针对绩效自评结果，拟通过以下措施强化绩效自评结果的运用：一是利用绩效自评成果改进下一年度绩效自评指标及时总结经验，改进管理措施，从而完善项目自评机制，有效提高资金管理水平和使用效率，确保项目按要求完成，及时发挥财政资金效能；二是与下一年度预算安排结合，本次自评结果作为下一年度预算的重要依据，对于合理安排下一年度预算起到关键作用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本次评价结果将在县交通局门户网站进行公示公开，广泛接受社会监督。各项目单位评价结果将做为下一年度资金安排重要依据。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五、其他需要说明的问题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无。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六、附件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  <w:lang w:eastAsia="zh-CN"/>
        </w:rPr>
        <w:t>丰都</w:t>
      </w:r>
      <w:r>
        <w:rPr>
          <w:rFonts w:hint="eastAsia" w:ascii="方正仿宋_GBK" w:hAnsi="仿宋_GB2312" w:eastAsia="方正仿宋_GBK" w:cs="仿宋_GB2312"/>
          <w:szCs w:val="32"/>
        </w:rPr>
        <w:t>县大桥管理事务中心</w:t>
      </w: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年度</w:t>
      </w:r>
      <w:r>
        <w:rPr>
          <w:rFonts w:hint="eastAsia" w:ascii="方正仿宋_GBK" w:hAnsi="仿宋_GB2312" w:eastAsia="方正仿宋_GBK" w:cs="仿宋_GB2312"/>
          <w:szCs w:val="32"/>
          <w:lang w:val="en-US" w:eastAsia="zh-CN"/>
        </w:rPr>
        <w:t>二级</w:t>
      </w:r>
      <w:r>
        <w:rPr>
          <w:rFonts w:hint="eastAsia" w:ascii="方正仿宋_GBK" w:hAnsi="仿宋_GB2312" w:eastAsia="方正仿宋_GBK" w:cs="仿宋_GB2312"/>
          <w:szCs w:val="32"/>
        </w:rPr>
        <w:t>项目绩效目标自评表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6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3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4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3E2635E"/>
    <w:rsid w:val="00003335"/>
    <w:rsid w:val="000309DB"/>
    <w:rsid w:val="00034420"/>
    <w:rsid w:val="0006465F"/>
    <w:rsid w:val="000858F9"/>
    <w:rsid w:val="000D6675"/>
    <w:rsid w:val="00173A68"/>
    <w:rsid w:val="00203CFF"/>
    <w:rsid w:val="00271C31"/>
    <w:rsid w:val="00277CEC"/>
    <w:rsid w:val="00285621"/>
    <w:rsid w:val="002D2811"/>
    <w:rsid w:val="002E698B"/>
    <w:rsid w:val="00305B84"/>
    <w:rsid w:val="00321AFC"/>
    <w:rsid w:val="003376FF"/>
    <w:rsid w:val="00374D4A"/>
    <w:rsid w:val="0039488D"/>
    <w:rsid w:val="003A4150"/>
    <w:rsid w:val="003B5633"/>
    <w:rsid w:val="00401F76"/>
    <w:rsid w:val="00440B6A"/>
    <w:rsid w:val="00444EFA"/>
    <w:rsid w:val="0047124B"/>
    <w:rsid w:val="00495DDD"/>
    <w:rsid w:val="004A3298"/>
    <w:rsid w:val="004A6F22"/>
    <w:rsid w:val="004F36B0"/>
    <w:rsid w:val="00542342"/>
    <w:rsid w:val="005778EC"/>
    <w:rsid w:val="005E30A3"/>
    <w:rsid w:val="005E5A6E"/>
    <w:rsid w:val="00671CA2"/>
    <w:rsid w:val="006749D1"/>
    <w:rsid w:val="006C6C83"/>
    <w:rsid w:val="0071598E"/>
    <w:rsid w:val="00736216"/>
    <w:rsid w:val="00740F94"/>
    <w:rsid w:val="007C47DC"/>
    <w:rsid w:val="007E2FB7"/>
    <w:rsid w:val="00800961"/>
    <w:rsid w:val="00834A8D"/>
    <w:rsid w:val="008B3422"/>
    <w:rsid w:val="008C19E6"/>
    <w:rsid w:val="008E165E"/>
    <w:rsid w:val="00954216"/>
    <w:rsid w:val="00964326"/>
    <w:rsid w:val="00965970"/>
    <w:rsid w:val="00980347"/>
    <w:rsid w:val="009A4F47"/>
    <w:rsid w:val="009A61C8"/>
    <w:rsid w:val="009C210C"/>
    <w:rsid w:val="009C41BC"/>
    <w:rsid w:val="00A520CF"/>
    <w:rsid w:val="00A55E4E"/>
    <w:rsid w:val="00A614F0"/>
    <w:rsid w:val="00AB6229"/>
    <w:rsid w:val="00AC775E"/>
    <w:rsid w:val="00AE2B00"/>
    <w:rsid w:val="00AF2EEA"/>
    <w:rsid w:val="00AF7709"/>
    <w:rsid w:val="00B53501"/>
    <w:rsid w:val="00B84507"/>
    <w:rsid w:val="00BD5B74"/>
    <w:rsid w:val="00C06D36"/>
    <w:rsid w:val="00C81934"/>
    <w:rsid w:val="00C90A37"/>
    <w:rsid w:val="00CD19B3"/>
    <w:rsid w:val="00D32DB3"/>
    <w:rsid w:val="00D33D41"/>
    <w:rsid w:val="00D422A1"/>
    <w:rsid w:val="00D62A40"/>
    <w:rsid w:val="00D912F6"/>
    <w:rsid w:val="00DC57F7"/>
    <w:rsid w:val="00DD2202"/>
    <w:rsid w:val="00DE1749"/>
    <w:rsid w:val="00E05F59"/>
    <w:rsid w:val="00E272BC"/>
    <w:rsid w:val="00E36192"/>
    <w:rsid w:val="00E52611"/>
    <w:rsid w:val="00EB29BF"/>
    <w:rsid w:val="00EF2A8E"/>
    <w:rsid w:val="00F01151"/>
    <w:rsid w:val="00F22ADB"/>
    <w:rsid w:val="00F26E04"/>
    <w:rsid w:val="00FA0968"/>
    <w:rsid w:val="00FA7014"/>
    <w:rsid w:val="00FB6CD8"/>
    <w:rsid w:val="00FD1FD1"/>
    <w:rsid w:val="02A757AF"/>
    <w:rsid w:val="03D40D58"/>
    <w:rsid w:val="03E2635E"/>
    <w:rsid w:val="056858EB"/>
    <w:rsid w:val="05F27D2D"/>
    <w:rsid w:val="06A50054"/>
    <w:rsid w:val="06FF4708"/>
    <w:rsid w:val="072B67C2"/>
    <w:rsid w:val="076247AC"/>
    <w:rsid w:val="07CF0A92"/>
    <w:rsid w:val="081F25E1"/>
    <w:rsid w:val="08965AA3"/>
    <w:rsid w:val="08C302C2"/>
    <w:rsid w:val="08FC454D"/>
    <w:rsid w:val="0A696CA3"/>
    <w:rsid w:val="0ACE4448"/>
    <w:rsid w:val="0B57692B"/>
    <w:rsid w:val="0B5F3D37"/>
    <w:rsid w:val="0BEE2322"/>
    <w:rsid w:val="0CCE7DBE"/>
    <w:rsid w:val="0E4A52A5"/>
    <w:rsid w:val="0EF44B98"/>
    <w:rsid w:val="0EFB0E72"/>
    <w:rsid w:val="0FC4616A"/>
    <w:rsid w:val="0FFD75C9"/>
    <w:rsid w:val="11D413CD"/>
    <w:rsid w:val="13515442"/>
    <w:rsid w:val="14C57522"/>
    <w:rsid w:val="15357481"/>
    <w:rsid w:val="156947AC"/>
    <w:rsid w:val="15DC4AEB"/>
    <w:rsid w:val="15F00942"/>
    <w:rsid w:val="16EE36AF"/>
    <w:rsid w:val="17CC781A"/>
    <w:rsid w:val="17E54B40"/>
    <w:rsid w:val="18323044"/>
    <w:rsid w:val="186F4AA4"/>
    <w:rsid w:val="19AB6BF7"/>
    <w:rsid w:val="19C11524"/>
    <w:rsid w:val="19F945AB"/>
    <w:rsid w:val="1B3006DC"/>
    <w:rsid w:val="1BD76C61"/>
    <w:rsid w:val="1C7C6848"/>
    <w:rsid w:val="1C7E55CF"/>
    <w:rsid w:val="1CC01990"/>
    <w:rsid w:val="1CCB1E4B"/>
    <w:rsid w:val="1CDA2465"/>
    <w:rsid w:val="1D3C3403"/>
    <w:rsid w:val="1D7F2BF3"/>
    <w:rsid w:val="1F21724F"/>
    <w:rsid w:val="206372DA"/>
    <w:rsid w:val="20CF0D61"/>
    <w:rsid w:val="23110016"/>
    <w:rsid w:val="2378543C"/>
    <w:rsid w:val="23E11F56"/>
    <w:rsid w:val="240B730E"/>
    <w:rsid w:val="240D4A36"/>
    <w:rsid w:val="25452535"/>
    <w:rsid w:val="25B427E8"/>
    <w:rsid w:val="2617288D"/>
    <w:rsid w:val="2913316F"/>
    <w:rsid w:val="2A003631"/>
    <w:rsid w:val="2A8D1D2B"/>
    <w:rsid w:val="2B341EF0"/>
    <w:rsid w:val="2C645E65"/>
    <w:rsid w:val="2E8F63EE"/>
    <w:rsid w:val="2E931CD3"/>
    <w:rsid w:val="2F043E2F"/>
    <w:rsid w:val="2F752E78"/>
    <w:rsid w:val="313F7767"/>
    <w:rsid w:val="318D3859"/>
    <w:rsid w:val="327B4FBE"/>
    <w:rsid w:val="327D69E4"/>
    <w:rsid w:val="33903A05"/>
    <w:rsid w:val="33F00AC4"/>
    <w:rsid w:val="34335D8E"/>
    <w:rsid w:val="34D73340"/>
    <w:rsid w:val="356773AC"/>
    <w:rsid w:val="357850C8"/>
    <w:rsid w:val="36386400"/>
    <w:rsid w:val="366208C9"/>
    <w:rsid w:val="36A125AC"/>
    <w:rsid w:val="37B77B75"/>
    <w:rsid w:val="38FC020D"/>
    <w:rsid w:val="39AB70AC"/>
    <w:rsid w:val="39C452F8"/>
    <w:rsid w:val="3A7F4B06"/>
    <w:rsid w:val="3AB55CFA"/>
    <w:rsid w:val="3B29751D"/>
    <w:rsid w:val="3B4C09D6"/>
    <w:rsid w:val="3C520284"/>
    <w:rsid w:val="3C743CBC"/>
    <w:rsid w:val="3C881C2C"/>
    <w:rsid w:val="3DB8304E"/>
    <w:rsid w:val="3DC10E17"/>
    <w:rsid w:val="3DC50166"/>
    <w:rsid w:val="3DFA2BBE"/>
    <w:rsid w:val="3EB86474"/>
    <w:rsid w:val="3F6F584D"/>
    <w:rsid w:val="40071619"/>
    <w:rsid w:val="41826907"/>
    <w:rsid w:val="42345F07"/>
    <w:rsid w:val="42794B49"/>
    <w:rsid w:val="44215F39"/>
    <w:rsid w:val="442D73A0"/>
    <w:rsid w:val="44883334"/>
    <w:rsid w:val="44AC00B9"/>
    <w:rsid w:val="459B6C74"/>
    <w:rsid w:val="476F0BC1"/>
    <w:rsid w:val="479C75F5"/>
    <w:rsid w:val="47E258D1"/>
    <w:rsid w:val="4B4B5EC8"/>
    <w:rsid w:val="4B77583B"/>
    <w:rsid w:val="4BB704B1"/>
    <w:rsid w:val="4C7C75DA"/>
    <w:rsid w:val="4D131782"/>
    <w:rsid w:val="4FA41E34"/>
    <w:rsid w:val="506449AA"/>
    <w:rsid w:val="506D4B6B"/>
    <w:rsid w:val="50B22EF2"/>
    <w:rsid w:val="50C30C0E"/>
    <w:rsid w:val="50DB5B88"/>
    <w:rsid w:val="51AF2A36"/>
    <w:rsid w:val="51C82A3A"/>
    <w:rsid w:val="51FD5492"/>
    <w:rsid w:val="52654633"/>
    <w:rsid w:val="53211D72"/>
    <w:rsid w:val="53273C7B"/>
    <w:rsid w:val="537B3086"/>
    <w:rsid w:val="53AB3ED4"/>
    <w:rsid w:val="53BB08EB"/>
    <w:rsid w:val="541C548D"/>
    <w:rsid w:val="54C75926"/>
    <w:rsid w:val="54FC2087"/>
    <w:rsid w:val="554D50DF"/>
    <w:rsid w:val="55F73A99"/>
    <w:rsid w:val="57981C4F"/>
    <w:rsid w:val="58140590"/>
    <w:rsid w:val="58764423"/>
    <w:rsid w:val="58AD748A"/>
    <w:rsid w:val="59972C8B"/>
    <w:rsid w:val="5A5B3CCD"/>
    <w:rsid w:val="5BF062E2"/>
    <w:rsid w:val="5C344476"/>
    <w:rsid w:val="5C813653"/>
    <w:rsid w:val="5C883DDD"/>
    <w:rsid w:val="5CB1580F"/>
    <w:rsid w:val="5CC21EBE"/>
    <w:rsid w:val="5E340A9B"/>
    <w:rsid w:val="5F715F24"/>
    <w:rsid w:val="5F956A3B"/>
    <w:rsid w:val="5FE274DC"/>
    <w:rsid w:val="6061582C"/>
    <w:rsid w:val="61D66A13"/>
    <w:rsid w:val="62755297"/>
    <w:rsid w:val="629E2BD8"/>
    <w:rsid w:val="634D3C76"/>
    <w:rsid w:val="63554283"/>
    <w:rsid w:val="63FA16A1"/>
    <w:rsid w:val="650F29DD"/>
    <w:rsid w:val="65302858"/>
    <w:rsid w:val="65F64CD2"/>
    <w:rsid w:val="663B466F"/>
    <w:rsid w:val="66531D6F"/>
    <w:rsid w:val="67165330"/>
    <w:rsid w:val="67433876"/>
    <w:rsid w:val="67AC7A22"/>
    <w:rsid w:val="67F35C18"/>
    <w:rsid w:val="680B32BF"/>
    <w:rsid w:val="687605C0"/>
    <w:rsid w:val="688A7410"/>
    <w:rsid w:val="692C2E86"/>
    <w:rsid w:val="69BD27FC"/>
    <w:rsid w:val="6ABB58F6"/>
    <w:rsid w:val="6BF03B2D"/>
    <w:rsid w:val="6BFB5F69"/>
    <w:rsid w:val="6DC30922"/>
    <w:rsid w:val="70073847"/>
    <w:rsid w:val="714C6B88"/>
    <w:rsid w:val="73BF7973"/>
    <w:rsid w:val="748E6D46"/>
    <w:rsid w:val="74B9560C"/>
    <w:rsid w:val="763273F7"/>
    <w:rsid w:val="765331AF"/>
    <w:rsid w:val="76D05224"/>
    <w:rsid w:val="777F67D8"/>
    <w:rsid w:val="77F77773"/>
    <w:rsid w:val="783930A9"/>
    <w:rsid w:val="79723C2C"/>
    <w:rsid w:val="79A559B4"/>
    <w:rsid w:val="79BA69C4"/>
    <w:rsid w:val="7A7570F7"/>
    <w:rsid w:val="7B0E3DF2"/>
    <w:rsid w:val="7B712812"/>
    <w:rsid w:val="7BE44D4F"/>
    <w:rsid w:val="7C676684"/>
    <w:rsid w:val="7DF24E2F"/>
    <w:rsid w:val="7E0769F8"/>
    <w:rsid w:val="7F107805"/>
    <w:rsid w:val="7F45445C"/>
    <w:rsid w:val="7F6E3D4B"/>
    <w:rsid w:val="9EDF4C0D"/>
    <w:rsid w:val="FBFF3FA6"/>
    <w:rsid w:val="FEA3BA90"/>
    <w:rsid w:val="FEDF062E"/>
    <w:rsid w:val="FF4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chapter%205%20single%20decision%20issued%20stamp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5 single decision issued stamp (downstream)</Template>
  <Pages>3</Pages>
  <Words>154</Words>
  <Characters>882</Characters>
  <Lines>7</Lines>
  <Paragraphs>2</Paragraphs>
  <TotalTime>708</TotalTime>
  <ScaleCrop>false</ScaleCrop>
  <LinksUpToDate>false</LinksUpToDate>
  <CharactersWithSpaces>1034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2022-06-07T10:01:00Z</dcterms:created>
  <dc:creator>UMP</dc:creator>
  <cp:lastModifiedBy>Administrator</cp:lastModifiedBy>
  <cp:lastPrinted>2024-04-15T08:30:00Z</cp:lastPrinted>
  <dcterms:modified xsi:type="dcterms:W3CDTF">2024-04-18T09:45:45Z</dcterms:modified>
  <dc:title>No:0000001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公文模板版本">
    <vt:lpwstr>20190329</vt:lpwstr>
  </property>
</Properties>
</file>