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宋体" w:hAnsi="宋体" w:eastAsia="宋体" w:cs="宋体"/>
          <w:b/>
          <w:bCs/>
          <w:sz w:val="52"/>
          <w:szCs w:val="52"/>
        </w:rPr>
      </w:pPr>
      <w:bookmarkStart w:id="1" w:name="_GoBack"/>
      <w:bookmarkEnd w:id="1"/>
      <w:bookmarkStart w:id="0" w:name="_Hlk37239649"/>
      <w:bookmarkEnd w:id="0"/>
      <w:r>
        <w:rPr>
          <w:rFonts w:hint="eastAsia" w:ascii="宋体" w:hAnsi="宋体" w:eastAsia="宋体" w:cs="宋体"/>
          <w:b/>
          <w:bCs/>
          <w:sz w:val="52"/>
          <w:szCs w:val="52"/>
        </w:rPr>
        <w:t>丰都县公路事务中心2024年部门预算</w:t>
      </w:r>
    </w:p>
    <w:p>
      <w:pPr>
        <w:spacing w:line="600" w:lineRule="exact"/>
        <w:jc w:val="center"/>
        <w:rPr>
          <w:rFonts w:hint="eastAsia" w:ascii="宋体" w:hAnsi="宋体" w:eastAsia="宋体" w:cs="宋体"/>
          <w:b/>
          <w:bCs/>
          <w:sz w:val="52"/>
          <w:szCs w:val="52"/>
        </w:rPr>
      </w:pPr>
      <w:r>
        <w:rPr>
          <w:rFonts w:hint="eastAsia" w:ascii="宋体" w:hAnsi="宋体" w:eastAsia="宋体" w:cs="宋体"/>
          <w:b/>
          <w:bCs/>
          <w:sz w:val="52"/>
          <w:szCs w:val="52"/>
        </w:rPr>
        <w:t>情况说明</w:t>
      </w:r>
    </w:p>
    <w:p>
      <w:pPr>
        <w:spacing w:line="600" w:lineRule="exact"/>
        <w:ind w:firstLine="1044" w:firstLineChars="200"/>
        <w:jc w:val="center"/>
        <w:rPr>
          <w:rFonts w:hint="eastAsia" w:ascii="宋体" w:hAnsi="宋体" w:eastAsia="宋体" w:cs="宋体"/>
          <w:b/>
          <w:bCs/>
          <w:sz w:val="52"/>
          <w:szCs w:val="52"/>
        </w:rPr>
      </w:pPr>
    </w:p>
    <w:p>
      <w:pPr>
        <w:numPr>
          <w:ilvl w:val="0"/>
          <w:numId w:val="1"/>
        </w:numPr>
        <w:spacing w:line="600" w:lineRule="exact"/>
        <w:ind w:left="-10" w:leftChars="0" w:firstLine="640" w:firstLineChars="0"/>
        <w:rPr>
          <w:rFonts w:hint="eastAsia" w:ascii="宋体" w:hAnsi="宋体" w:eastAsia="宋体" w:cs="宋体"/>
          <w:sz w:val="32"/>
          <w:szCs w:val="32"/>
        </w:rPr>
      </w:pPr>
      <w:r>
        <w:rPr>
          <w:rFonts w:hint="eastAsia" w:ascii="宋体" w:hAnsi="宋体" w:eastAsia="宋体" w:cs="宋体"/>
          <w:sz w:val="32"/>
          <w:szCs w:val="32"/>
        </w:rPr>
        <w:t>单位基本情况</w:t>
      </w:r>
    </w:p>
    <w:p>
      <w:pPr>
        <w:pStyle w:val="15"/>
        <w:widowControl w:val="0"/>
        <w:numPr>
          <w:ilvl w:val="0"/>
          <w:numId w:val="2"/>
        </w:numPr>
        <w:spacing w:line="600" w:lineRule="exact"/>
        <w:ind w:firstLine="640"/>
        <w:rPr>
          <w:rFonts w:hint="eastAsia" w:ascii="宋体" w:hAnsi="宋体" w:eastAsia="宋体" w:cs="宋体"/>
          <w:sz w:val="32"/>
          <w:szCs w:val="32"/>
        </w:rPr>
      </w:pPr>
      <w:r>
        <w:rPr>
          <w:rFonts w:hint="eastAsia" w:ascii="宋体" w:hAnsi="宋体" w:eastAsia="宋体" w:cs="宋体"/>
          <w:sz w:val="32"/>
          <w:szCs w:val="32"/>
        </w:rPr>
        <w:t>职能职责</w:t>
      </w:r>
    </w:p>
    <w:p>
      <w:pPr>
        <w:pStyle w:val="15"/>
        <w:widowControl w:val="0"/>
        <w:spacing w:line="600" w:lineRule="exact"/>
        <w:ind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（1）宗旨：为公路建设养护管理服务。</w:t>
      </w:r>
    </w:p>
    <w:p>
      <w:pPr>
        <w:pStyle w:val="15"/>
        <w:widowControl w:val="0"/>
        <w:spacing w:line="600" w:lineRule="exact"/>
        <w:ind w:firstLine="640" w:firstLineChars="200"/>
        <w:rPr>
          <w:rFonts w:hint="eastAsia" w:ascii="宋体" w:hAnsi="宋体" w:eastAsia="宋体" w:cs="宋体"/>
          <w:color w:val="000000"/>
          <w:sz w:val="32"/>
          <w:szCs w:val="32"/>
          <w:shd w:val="clear" w:color="auto" w:fill="FFFFFF"/>
        </w:rPr>
      </w:pPr>
      <w:r>
        <w:rPr>
          <w:rFonts w:hint="eastAsia" w:ascii="宋体" w:hAnsi="宋体" w:eastAsia="宋体" w:cs="宋体"/>
          <w:color w:val="000000"/>
          <w:sz w:val="32"/>
          <w:szCs w:val="32"/>
        </w:rPr>
        <w:t>（2）主要职责任务：参与全县公路发展规划；承担全县国、省、县道公路的勘测设计、建设、养护、绿化、防灾减灾、抢险修复、安全设施建设、战备渡口运行维护、交通运行状况监测、交通应急调度，智慧交通建设等工作；协助做好乡、村道公路的养护管理技术指导和检查考核工作。</w:t>
      </w:r>
    </w:p>
    <w:p>
      <w:pPr>
        <w:pStyle w:val="15"/>
        <w:widowControl w:val="0"/>
        <w:spacing w:line="600" w:lineRule="exact"/>
        <w:ind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（3）具体职责任务：</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1）贯彻执行有关公路工作的法律法规、方针政策和标准规范，参与拟订全县公路发展规划。</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2）承担全县国、省、县道公路养护任务，编制日常保养、小修保养等公路养护计划并组织实施。</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3）参与拟订全县国、省、县道公路的大中修、改扩建等项目计划，组织实施经上级批准的公路建设项目，协助做好相关公路建设项目的交竣工验收工作。</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4）参与拟订和组织实施全县公路水毁、安全、绿化等养护工程计划；按照规定组织实施国、省、县道公路自然灾害应急处置和抢修恢复。</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5）承担全县国、省、县道公路的养护巡查、路况评定、路网运行监测以及附属设施建设等事务工作；承担全县国、省、县道公路的使用安全工作；承担桥梁、隧道养护技术评定及日常养护工作；按主管部门要求参与公路勘测设计工作。</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6）参与全县国、省、县道公路建设和养护资金的筹措使用，提出专项资金使用计划及安排意见，跟踪管理资金使用情况。</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7）承担国、省、县道公路信息化发展的规划、建设和应用工作，组织开展公路环保节能减排工作。</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8）负责国防战备渡口运行维护，发挥国防交通和应急救援作用。</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9）协助推进乡道公路建设、“四好农村公路”创建工作，提供乡、村道公路的养护技术指导，协同主管部门搞好乡、村道公路检查考核工作。</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10）承担公路路政审批的行政辅助工作，协助公路路政执法的有关工作。</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11）协助推广应用公路行业的新标准、新技术、新材料、新工艺。</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12）负责整合交通信息基础设施设备（网络）资源、信息数据、人力资源和社会资源等信息资源，推进本县物联网和交通云计算发展，实施智慧交通建设。</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13）负责交通信息数据的采集、加工、分析、发布，搭建交通应急指挥物理平台，提供交通应急处置技术支持，实施交通应急调度。</w:t>
      </w:r>
    </w:p>
    <w:p>
      <w:pPr>
        <w:pStyle w:val="15"/>
        <w:widowControl w:val="0"/>
        <w:spacing w:line="600" w:lineRule="exact"/>
        <w:ind w:firstLine="640"/>
        <w:rPr>
          <w:rFonts w:hint="eastAsia" w:ascii="宋体" w:hAnsi="宋体" w:eastAsia="宋体" w:cs="宋体"/>
          <w:i/>
          <w:iCs/>
          <w:color w:val="000000"/>
          <w:sz w:val="32"/>
          <w:szCs w:val="32"/>
        </w:rPr>
      </w:pPr>
      <w:r>
        <w:rPr>
          <w:rFonts w:hint="eastAsia" w:ascii="宋体" w:hAnsi="宋体" w:eastAsia="宋体" w:cs="宋体"/>
          <w:color w:val="000000"/>
          <w:sz w:val="32"/>
          <w:szCs w:val="32"/>
        </w:rPr>
        <w:t>14）负责96096交通服务热线丰都分中心、交通网站、微博、微信的日常运行管理工作。</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15）组织开展全县公路行业党建精神文明建设和行风建设等工作。</w:t>
      </w:r>
    </w:p>
    <w:p>
      <w:pPr>
        <w:pStyle w:val="15"/>
        <w:widowControl w:val="0"/>
        <w:spacing w:line="600" w:lineRule="exact"/>
        <w:ind w:firstLine="640"/>
        <w:rPr>
          <w:rFonts w:hint="eastAsia" w:ascii="宋体" w:hAnsi="宋体" w:eastAsia="宋体" w:cs="宋体"/>
          <w:color w:val="000000"/>
          <w:sz w:val="32"/>
          <w:szCs w:val="32"/>
        </w:rPr>
      </w:pPr>
      <w:r>
        <w:rPr>
          <w:rFonts w:hint="eastAsia" w:ascii="宋体" w:hAnsi="宋体" w:eastAsia="宋体" w:cs="宋体"/>
          <w:color w:val="000000"/>
          <w:sz w:val="32"/>
          <w:szCs w:val="32"/>
        </w:rPr>
        <w:t>16）完成县交通局交办的其他工作。</w:t>
      </w:r>
    </w:p>
    <w:p>
      <w:pPr>
        <w:snapToGrid w:val="0"/>
        <w:spacing w:line="600" w:lineRule="exact"/>
        <w:ind w:firstLine="640" w:firstLineChars="200"/>
        <w:rPr>
          <w:rFonts w:hint="eastAsia" w:ascii="宋体" w:hAnsi="宋体" w:eastAsia="宋体" w:cs="宋体"/>
          <w:color w:val="000000"/>
          <w:sz w:val="32"/>
          <w:szCs w:val="32"/>
        </w:rPr>
      </w:pPr>
      <w:r>
        <w:rPr>
          <w:rFonts w:hint="eastAsia" w:ascii="宋体" w:hAnsi="宋体" w:eastAsia="宋体" w:cs="宋体"/>
          <w:color w:val="000000"/>
          <w:sz w:val="32"/>
          <w:szCs w:val="32"/>
        </w:rPr>
        <w:t>以上具体职责任务均属于基本公益服务。</w:t>
      </w:r>
    </w:p>
    <w:p>
      <w:pPr>
        <w:numPr>
          <w:ilvl w:val="0"/>
          <w:numId w:val="2"/>
        </w:numPr>
        <w:spacing w:line="600" w:lineRule="exact"/>
        <w:ind w:firstLine="640"/>
        <w:rPr>
          <w:rFonts w:hint="eastAsia" w:ascii="宋体" w:hAnsi="宋体" w:eastAsia="宋体" w:cs="宋体"/>
          <w:sz w:val="32"/>
          <w:szCs w:val="32"/>
        </w:rPr>
      </w:pPr>
      <w:r>
        <w:rPr>
          <w:rFonts w:hint="eastAsia" w:ascii="宋体" w:hAnsi="宋体" w:eastAsia="宋体" w:cs="宋体"/>
          <w:sz w:val="32"/>
          <w:szCs w:val="32"/>
        </w:rPr>
        <w:t>单位构成</w:t>
      </w:r>
    </w:p>
    <w:p>
      <w:pPr>
        <w:spacing w:line="600" w:lineRule="exact"/>
        <w:ind w:left="640"/>
        <w:rPr>
          <w:rFonts w:hint="eastAsia" w:ascii="宋体" w:hAnsi="宋体" w:eastAsia="宋体" w:cs="宋体"/>
          <w:sz w:val="32"/>
          <w:szCs w:val="32"/>
        </w:rPr>
      </w:pPr>
      <w:r>
        <w:rPr>
          <w:rFonts w:hint="eastAsia" w:ascii="宋体" w:hAnsi="宋体" w:eastAsia="宋体" w:cs="宋体"/>
          <w:sz w:val="32"/>
          <w:szCs w:val="32"/>
        </w:rPr>
        <w:t>丰都县公路事务中心属丰都县交通局下属二级预算单位。根据上述职责任务，中心设下列8个内设机构：</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1.办公室。承担中心日常运转工作，负责草拟综合性材料、公文运转、档案管理、政务公开、精神文明建设、后勤保障服务等工作；负责纠纷调解和信访稳定工作；负责议提案办理工作。</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2.政工科。负责党的建设和党风廉政建设工作；负责劳资、行业行风管理；负责内部审计工作；负责编制、人事、劳动力管理工作；负责职工教育培训和离退休职工管理工作；参与县境内乡、村道公路的养护监督、考核工作。</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3.财务科。负责编制本单位年度财务预决算，经批准后执行；负责按照有关规定开展中心财务收支和公路建设养护专项资金的会计核算、财务统计、分析评价、档案管理等工作，规范管理和使用各项资金；负责按规定发放职工工资和津补贴；负责公路建设养护项目的竣工决算工作，自觉接受审计等监督机关和社会各界监督。</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4.工程科。负责公路工程以及相关桥梁、隧道建设（整治）的施工管理、质量管理、进度管理、安全管理、预算控制管理；负责项目前期工作，落实项目合同管理和基本建设管理；参与公路工程预算编制及执行情况管理；负责公路工程交竣工验收。</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5.养护科。负责公路养护巡查和日常养护生产检查、公路技术状况评定管理；协助交通局对公路养护大中修工程、水毁抢险及地质灾害工程的预决算编制和执行情况管理，负责公路养护大中修工程、水毁抢险及地质灾害工程的项目实施、质量管理和验收工作；负责公路路政审批的行政辅助工作，协助开展公路路政执法的有关工作；负责养护站规范化建设、基础台账管理和养护职工教育培训管理；负责公路绿化工作，完善公路标志和安全设施；负责公路应急救援和抢险工作；负责按时填报各类养护生产报表。</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6.安全信息科。贯彻国家安全生产法律法规，建立健全安全生产制度，协调落实各项安全措施；处理安全生产事故，排查治理安全生产隐患；组织开展公路环保节能减排工作；负责综合治理、普法教育工作；负责公路路网监测、公路路况信息发布及交通流量调查、交通信息资源整合、交通运行数据采集分析等信息工作和公路养护大数据、智能化等信息化建设，监测、监控重要港口航道、车站、治超站、货运站场、桥梁、隧道及重要交通节点和网络舆情，适时实施应急调度管理；负责桥隧养护工程师的管理；负责全县公共客运车辆和船舶的GPS系统监控管理及信息收集；负责“96096”交通服务热线、交通政务网站、交通微博、微信的日常运行管理和维护，发布交通出行信息；负责养护“四新”技术的推广和应用；参与乡、村道养护技术指导和考核工作。</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7.机料科。负责机械设备的采购、使用管理、报废处置和档案管理；负责养护生产和公路建设的物资采购和生产工具的购买发放、使用管理；负责车辆和机械设备的维修管理、油料供应与消耗管理等工作；负责机驾人员管理、考勤调遣、检查督促工作。</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8.勘察设计室。负责公路、桥梁、港口、码头等交通基础设施的勘测设计、工程咨询工作；参与路网结构调整及发展规划工作；参与项目前期工作；参与农村公路现场技术指导工作。</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丰都县公路事务中心全额事业编制为53名，其中设主任1名、副主任3名，内设机构领导职数8名。</w:t>
      </w:r>
    </w:p>
    <w:p>
      <w:pPr>
        <w:numPr>
          <w:ilvl w:val="0"/>
          <w:numId w:val="1"/>
        </w:numPr>
        <w:spacing w:line="600" w:lineRule="exact"/>
        <w:ind w:left="-10" w:leftChars="0" w:firstLine="640" w:firstLineChars="0"/>
        <w:rPr>
          <w:rFonts w:hint="eastAsia" w:ascii="宋体" w:hAnsi="宋体" w:eastAsia="宋体" w:cs="宋体"/>
          <w:sz w:val="32"/>
          <w:szCs w:val="32"/>
        </w:rPr>
      </w:pPr>
      <w:r>
        <w:rPr>
          <w:rFonts w:hint="eastAsia" w:ascii="宋体" w:hAnsi="宋体" w:eastAsia="宋体" w:cs="宋体"/>
          <w:sz w:val="32"/>
          <w:szCs w:val="32"/>
        </w:rPr>
        <w:t>部门收支总体情况</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（一）收入预算：2024年年初预算数7230.43万元，其中：一般公共预算拨款7230.43万元</w:t>
      </w:r>
      <w:r>
        <w:rPr>
          <w:rFonts w:hint="eastAsia" w:ascii="宋体" w:hAnsi="宋体" w:eastAsia="宋体" w:cs="宋体"/>
          <w:sz w:val="32"/>
          <w:szCs w:val="32"/>
          <w:lang w:eastAsia="zh-CN"/>
        </w:rPr>
        <w:t>，</w:t>
      </w:r>
      <w:r>
        <w:rPr>
          <w:rFonts w:hint="eastAsia" w:ascii="宋体" w:hAnsi="宋体" w:eastAsia="宋体" w:cs="宋体"/>
          <w:sz w:val="32"/>
          <w:szCs w:val="32"/>
        </w:rPr>
        <w:t>政府性基金预算拨款0.00万元，国有资本经营预算拨款0.00万元</w:t>
      </w:r>
      <w:r>
        <w:rPr>
          <w:rFonts w:hint="eastAsia" w:ascii="宋体" w:hAnsi="宋体" w:eastAsia="宋体" w:cs="宋体"/>
          <w:sz w:val="32"/>
          <w:szCs w:val="32"/>
          <w:lang w:eastAsia="zh-CN"/>
        </w:rPr>
        <w:t>，</w:t>
      </w:r>
      <w:r>
        <w:rPr>
          <w:rFonts w:hint="eastAsia" w:ascii="宋体" w:hAnsi="宋体" w:eastAsia="宋体" w:cs="宋体"/>
          <w:sz w:val="32"/>
          <w:szCs w:val="32"/>
        </w:rPr>
        <w:t>事业收入0.00万元，事业单位经营收入0.00万元，其他收入0.00万元。收入较去年增加3800.22万元，主要是基本支出经费拨款减少160.56万元，项目经费拨款增加3960.78万元。</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二）支出预算：2024年年初预算数7230.43万元，其中：社会保障和就业支出661.67万元，卫生健康支出149.53万元，住房保障支出104.30万元，农林水支出33.58万元，交通运输支出6281.34万元。支出较去年增加3800.22万元，主要是基本支出减少160.56万元，项目支出增加3960.78万元。</w:t>
      </w:r>
    </w:p>
    <w:p>
      <w:pPr>
        <w:numPr>
          <w:ilvl w:val="0"/>
          <w:numId w:val="1"/>
        </w:numPr>
        <w:spacing w:line="600" w:lineRule="exact"/>
        <w:ind w:left="-10" w:leftChars="0" w:firstLine="640" w:firstLineChars="0"/>
        <w:rPr>
          <w:rFonts w:hint="eastAsia" w:ascii="宋体" w:hAnsi="宋体" w:eastAsia="宋体" w:cs="宋体"/>
          <w:sz w:val="32"/>
          <w:szCs w:val="32"/>
        </w:rPr>
      </w:pPr>
      <w:r>
        <w:rPr>
          <w:rFonts w:hint="eastAsia" w:ascii="宋体" w:hAnsi="宋体" w:eastAsia="宋体" w:cs="宋体"/>
          <w:sz w:val="32"/>
          <w:szCs w:val="32"/>
        </w:rPr>
        <w:t>部门预算情况说明</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2024年一般公共预算财政拨款收入7230.43万元，一般公共预算财政拨款支出7230.43万元，比2023年增加3800.22万元。其中：基本支出2688.23万元，比2023年减少160.56万元，主要原因是单位在职人员退休造成各项人员费用及公用经费减少等，主要用于保障在职人员工资福利及社会保险缴费，退休人员补助等，保障部门正常运转的各项商品服务支出；项目支出4542.20万元，比2023年增加3960.78万元，主要原因是2023年项目预算经费指标使用后留存预算资金较多，主要用于公路维修维护等重点工作。</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丰都县公路事务中心2024年无使用政府性基金预算拨款安排的支出。</w:t>
      </w:r>
    </w:p>
    <w:p>
      <w:pPr>
        <w:numPr>
          <w:ilvl w:val="0"/>
          <w:numId w:val="1"/>
        </w:numPr>
        <w:spacing w:line="600" w:lineRule="exact"/>
        <w:ind w:left="-10" w:leftChars="0" w:firstLine="640" w:firstLineChars="0"/>
        <w:rPr>
          <w:rFonts w:hint="eastAsia" w:ascii="宋体" w:hAnsi="宋体" w:eastAsia="宋体" w:cs="宋体"/>
          <w:sz w:val="32"/>
          <w:szCs w:val="32"/>
        </w:rPr>
      </w:pPr>
      <w:r>
        <w:rPr>
          <w:rFonts w:hint="eastAsia" w:ascii="宋体" w:hAnsi="宋体" w:eastAsia="宋体" w:cs="宋体"/>
          <w:sz w:val="32"/>
          <w:szCs w:val="32"/>
        </w:rPr>
        <w:t>“三公”经费情况说明</w:t>
      </w:r>
    </w:p>
    <w:p>
      <w:pPr>
        <w:ind w:firstLine="640" w:firstLineChars="200"/>
        <w:rPr>
          <w:rFonts w:hint="eastAsia" w:ascii="宋体" w:hAnsi="宋体" w:eastAsia="宋体" w:cs="宋体"/>
          <w:sz w:val="32"/>
          <w:szCs w:val="32"/>
        </w:rPr>
      </w:pPr>
      <w:r>
        <w:rPr>
          <w:rFonts w:hint="eastAsia" w:ascii="宋体" w:hAnsi="宋体" w:eastAsia="宋体" w:cs="宋体"/>
          <w:sz w:val="32"/>
          <w:szCs w:val="32"/>
        </w:rPr>
        <w:t>2024年“三公”经费预算2.70万元，比2023年减少0.30万元。其中：因公出国（境）费用0.00万元，与2023年比无减少或增加；公务接待费0.00万元，与2023年比无减少或增加；公务用车运行维护费2.70万元，比2023年减少0.30万元，主要原因是</w:t>
      </w:r>
      <w:r>
        <w:rPr>
          <w:rFonts w:hint="eastAsia" w:ascii="宋体" w:hAnsi="宋体" w:eastAsia="宋体" w:cs="宋体"/>
          <w:sz w:val="32"/>
        </w:rPr>
        <w:t>坚决落实过紧日子的要求，加强公务用车的管理，减少不必要的运行费用</w:t>
      </w:r>
      <w:r>
        <w:rPr>
          <w:rFonts w:hint="eastAsia" w:ascii="宋体" w:hAnsi="宋体" w:eastAsia="宋体" w:cs="宋体"/>
          <w:sz w:val="32"/>
          <w:szCs w:val="32"/>
        </w:rPr>
        <w:t>；公务用车购置费0.00万元，与2023年比无减少或增加。</w:t>
      </w:r>
    </w:p>
    <w:p>
      <w:pPr>
        <w:numPr>
          <w:ilvl w:val="0"/>
          <w:numId w:val="1"/>
        </w:numPr>
        <w:spacing w:line="600" w:lineRule="exact"/>
        <w:ind w:left="-10" w:leftChars="0" w:firstLine="640" w:firstLineChars="0"/>
        <w:rPr>
          <w:rFonts w:hint="eastAsia" w:ascii="宋体" w:hAnsi="宋体" w:eastAsia="宋体" w:cs="宋体"/>
          <w:sz w:val="32"/>
          <w:szCs w:val="32"/>
        </w:rPr>
      </w:pPr>
      <w:r>
        <w:rPr>
          <w:rFonts w:hint="eastAsia" w:ascii="宋体" w:hAnsi="宋体" w:eastAsia="宋体" w:cs="宋体"/>
          <w:sz w:val="32"/>
          <w:szCs w:val="32"/>
        </w:rPr>
        <w:t>其他重要事项的情况说明</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（一）我单位不在机关运行经费统计范围之内。</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二）政府采购情况。所属各预算单位政府采购预算总额0.00万元：政府采购货物预算0.00万元、政府采购工程预算0.00万元、政府采购服务预算0.00万元；其中一般公共预算拨款政府采购0.00万元：政府采购货物预算0.00万元、政府采购工程预算0.00万元、政府采购服务预算0.00万元。</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（三）绩效目标设置情况。2024年共1个项目实行了绩效目标管理，涉及资金量21.12万元。</w:t>
      </w:r>
    </w:p>
    <w:p>
      <w:pPr>
        <w:spacing w:line="600" w:lineRule="exact"/>
        <w:ind w:firstLine="640" w:firstLineChars="200"/>
        <w:rPr>
          <w:rFonts w:hint="eastAsia" w:ascii="宋体" w:hAnsi="宋体" w:eastAsia="宋体" w:cs="宋体"/>
          <w:color w:val="000000"/>
          <w:sz w:val="32"/>
          <w:szCs w:val="32"/>
        </w:rPr>
      </w:pPr>
      <w:r>
        <w:rPr>
          <w:rFonts w:hint="eastAsia" w:ascii="宋体" w:hAnsi="宋体" w:eastAsia="宋体" w:cs="宋体"/>
          <w:sz w:val="32"/>
          <w:szCs w:val="32"/>
        </w:rPr>
        <w:t>（四）国有资产占有使用情况。</w:t>
      </w:r>
      <w:r>
        <w:rPr>
          <w:rFonts w:hint="eastAsia" w:ascii="宋体" w:hAnsi="宋体" w:eastAsia="宋体" w:cs="宋体"/>
          <w:color w:val="000000"/>
          <w:sz w:val="32"/>
          <w:szCs w:val="32"/>
        </w:rPr>
        <w:t>截</w:t>
      </w:r>
      <w:r>
        <w:rPr>
          <w:rFonts w:hint="eastAsia" w:ascii="宋体" w:hAnsi="宋体" w:eastAsia="宋体" w:cs="宋体"/>
          <w:color w:val="000000"/>
          <w:sz w:val="32"/>
          <w:szCs w:val="32"/>
          <w:lang w:eastAsia="zh-CN"/>
        </w:rPr>
        <w:t>至</w:t>
      </w:r>
      <w:r>
        <w:rPr>
          <w:rFonts w:hint="eastAsia" w:ascii="宋体" w:hAnsi="宋体" w:eastAsia="宋体" w:cs="宋体"/>
          <w:color w:val="000000"/>
          <w:sz w:val="32"/>
          <w:szCs w:val="32"/>
        </w:rPr>
        <w:t>2023年12月，所属各预算单位共有车辆18辆，其中</w:t>
      </w:r>
      <w:r>
        <w:rPr>
          <w:rFonts w:hint="eastAsia" w:ascii="宋体" w:hAnsi="宋体" w:eastAsia="宋体" w:cs="宋体"/>
          <w:sz w:val="32"/>
          <w:szCs w:val="32"/>
        </w:rPr>
        <w:t>应急保障用车1辆、特种专业技术用车17辆</w:t>
      </w:r>
      <w:r>
        <w:rPr>
          <w:rFonts w:hint="eastAsia" w:ascii="宋体" w:hAnsi="宋体" w:eastAsia="宋体" w:cs="宋体"/>
          <w:color w:val="000000"/>
          <w:sz w:val="32"/>
          <w:szCs w:val="32"/>
        </w:rPr>
        <w:t>。2024年一般公共预算安排购置车辆0辆，其中一般公务用车0辆、执勤执法用车0辆。</w:t>
      </w:r>
    </w:p>
    <w:p>
      <w:pPr>
        <w:numPr>
          <w:ilvl w:val="0"/>
          <w:numId w:val="1"/>
        </w:numPr>
        <w:spacing w:line="600" w:lineRule="exact"/>
        <w:ind w:left="-10" w:leftChars="0" w:firstLine="640" w:firstLineChars="0"/>
        <w:rPr>
          <w:rFonts w:hint="eastAsia" w:ascii="宋体" w:hAnsi="宋体" w:eastAsia="宋体" w:cs="宋体"/>
          <w:sz w:val="32"/>
          <w:szCs w:val="32"/>
        </w:rPr>
      </w:pPr>
      <w:r>
        <w:rPr>
          <w:rFonts w:hint="eastAsia" w:ascii="宋体" w:hAnsi="宋体" w:eastAsia="宋体" w:cs="宋体"/>
          <w:sz w:val="32"/>
          <w:szCs w:val="32"/>
        </w:rPr>
        <w:t>专业性名词解释</w:t>
      </w:r>
    </w:p>
    <w:p>
      <w:pPr>
        <w:pStyle w:val="16"/>
        <w:tabs>
          <w:tab w:val="center" w:pos="4153"/>
          <w:tab w:val="left" w:pos="7275"/>
        </w:tabs>
        <w:spacing w:line="600" w:lineRule="exact"/>
        <w:ind w:firstLine="640"/>
        <w:jc w:val="left"/>
        <w:rPr>
          <w:rFonts w:hint="eastAsia" w:ascii="宋体" w:hAnsi="宋体" w:eastAsia="宋体" w:cs="宋体"/>
          <w:sz w:val="32"/>
          <w:szCs w:val="32"/>
        </w:rPr>
      </w:pPr>
      <w:r>
        <w:rPr>
          <w:rFonts w:hint="eastAsia" w:ascii="宋体" w:hAnsi="宋体" w:eastAsia="宋体" w:cs="宋体"/>
          <w:sz w:val="32"/>
          <w:szCs w:val="32"/>
        </w:rPr>
        <w:t>（一）财政拨款收入：指本年度从本级财政部门取得的财政拨款，包括一般公共预算财政拨款和政府性基金预算财政拨款。</w:t>
      </w:r>
    </w:p>
    <w:p>
      <w:pPr>
        <w:pStyle w:val="16"/>
        <w:tabs>
          <w:tab w:val="center" w:pos="4153"/>
          <w:tab w:val="left" w:pos="7275"/>
        </w:tabs>
        <w:spacing w:line="600" w:lineRule="exact"/>
        <w:ind w:firstLine="640"/>
        <w:jc w:val="left"/>
        <w:rPr>
          <w:rFonts w:hint="eastAsia" w:ascii="宋体" w:hAnsi="宋体" w:eastAsia="宋体" w:cs="宋体"/>
          <w:sz w:val="32"/>
          <w:szCs w:val="32"/>
        </w:rPr>
      </w:pPr>
      <w:r>
        <w:rPr>
          <w:rFonts w:hint="eastAsia" w:ascii="宋体" w:hAnsi="宋体" w:eastAsia="宋体" w:cs="宋体"/>
          <w:sz w:val="32"/>
          <w:szCs w:val="32"/>
        </w:rPr>
        <w:t>（二）其他收入：指单位取得的除“财政拨款收入”、“事业收入”、“经营收入”等以外的收入。</w:t>
      </w:r>
    </w:p>
    <w:p>
      <w:pPr>
        <w:pStyle w:val="16"/>
        <w:tabs>
          <w:tab w:val="center" w:pos="4153"/>
          <w:tab w:val="left" w:pos="7275"/>
        </w:tabs>
        <w:spacing w:line="600" w:lineRule="exact"/>
        <w:ind w:firstLine="640"/>
        <w:jc w:val="left"/>
        <w:rPr>
          <w:rFonts w:hint="eastAsia" w:ascii="宋体" w:hAnsi="宋体" w:eastAsia="宋体" w:cs="宋体"/>
          <w:sz w:val="32"/>
          <w:szCs w:val="32"/>
        </w:rPr>
      </w:pPr>
      <w:r>
        <w:rPr>
          <w:rFonts w:hint="eastAsia" w:ascii="宋体" w:hAnsi="宋体" w:eastAsia="宋体" w:cs="宋体"/>
          <w:sz w:val="32"/>
          <w:szCs w:val="32"/>
        </w:rPr>
        <w:t>（三）基本支出：指为保障机构正常运转、完成日常工作任务而发生的人员经费和公用经费。</w:t>
      </w:r>
    </w:p>
    <w:p>
      <w:pPr>
        <w:pStyle w:val="16"/>
        <w:tabs>
          <w:tab w:val="center" w:pos="4153"/>
          <w:tab w:val="left" w:pos="7275"/>
        </w:tabs>
        <w:spacing w:line="600" w:lineRule="exact"/>
        <w:ind w:firstLine="640"/>
        <w:jc w:val="left"/>
        <w:rPr>
          <w:rFonts w:hint="eastAsia" w:ascii="宋体" w:hAnsi="宋体" w:eastAsia="宋体" w:cs="宋体"/>
          <w:sz w:val="32"/>
          <w:szCs w:val="32"/>
        </w:rPr>
      </w:pPr>
      <w:r>
        <w:rPr>
          <w:rFonts w:hint="eastAsia" w:ascii="宋体" w:hAnsi="宋体" w:eastAsia="宋体" w:cs="宋体"/>
          <w:sz w:val="32"/>
          <w:szCs w:val="32"/>
        </w:rPr>
        <w:t>（四）项目支出：指在基本支出之外为完成特定行政任务和事业发展目标所发生的支出。</w:t>
      </w:r>
    </w:p>
    <w:p>
      <w:pPr>
        <w:spacing w:line="600" w:lineRule="exact"/>
        <w:ind w:firstLine="640" w:firstLineChars="200"/>
        <w:rPr>
          <w:rFonts w:hint="eastAsia" w:ascii="宋体" w:hAnsi="宋体" w:eastAsia="宋体" w:cs="宋体"/>
          <w:color w:val="000000"/>
          <w:sz w:val="32"/>
          <w:szCs w:val="32"/>
        </w:rPr>
      </w:pPr>
      <w:r>
        <w:rPr>
          <w:rFonts w:hint="eastAsia" w:ascii="宋体" w:hAnsi="宋体" w:eastAsia="宋体" w:cs="宋体"/>
          <w:sz w:val="32"/>
          <w:szCs w:val="32"/>
        </w:rPr>
        <w:t>（五）“三公”经费：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spacing w:line="6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部门预算公开联系人：杨林霞 联系方式：023-70609173</w:t>
      </w:r>
    </w:p>
    <w:p>
      <w:pPr>
        <w:spacing w:line="600" w:lineRule="exact"/>
        <w:ind w:firstLine="640" w:firstLineChars="200"/>
        <w:rPr>
          <w:rFonts w:hint="eastAsia" w:ascii="宋体" w:hAnsi="宋体" w:eastAsia="宋体" w:cs="宋体"/>
          <w:sz w:val="32"/>
          <w:szCs w:val="32"/>
        </w:rPr>
      </w:pPr>
    </w:p>
    <w:p>
      <w:pPr>
        <w:spacing w:line="600" w:lineRule="exact"/>
        <w:ind w:firstLine="640" w:firstLineChars="200"/>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附；丰都县公路事务中心2024年单位预算公开表</w:t>
      </w:r>
    </w:p>
    <w:p/>
    <w:sectPr>
      <w:pgSz w:w="11906" w:h="16838"/>
      <w:pgMar w:top="2098" w:right="1418" w:bottom="1985"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B6EDBF16-571C-4C71-829B-DE84CEE2EEB9}"/>
  </w:font>
  <w:font w:name="宋体">
    <w:panose1 w:val="02010600030101010101"/>
    <w:charset w:val="7A"/>
    <w:family w:val="auto"/>
    <w:pitch w:val="default"/>
    <w:sig w:usb0="00000003" w:usb1="288F0000" w:usb2="00000006" w:usb3="00000000" w:csb0="00040001" w:csb1="00000000"/>
    <w:embedRegular r:id="rId2" w:fontKey="{E59F733F-D538-449F-B8DC-4F5DC75956CC}"/>
  </w:font>
  <w:font w:name="Wingdings">
    <w:panose1 w:val="05000000000000000000"/>
    <w:charset w:val="02"/>
    <w:family w:val="auto"/>
    <w:pitch w:val="default"/>
    <w:sig w:usb0="00000000" w:usb1="00000000" w:usb2="00000000" w:usb3="00000000" w:csb0="80000000" w:csb1="00000000"/>
    <w:embedRegular r:id="rId3" w:fontKey="{B1C84FED-D9B2-43AF-B3E4-664D8DFFF04B}"/>
  </w:font>
  <w:font w:name="Arial">
    <w:panose1 w:val="020B0604020202020204"/>
    <w:charset w:val="01"/>
    <w:family w:val="swiss"/>
    <w:pitch w:val="default"/>
    <w:sig w:usb0="E0002EFF" w:usb1="C0007843" w:usb2="00000009" w:usb3="00000000" w:csb0="400001FF" w:csb1="FFFF0000"/>
    <w:embedRegular r:id="rId4" w:fontKey="{E4B5DC8F-0063-4755-A66B-6E0CED029A4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C4892B01-5127-4121-AFEA-3FFA1D2FC722}"/>
  </w:font>
  <w:font w:name="Symbol">
    <w:panose1 w:val="05050102010706020507"/>
    <w:charset w:val="02"/>
    <w:family w:val="roman"/>
    <w:pitch w:val="default"/>
    <w:sig w:usb0="00000000" w:usb1="00000000" w:usb2="00000000" w:usb3="00000000" w:csb0="80000000" w:csb1="00000000"/>
    <w:embedRegular r:id="rId6" w:fontKey="{078282A4-94A3-4B9E-B16B-70238DB8E38A}"/>
  </w:font>
  <w:font w:name="Calibri">
    <w:panose1 w:val="020F0502020204030204"/>
    <w:charset w:val="00"/>
    <w:family w:val="swiss"/>
    <w:pitch w:val="default"/>
    <w:sig w:usb0="E0002AFF" w:usb1="C000247B" w:usb2="00000009" w:usb3="00000000" w:csb0="200001FF" w:csb1="00000000"/>
    <w:embedRegular r:id="rId7" w:fontKey="{1BD52F1B-CA7A-4186-AC4D-5B7D6CDFE544}"/>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CD83"/>
    <w:multiLevelType w:val="singleLevel"/>
    <w:tmpl w:val="00B3CD83"/>
    <w:lvl w:ilvl="0" w:tentative="0">
      <w:start w:val="1"/>
      <w:numFmt w:val="chineseCounting"/>
      <w:suff w:val="nothing"/>
      <w:lvlText w:val="（%1）"/>
      <w:lvlJc w:val="left"/>
      <w:rPr>
        <w:rFonts w:hint="eastAsia"/>
      </w:rPr>
    </w:lvl>
  </w:abstractNum>
  <w:abstractNum w:abstractNumId="1">
    <w:nsid w:val="5847F1BC"/>
    <w:multiLevelType w:val="singleLevel"/>
    <w:tmpl w:val="5847F1BC"/>
    <w:lvl w:ilvl="0" w:tentative="0">
      <w:start w:val="1"/>
      <w:numFmt w:val="chineseCounting"/>
      <w:suff w:val="nothing"/>
      <w:lvlText w:val="%1、"/>
      <w:lvlJc w:val="left"/>
      <w:pPr>
        <w:ind w:left="-10"/>
      </w:pPr>
      <w:rPr>
        <w:rFonts w:hint="eastAsia" w:ascii="宋体" w:hAnsi="宋体" w:eastAsia="宋体" w:cs="宋体"/>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zZGI4M2E3MjBmMGVmN2QzZWNlMmZhMGE3MDA0NjEifQ=="/>
    <w:docVar w:name="KSO_WPS_MARK_KEY" w:val="a0b3c03b-9514-4894-b3eb-f38c178bbad2"/>
  </w:docVars>
  <w:rsids>
    <w:rsidRoot w:val="489725FA"/>
    <w:rsid w:val="00031473"/>
    <w:rsid w:val="00463C3D"/>
    <w:rsid w:val="00716A7E"/>
    <w:rsid w:val="007C66EE"/>
    <w:rsid w:val="008B3386"/>
    <w:rsid w:val="00A82CB1"/>
    <w:rsid w:val="00A937FE"/>
    <w:rsid w:val="00E358A8"/>
    <w:rsid w:val="00E8406C"/>
    <w:rsid w:val="00EA5C06"/>
    <w:rsid w:val="080C4E30"/>
    <w:rsid w:val="0A02096A"/>
    <w:rsid w:val="0CB9190B"/>
    <w:rsid w:val="22394A78"/>
    <w:rsid w:val="26F86C44"/>
    <w:rsid w:val="28C906A9"/>
    <w:rsid w:val="305013A8"/>
    <w:rsid w:val="43101946"/>
    <w:rsid w:val="489725FA"/>
    <w:rsid w:val="500D151B"/>
    <w:rsid w:val="5B9305EA"/>
    <w:rsid w:val="6CFC69CA"/>
    <w:rsid w:val="6F243B3E"/>
    <w:rsid w:val="70335A5D"/>
    <w:rsid w:val="707B6D2D"/>
    <w:rsid w:val="7D382992"/>
    <w:rsid w:val="7F0A4561"/>
    <w:rsid w:val="F3FB27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pPr>
      <w:ind w:left="2100"/>
    </w:pPr>
  </w:style>
  <w:style w:type="paragraph" w:styleId="3">
    <w:name w:val="Body Text"/>
    <w:basedOn w:val="1"/>
    <w:next w:val="1"/>
    <w:qFormat/>
    <w:uiPriority w:val="99"/>
    <w:pPr>
      <w:spacing w:after="120" w:line="240" w:lineRule="atLeast"/>
    </w:pPr>
    <w:rPr>
      <w:rFonts w:ascii="Times New Roman" w:hAnsi="Times New Roman" w:eastAsia="仿宋_GB2312"/>
      <w:spacing w:val="-6"/>
      <w:szCs w:val="20"/>
    </w:rPr>
  </w:style>
  <w:style w:type="paragraph" w:styleId="4">
    <w:name w:val="footer"/>
    <w:basedOn w:val="1"/>
    <w:link w:val="14"/>
    <w:qFormat/>
    <w:uiPriority w:val="0"/>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style>
  <w:style w:type="paragraph" w:styleId="7">
    <w:name w:val="Normal (Web)"/>
    <w:basedOn w:val="1"/>
    <w:qFormat/>
    <w:uiPriority w:val="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240" w:lineRule="auto"/>
      <w:ind w:left="0" w:right="0" w:firstLine="0"/>
      <w:contextualSpacing w:val="0"/>
      <w:jc w:val="left"/>
      <w:textAlignment w:val="auto"/>
      <w:outlineLvl w:val="9"/>
    </w:pPr>
    <w:rPr>
      <w:rFonts w:ascii="宋体" w:hAnsi="Times New Roman" w:eastAsia="宋体" w:cs="宋体"/>
      <w:snapToGrid/>
      <w:color w:val="auto"/>
      <w:spacing w:val="0"/>
      <w:w w:val="100"/>
      <w:kern w:val="0"/>
      <w:position w:val="0"/>
      <w:sz w:val="24"/>
      <w:szCs w:val="24"/>
      <w:u w:val="none" w:color="auto"/>
      <w:shd w:val="clear" w:color="auto" w:fill="auto"/>
      <w:vertAlign w:val="baseline"/>
      <w:lang w:val="en-US" w:eastAsia="zh-CN" w:bidi="ar-SA"/>
    </w:rPr>
  </w:style>
  <w:style w:type="character" w:styleId="10">
    <w:name w:val="Hyperlink"/>
    <w:basedOn w:val="9"/>
    <w:qFormat/>
    <w:uiPriority w:val="0"/>
    <w:rPr>
      <w:color w:val="0000FF"/>
      <w:u w:val="single"/>
    </w:rPr>
  </w:style>
  <w:style w:type="paragraph" w:customStyle="1" w:styleId="11">
    <w:name w:val="样式1"/>
    <w:basedOn w:val="6"/>
    <w:next w:val="6"/>
    <w:qFormat/>
    <w:uiPriority w:val="0"/>
    <w:pPr>
      <w:widowControl/>
      <w:shd w:val="clear" w:color="auto" w:fill="FFFFFF"/>
      <w:spacing w:line="560" w:lineRule="exact"/>
    </w:pPr>
    <w:rPr>
      <w:rFonts w:ascii="Times New Roman" w:hAnsi="Times New Roman" w:eastAsia="方正小标宋_GBK"/>
      <w:b/>
      <w:sz w:val="44"/>
      <w:szCs w:val="44"/>
      <w:shd w:val="clear" w:color="auto" w:fill="FFFFFF"/>
    </w:rPr>
  </w:style>
  <w:style w:type="character" w:customStyle="1" w:styleId="12">
    <w:name w:val="font01"/>
    <w:basedOn w:val="9"/>
    <w:qFormat/>
    <w:uiPriority w:val="0"/>
    <w:rPr>
      <w:rFonts w:hint="eastAsia" w:ascii="宋体" w:hAnsi="宋体" w:eastAsia="宋体" w:cs="宋体"/>
      <w:color w:val="000000"/>
      <w:sz w:val="22"/>
      <w:szCs w:val="22"/>
      <w:u w:val="none"/>
    </w:rPr>
  </w:style>
  <w:style w:type="character" w:customStyle="1" w:styleId="13">
    <w:name w:val="页眉 字符"/>
    <w:basedOn w:val="9"/>
    <w:link w:val="5"/>
    <w:qFormat/>
    <w:uiPriority w:val="0"/>
    <w:rPr>
      <w:kern w:val="2"/>
      <w:sz w:val="18"/>
      <w:szCs w:val="18"/>
    </w:rPr>
  </w:style>
  <w:style w:type="character" w:customStyle="1" w:styleId="14">
    <w:name w:val="页脚 字符"/>
    <w:basedOn w:val="9"/>
    <w:link w:val="4"/>
    <w:qFormat/>
    <w:uiPriority w:val="0"/>
    <w:rPr>
      <w:kern w:val="2"/>
      <w:sz w:val="18"/>
      <w:szCs w:val="18"/>
    </w:rPr>
  </w:style>
  <w:style w:type="paragraph" w:customStyle="1" w:styleId="15">
    <w:name w:val="p0"/>
    <w:qFormat/>
    <w:uiPriority w:val="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suppressAutoHyphens w:val="0"/>
      <w:kinsoku/>
      <w:wordWrap/>
      <w:overflowPunct/>
      <w:topLinePunct w:val="0"/>
      <w:autoSpaceDE/>
      <w:autoSpaceDN/>
      <w:bidi w:val="0"/>
      <w:adjustRightInd/>
      <w:snapToGrid/>
      <w:spacing w:before="0" w:beforeAutospacing="0" w:after="0" w:afterAutospacing="0" w:line="240" w:lineRule="auto"/>
      <w:ind w:left="0" w:right="0" w:firstLine="0"/>
      <w:contextualSpacing w:val="0"/>
      <w:jc w:val="both"/>
      <w:textAlignment w:val="auto"/>
      <w:outlineLvl w:val="9"/>
    </w:pPr>
    <w:rPr>
      <w:rFonts w:ascii="Times New Roman" w:hAnsi="Times New Roman" w:eastAsia="宋体" w:cs="宋体"/>
      <w:snapToGrid/>
      <w:color w:val="auto"/>
      <w:spacing w:val="0"/>
      <w:w w:val="100"/>
      <w:kern w:val="0"/>
      <w:position w:val="0"/>
      <w:sz w:val="21"/>
      <w:szCs w:val="21"/>
      <w:u w:val="none" w:color="auto"/>
      <w:shd w:val="clear" w:color="auto" w:fill="auto"/>
      <w:vertAlign w:val="baseline"/>
      <w:lang w:val="en-US" w:eastAsia="zh-CN" w:bidi="ar-SA"/>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428</Words>
  <Characters>509</Characters>
  <Lines>4</Lines>
  <Paragraphs>1</Paragraphs>
  <TotalTime>10</TotalTime>
  <ScaleCrop>false</ScaleCrop>
  <LinksUpToDate>false</LinksUpToDate>
  <CharactersWithSpaces>509</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2023-10-20T15:14:00Z</dcterms:created>
  <dc:creator>作者</dc:creator>
  <cp:lastModifiedBy>Administrator</cp:lastModifiedBy>
  <cp:lastPrinted>2024-01-25T02:00:00Z</cp:lastPrinted>
  <dcterms:modified xsi:type="dcterms:W3CDTF">2024-03-29T01:49:08Z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D601FD3DC3D2429886BC7595C559A112_11</vt:lpwstr>
  </property>
</Properties>
</file>