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C0C4E">
      <w:pPr>
        <w:pStyle w:val="10"/>
        <w:keepNext w:val="0"/>
        <w:keepLines w:val="0"/>
        <w:pageBreakBefore w:val="0"/>
        <w:widowControl/>
        <w:kinsoku/>
        <w:wordWrap/>
        <w:overflowPunct/>
        <w:topLinePunct w:val="0"/>
        <w:autoSpaceDN/>
        <w:bidi w:val="0"/>
        <w:adjustRightInd/>
        <w:spacing w:before="0" w:beforeAutospacing="0" w:after="0" w:afterAutospacing="0" w:line="60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丰都县交通运输综合行政执法支队</w:t>
      </w:r>
    </w:p>
    <w:p w14:paraId="7BA3A86C">
      <w:pPr>
        <w:pStyle w:val="10"/>
        <w:keepNext w:val="0"/>
        <w:keepLines w:val="0"/>
        <w:pageBreakBefore w:val="0"/>
        <w:widowControl/>
        <w:kinsoku/>
        <w:wordWrap/>
        <w:overflowPunct/>
        <w:topLinePunct w:val="0"/>
        <w:autoSpaceDN/>
        <w:bidi w:val="0"/>
        <w:adjustRightInd/>
        <w:spacing w:before="0" w:beforeAutospacing="0" w:after="0" w:afterAutospacing="0" w:line="600" w:lineRule="exact"/>
        <w:ind w:right="0" w:rightChars="0"/>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14:paraId="2F63FEBD">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3" w:firstLineChars="200"/>
        <w:textAlignment w:val="auto"/>
        <w:rPr>
          <w:rStyle w:val="14"/>
          <w:rFonts w:ascii="黑体" w:hAnsi="黑体" w:eastAsia="黑体" w:cs="黑体"/>
          <w:sz w:val="32"/>
          <w:szCs w:val="32"/>
          <w:shd w:val="clear" w:color="auto" w:fill="FFFFFF"/>
        </w:rPr>
      </w:pPr>
    </w:p>
    <w:p w14:paraId="3441851C">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textAlignment w:val="auto"/>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一、</w:t>
      </w:r>
      <w:r>
        <w:rPr>
          <w:rStyle w:val="14"/>
          <w:rFonts w:hint="eastAsia" w:ascii="方正黑体_GBK" w:hAnsi="方正黑体_GBK" w:eastAsia="方正黑体_GBK" w:cs="方正黑体_GBK"/>
          <w:b w:val="0"/>
          <w:bCs/>
          <w:sz w:val="32"/>
          <w:szCs w:val="32"/>
          <w:shd w:val="clear" w:color="auto" w:fill="FFFFFF"/>
          <w:lang w:eastAsia="zh-CN"/>
        </w:rPr>
        <w:t>单位</w:t>
      </w:r>
      <w:r>
        <w:rPr>
          <w:rStyle w:val="14"/>
          <w:rFonts w:hint="eastAsia" w:ascii="方正黑体_GBK" w:hAnsi="方正黑体_GBK" w:eastAsia="方正黑体_GBK" w:cs="方正黑体_GBK"/>
          <w:b w:val="0"/>
          <w:bCs/>
          <w:sz w:val="32"/>
          <w:szCs w:val="32"/>
          <w:shd w:val="clear" w:color="auto" w:fill="FFFFFF"/>
        </w:rPr>
        <w:t>基本情况</w:t>
      </w:r>
    </w:p>
    <w:p w14:paraId="1EFCE2FB">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textAlignment w:val="auto"/>
        <w:rPr>
          <w:rFonts w:hint="eastAsia" w:ascii="方正楷体_GBK" w:hAnsi="方正楷体_GBK" w:eastAsia="方正楷体_GBK" w:cs="方正楷体_GBK"/>
          <w:b w:val="0"/>
          <w:bCs/>
          <w:sz w:val="32"/>
          <w:szCs w:val="32"/>
        </w:rPr>
      </w:pPr>
      <w:r>
        <w:rPr>
          <w:rStyle w:val="14"/>
          <w:rFonts w:hint="eastAsia" w:ascii="方正楷体_GBK" w:hAnsi="方正楷体_GBK" w:eastAsia="方正楷体_GBK" w:cs="方正楷体_GBK"/>
          <w:b w:val="0"/>
          <w:bCs/>
          <w:sz w:val="32"/>
          <w:szCs w:val="32"/>
          <w:shd w:val="clear" w:color="auto" w:fill="FFFFFF"/>
        </w:rPr>
        <w:t>（一）职能职责</w:t>
      </w:r>
    </w:p>
    <w:p w14:paraId="38950F4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整合交通运输系统内公路路政、道路运政、水路运政、港口行政、地方海事行政、地方航道行政、交通工程质量监督管理等执法门类的执法职责。</w:t>
      </w:r>
    </w:p>
    <w:p w14:paraId="7DEA3284">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textAlignment w:val="auto"/>
        <w:rPr>
          <w:rStyle w:val="14"/>
          <w:rFonts w:hint="default" w:ascii="方正楷体_GBK" w:hAnsi="方正楷体_GBK" w:eastAsia="方正楷体_GBK" w:cs="方正楷体_GBK"/>
          <w:b w:val="0"/>
          <w:bCs/>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（二）机构设置</w:t>
      </w:r>
    </w:p>
    <w:p w14:paraId="026BB838">
      <w:pPr>
        <w:pStyle w:val="10"/>
        <w:keepNext w:val="0"/>
        <w:keepLines w:val="0"/>
        <w:pageBreakBefore w:val="0"/>
        <w:shd w:val="clear" w:color="auto" w:fill="FFFFFF"/>
        <w:kinsoku/>
        <w:overflowPunct/>
        <w:topLinePunct w:val="0"/>
        <w:bidi w:val="0"/>
        <w:spacing w:before="0" w:beforeAutospacing="0" w:after="0" w:afterAutospacing="0" w:line="600" w:lineRule="exact"/>
        <w:ind w:left="0" w:right="0" w:rightChars="0" w:firstLine="643" w:firstLineChars="200"/>
        <w:jc w:val="both"/>
        <w:rPr>
          <w:rFonts w:hint="eastAsia" w:ascii="方正仿宋_GBK" w:hAnsi="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1.综合科（装备财务科）。</w:t>
      </w:r>
      <w:r>
        <w:rPr>
          <w:rFonts w:hint="eastAsia" w:ascii="方正仿宋_GBK" w:hAnsi="方正仿宋_GBK" w:eastAsia="方正仿宋_GBK" w:cs="方正仿宋_GBK"/>
          <w:color w:val="000000"/>
          <w:sz w:val="32"/>
          <w:szCs w:val="32"/>
        </w:rPr>
        <w:t>负责支队日常运转和重要事项督查督办，承担支队文秘、档案、机要保密、会务、信息等工作；承担信息化建设、党建、群团、</w:t>
      </w:r>
      <w:r>
        <w:rPr>
          <w:rFonts w:hint="eastAsia" w:ascii="方正仿宋_GBK" w:hAnsi="方正仿宋_GBK" w:eastAsia="方正仿宋_GBK" w:cs="方正仿宋_GBK"/>
          <w:color w:val="000000"/>
          <w:sz w:val="32"/>
          <w:szCs w:val="32"/>
          <w:lang w:eastAsia="zh-CN"/>
        </w:rPr>
        <w:t>综合治理、</w:t>
      </w:r>
      <w:r>
        <w:rPr>
          <w:rFonts w:hint="eastAsia" w:ascii="方正仿宋_GBK" w:hAnsi="方正仿宋_GBK" w:eastAsia="方正仿宋_GBK" w:cs="方正仿宋_GBK"/>
          <w:color w:val="000000"/>
          <w:sz w:val="32"/>
          <w:szCs w:val="32"/>
        </w:rPr>
        <w:t>目标管理等工作；负责综合协调、人事编制和议提案办理等工作；负责编制财务预决算、日常财务管理、劳动工资等工作；负责国有资产管理及政府采购工作</w:t>
      </w:r>
      <w:r>
        <w:rPr>
          <w:rFonts w:hint="eastAsia" w:ascii="方正仿宋_GBK" w:hAnsi="方正仿宋_GBK" w:eastAsia="方正仿宋_GBK" w:cs="方正仿宋_GBK"/>
          <w:color w:val="000000"/>
          <w:sz w:val="32"/>
          <w:szCs w:val="32"/>
          <w:lang w:eastAsia="zh-CN"/>
        </w:rPr>
        <w:t>（含执法装备）</w:t>
      </w:r>
      <w:r>
        <w:rPr>
          <w:rFonts w:hint="eastAsia" w:ascii="方正仿宋_GBK" w:hAnsi="方正仿宋_GBK" w:eastAsia="方正仿宋_GBK" w:cs="方正仿宋_GBK"/>
          <w:color w:val="000000"/>
          <w:sz w:val="32"/>
          <w:szCs w:val="32"/>
        </w:rPr>
        <w:t>；负责单位内部审计及其他专项审计工作；负责机关后勤服务保障工作。</w:t>
      </w:r>
      <w:r>
        <w:rPr>
          <w:rFonts w:hint="eastAsia" w:ascii="方正仿宋_GBK" w:hAnsi="方正仿宋_GBK" w:eastAsia="方正仿宋_GBK" w:cs="方正仿宋_GBK"/>
          <w:color w:val="000000"/>
          <w:sz w:val="32"/>
          <w:szCs w:val="32"/>
          <w:lang w:val="en-US" w:eastAsia="zh-CN"/>
        </w:rPr>
        <w:t>完成上级交办的其他工作。</w:t>
      </w:r>
      <w:r>
        <w:rPr>
          <w:rFonts w:hint="eastAsia" w:ascii="方正仿宋_GBK" w:hAnsi="方正仿宋_GBK" w:cs="方正仿宋_GBK"/>
          <w:color w:val="000000"/>
          <w:sz w:val="32"/>
          <w:szCs w:val="32"/>
          <w:lang w:val="en-US" w:eastAsia="zh-CN"/>
        </w:rPr>
        <w:t xml:space="preserve"> </w:t>
      </w:r>
    </w:p>
    <w:p w14:paraId="645D1DB7">
      <w:pPr>
        <w:pStyle w:val="21"/>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kern w:val="2"/>
          <w:sz w:val="32"/>
          <w:szCs w:val="32"/>
          <w:lang w:val="en-US" w:eastAsia="zh-CN" w:bidi="ar-SA"/>
        </w:rPr>
        <w:t>2.法制科。</w:t>
      </w:r>
      <w:r>
        <w:rPr>
          <w:rFonts w:hint="eastAsia" w:ascii="方正仿宋_GBK" w:hAnsi="方正仿宋_GBK" w:eastAsia="方正仿宋_GBK" w:cs="方正仿宋_GBK"/>
          <w:color w:val="000000"/>
          <w:sz w:val="32"/>
          <w:szCs w:val="32"/>
        </w:rPr>
        <w:t>组织实施</w:t>
      </w:r>
      <w:r>
        <w:rPr>
          <w:rFonts w:hint="eastAsia" w:ascii="方正仿宋_GBK" w:hAnsi="方正仿宋_GBK" w:eastAsia="方正仿宋_GBK" w:cs="方正仿宋_GBK"/>
          <w:color w:val="000000"/>
          <w:sz w:val="32"/>
          <w:szCs w:val="32"/>
          <w:lang w:eastAsia="zh-CN"/>
        </w:rPr>
        <w:t>行政</w:t>
      </w:r>
      <w:r>
        <w:rPr>
          <w:rFonts w:hint="eastAsia" w:ascii="方正仿宋_GBK" w:hAnsi="方正仿宋_GBK" w:eastAsia="方正仿宋_GBK" w:cs="方正仿宋_GBK"/>
          <w:color w:val="000000"/>
          <w:sz w:val="32"/>
          <w:szCs w:val="32"/>
        </w:rPr>
        <w:t>执法全过程记录制度、重大执法决定法制审核制度、</w:t>
      </w:r>
      <w:r>
        <w:rPr>
          <w:rFonts w:hint="eastAsia" w:ascii="方正仿宋_GBK" w:hAnsi="方正仿宋_GBK" w:eastAsia="方正仿宋_GBK" w:cs="方正仿宋_GBK"/>
          <w:color w:val="000000"/>
          <w:sz w:val="32"/>
          <w:szCs w:val="32"/>
          <w:lang w:eastAsia="zh-CN"/>
        </w:rPr>
        <w:t>行政执法公示制度；负责开展法制宣传工作；</w:t>
      </w:r>
      <w:r>
        <w:rPr>
          <w:rFonts w:hint="eastAsia" w:ascii="方正仿宋_GBK" w:hAnsi="方正仿宋_GBK" w:eastAsia="方正仿宋_GBK" w:cs="方正仿宋_GBK"/>
          <w:color w:val="000000"/>
          <w:sz w:val="32"/>
          <w:szCs w:val="32"/>
          <w:lang w:val="en-US" w:eastAsia="zh-CN"/>
        </w:rPr>
        <w:t>负责</w:t>
      </w:r>
      <w:r>
        <w:rPr>
          <w:rFonts w:hint="eastAsia" w:ascii="方正仿宋_GBK" w:hAnsi="方正仿宋_GBK" w:eastAsia="方正仿宋_GBK" w:cs="方正仿宋_GBK"/>
          <w:color w:val="000000"/>
          <w:sz w:val="32"/>
          <w:szCs w:val="32"/>
        </w:rPr>
        <w:t>执法人员</w:t>
      </w:r>
      <w:r>
        <w:rPr>
          <w:rFonts w:hint="eastAsia" w:ascii="方正仿宋_GBK" w:hAnsi="方正仿宋_GBK" w:eastAsia="方正仿宋_GBK" w:cs="方正仿宋_GBK"/>
          <w:color w:val="000000"/>
          <w:sz w:val="32"/>
          <w:szCs w:val="32"/>
          <w:lang w:val="en-US" w:eastAsia="zh-CN"/>
        </w:rPr>
        <w:t>证件</w:t>
      </w:r>
      <w:r>
        <w:rPr>
          <w:rFonts w:hint="eastAsia" w:ascii="方正仿宋_GBK" w:hAnsi="方正仿宋_GBK" w:eastAsia="方正仿宋_GBK" w:cs="方正仿宋_GBK"/>
          <w:color w:val="000000"/>
          <w:sz w:val="32"/>
          <w:szCs w:val="32"/>
        </w:rPr>
        <w:t>管理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执法人员业务培训工作</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负责</w:t>
      </w:r>
      <w:r>
        <w:rPr>
          <w:rFonts w:hint="eastAsia" w:ascii="方正仿宋_GBK" w:hAnsi="方正仿宋_GBK" w:eastAsia="方正仿宋_GBK" w:cs="方正仿宋_GBK"/>
          <w:color w:val="000000"/>
          <w:sz w:val="32"/>
          <w:szCs w:val="32"/>
        </w:rPr>
        <w:t>执法案卷评查</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执法</w:t>
      </w:r>
      <w:r>
        <w:rPr>
          <w:rFonts w:hint="eastAsia" w:ascii="方正仿宋_GBK" w:hAnsi="方正仿宋_GBK" w:eastAsia="方正仿宋_GBK" w:cs="方正仿宋_GBK"/>
          <w:color w:val="000000"/>
          <w:sz w:val="32"/>
          <w:szCs w:val="32"/>
        </w:rPr>
        <w:t>案件法制审核、行政赔偿案件的调查；负责案件登记、处理</w:t>
      </w:r>
      <w:r>
        <w:rPr>
          <w:rFonts w:hint="eastAsia" w:ascii="方正仿宋_GBK" w:hAnsi="方正仿宋_GBK" w:eastAsia="方正仿宋_GBK" w:cs="方正仿宋_GBK"/>
          <w:color w:val="000000"/>
          <w:sz w:val="32"/>
          <w:szCs w:val="32"/>
          <w:lang w:val="en-US" w:eastAsia="zh-CN"/>
        </w:rPr>
        <w:t>处罚</w:t>
      </w:r>
      <w:r>
        <w:rPr>
          <w:rFonts w:hint="eastAsia" w:ascii="方正仿宋_GBK" w:hAnsi="方正仿宋_GBK" w:eastAsia="方正仿宋_GBK" w:cs="方正仿宋_GBK"/>
          <w:color w:val="000000"/>
          <w:sz w:val="32"/>
          <w:szCs w:val="32"/>
        </w:rPr>
        <w:t>、统计及档案管理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u w:val="none"/>
          <w:lang w:val="en-US" w:eastAsia="zh-CN"/>
        </w:rPr>
        <w:t>指导、监督交通运输综合行政执法</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四基四化</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建设，</w:t>
      </w:r>
      <w:r>
        <w:rPr>
          <w:rFonts w:hint="eastAsia" w:ascii="方正仿宋_GBK" w:hAnsi="方正仿宋_GBK" w:eastAsia="方正仿宋_GBK" w:cs="方正仿宋_GBK"/>
          <w:color w:val="auto"/>
          <w:sz w:val="32"/>
          <w:szCs w:val="32"/>
          <w:u w:val="none"/>
          <w:lang w:val="en-US" w:eastAsia="zh-CN"/>
        </w:rPr>
        <w:t>执法文书、规范性文件</w:t>
      </w:r>
      <w:r>
        <w:rPr>
          <w:rFonts w:hint="eastAsia" w:ascii="方正仿宋_GBK" w:hAnsi="方正仿宋_GBK" w:eastAsia="方正仿宋_GBK" w:cs="方正仿宋_GBK"/>
          <w:color w:val="auto"/>
          <w:sz w:val="32"/>
          <w:szCs w:val="32"/>
          <w:u w:val="none"/>
        </w:rPr>
        <w:t>合法性审查工作</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color w:val="000000"/>
          <w:sz w:val="32"/>
          <w:szCs w:val="32"/>
          <w:lang w:eastAsia="zh-CN"/>
        </w:rPr>
        <w:t>协助交通局开展</w:t>
      </w:r>
      <w:r>
        <w:rPr>
          <w:rFonts w:hint="eastAsia" w:ascii="方正仿宋_GBK" w:hAnsi="方正仿宋_GBK" w:eastAsia="方正仿宋_GBK" w:cs="方正仿宋_GBK"/>
          <w:color w:val="000000"/>
          <w:sz w:val="32"/>
          <w:szCs w:val="32"/>
        </w:rPr>
        <w:t>案件听证、复议、诉讼及行刑衔接等工作</w:t>
      </w:r>
      <w:r>
        <w:rPr>
          <w:rFonts w:hint="eastAsia" w:ascii="方正仿宋_GBK" w:hAnsi="方正仿宋_GBK" w:eastAsia="方正仿宋_GBK" w:cs="方正仿宋_GBK"/>
          <w:color w:val="000000"/>
          <w:sz w:val="32"/>
          <w:szCs w:val="32"/>
          <w:lang w:val="en-US" w:eastAsia="zh-CN"/>
        </w:rPr>
        <w:t>。完成上级交办的其他工作。</w:t>
      </w:r>
    </w:p>
    <w:p w14:paraId="455E6279">
      <w:pPr>
        <w:pStyle w:val="21"/>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kern w:val="2"/>
          <w:sz w:val="32"/>
          <w:szCs w:val="32"/>
          <w:lang w:val="en-US" w:eastAsia="zh-CN" w:bidi="ar-SA"/>
        </w:rPr>
        <w:t>3.应急勤务科（安全信访科）。</w:t>
      </w:r>
      <w:r>
        <w:rPr>
          <w:rFonts w:hint="eastAsia" w:ascii="方正仿宋_GBK" w:hAnsi="方正仿宋_GBK" w:eastAsia="方正仿宋_GBK" w:cs="方正仿宋_GBK"/>
          <w:color w:val="000000"/>
          <w:sz w:val="32"/>
          <w:szCs w:val="32"/>
          <w:lang w:eastAsia="zh-CN"/>
        </w:rPr>
        <w:t>配合做好</w:t>
      </w:r>
      <w:r>
        <w:rPr>
          <w:rFonts w:hint="eastAsia" w:ascii="方正仿宋_GBK" w:hAnsi="方正仿宋_GBK" w:eastAsia="方正仿宋_GBK" w:cs="方正仿宋_GBK"/>
          <w:color w:val="000000"/>
          <w:sz w:val="32"/>
          <w:szCs w:val="32"/>
        </w:rPr>
        <w:t>突发事件应急指挥调度、处置工作，以及交通执法服务热线有关工作；负责执法勤务管理工作；组织协调交通运输执法专项整治、执法业务协调、重大案件查处及跨区域联勤联动执法等工作</w:t>
      </w:r>
      <w:r>
        <w:rPr>
          <w:rFonts w:hint="eastAsia" w:ascii="方正仿宋_GBK" w:hAnsi="方正仿宋_GBK" w:eastAsia="方正仿宋_GBK" w:cs="方正仿宋_GBK"/>
          <w:color w:val="000000"/>
          <w:sz w:val="32"/>
          <w:szCs w:val="32"/>
          <w:shd w:val="clear" w:color="auto" w:fill="FFFFFF"/>
        </w:rPr>
        <w:t>；负责督导交通执法安全生产监督管理工作；负责信访稳定、环境保护工作，参与交通执法投诉的调查处理等工作；负责</w:t>
      </w:r>
      <w:r>
        <w:rPr>
          <w:rFonts w:hint="eastAsia" w:ascii="方正仿宋_GBK" w:hAnsi="方正仿宋_GBK" w:eastAsia="方正仿宋_GBK" w:cs="方正仿宋_GBK"/>
          <w:color w:val="auto"/>
          <w:sz w:val="32"/>
          <w:szCs w:val="32"/>
          <w:shd w:val="clear" w:color="auto" w:fill="FFFFFF"/>
          <w:lang w:val="en-US" w:eastAsia="zh-CN"/>
        </w:rPr>
        <w:t>非现场</w:t>
      </w:r>
      <w:r>
        <w:rPr>
          <w:rFonts w:hint="eastAsia" w:ascii="方正仿宋_GBK" w:hAnsi="方正仿宋_GBK" w:eastAsia="方正仿宋_GBK" w:cs="方正仿宋_GBK"/>
          <w:color w:val="000000"/>
          <w:sz w:val="32"/>
          <w:szCs w:val="32"/>
          <w:shd w:val="clear" w:color="auto" w:fill="FFFFFF"/>
        </w:rPr>
        <w:t>治超站点</w:t>
      </w:r>
      <w:r>
        <w:rPr>
          <w:rFonts w:hint="eastAsia" w:ascii="方正仿宋_GBK" w:hAnsi="方正仿宋_GBK" w:eastAsia="方正仿宋_GBK" w:cs="方正仿宋_GBK"/>
          <w:color w:val="000000"/>
          <w:sz w:val="32"/>
          <w:szCs w:val="32"/>
          <w:shd w:val="clear" w:color="auto" w:fill="FFFFFF"/>
          <w:lang w:eastAsia="zh-CN"/>
        </w:rPr>
        <w:t>规划、</w:t>
      </w:r>
      <w:r>
        <w:rPr>
          <w:rFonts w:hint="eastAsia" w:ascii="方正仿宋_GBK" w:hAnsi="方正仿宋_GBK" w:eastAsia="方正仿宋_GBK" w:cs="方正仿宋_GBK"/>
          <w:color w:val="000000"/>
          <w:sz w:val="32"/>
          <w:szCs w:val="32"/>
          <w:shd w:val="clear" w:color="auto" w:fill="FFFFFF"/>
        </w:rPr>
        <w:t>建设、</w:t>
      </w:r>
      <w:r>
        <w:rPr>
          <w:rFonts w:hint="eastAsia" w:ascii="方正仿宋_GBK" w:hAnsi="方正仿宋_GBK" w:eastAsia="方正仿宋_GBK" w:cs="方正仿宋_GBK"/>
          <w:color w:val="auto"/>
          <w:sz w:val="32"/>
          <w:szCs w:val="32"/>
          <w:shd w:val="clear" w:color="auto" w:fill="FFFFFF"/>
          <w:lang w:val="en-US" w:eastAsia="zh-CN"/>
        </w:rPr>
        <w:t>运营</w:t>
      </w:r>
      <w:r>
        <w:rPr>
          <w:rFonts w:hint="eastAsia" w:ascii="方正仿宋_GBK" w:hAnsi="方正仿宋_GBK" w:eastAsia="方正仿宋_GBK" w:cs="方正仿宋_GBK"/>
          <w:color w:val="000000"/>
          <w:sz w:val="32"/>
          <w:szCs w:val="32"/>
          <w:shd w:val="clear" w:color="auto" w:fill="FFFFFF"/>
        </w:rPr>
        <w:t>维护、管理等工作。</w:t>
      </w:r>
      <w:r>
        <w:rPr>
          <w:rFonts w:hint="eastAsia" w:ascii="方正仿宋_GBK" w:hAnsi="方正仿宋_GBK" w:eastAsia="方正仿宋_GBK" w:cs="方正仿宋_GBK"/>
          <w:color w:val="000000"/>
          <w:sz w:val="32"/>
          <w:szCs w:val="32"/>
          <w:lang w:val="en-US" w:eastAsia="zh-CN"/>
        </w:rPr>
        <w:t>完成上级交办的其他工作。</w:t>
      </w:r>
    </w:p>
    <w:p w14:paraId="5A45F561">
      <w:pPr>
        <w:pStyle w:val="21"/>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kern w:val="2"/>
          <w:sz w:val="32"/>
          <w:szCs w:val="32"/>
          <w:lang w:val="en-US" w:eastAsia="zh-CN" w:bidi="ar-SA"/>
        </w:rPr>
        <w:t>4.港航海事大队。</w:t>
      </w:r>
      <w:r>
        <w:rPr>
          <w:rFonts w:hint="eastAsia" w:ascii="方正仿宋_GBK" w:hAnsi="方正仿宋_GBK" w:eastAsia="方正仿宋_GBK" w:cs="方正仿宋_GBK"/>
          <w:color w:val="000000"/>
          <w:sz w:val="32"/>
          <w:szCs w:val="32"/>
          <w:shd w:val="clear" w:color="auto" w:fill="FFFFFF"/>
        </w:rPr>
        <w:t>按权限承担水路运政、港口行政、地方航道行政、地方海事行政的执法职能；</w:t>
      </w:r>
      <w:r>
        <w:rPr>
          <w:rFonts w:hint="eastAsia" w:ascii="方正仿宋_GBK" w:hAnsi="方正仿宋_GBK" w:eastAsia="方正仿宋_GBK" w:cs="方正仿宋_GBK"/>
          <w:color w:val="000000"/>
          <w:sz w:val="32"/>
          <w:szCs w:val="32"/>
          <w:shd w:val="clear" w:color="auto" w:fill="FFFFFF"/>
          <w:lang w:eastAsia="zh-CN"/>
        </w:rPr>
        <w:t>配合做好</w:t>
      </w:r>
      <w:r>
        <w:rPr>
          <w:rFonts w:hint="eastAsia" w:ascii="方正仿宋_GBK" w:hAnsi="方正仿宋_GBK" w:eastAsia="方正仿宋_GBK" w:cs="方正仿宋_GBK"/>
          <w:color w:val="000000"/>
          <w:sz w:val="32"/>
          <w:szCs w:val="32"/>
          <w:shd w:val="clear" w:color="auto" w:fill="FFFFFF"/>
        </w:rPr>
        <w:t>地方通航水域水上交通事故预防和处理工作；按规定承担防治船舶及其作业活动污染内河水域环境的执法职能；承担船舶（含渔业船舶）检验的执法职能。</w:t>
      </w:r>
      <w:r>
        <w:rPr>
          <w:rFonts w:hint="eastAsia" w:ascii="方正仿宋_GBK" w:hAnsi="方正仿宋_GBK" w:eastAsia="方正仿宋_GBK" w:cs="方正仿宋_GBK"/>
          <w:color w:val="000000"/>
          <w:sz w:val="32"/>
          <w:szCs w:val="32"/>
          <w:lang w:val="en-US" w:eastAsia="zh-CN"/>
        </w:rPr>
        <w:t>完成上级交办的其他工作。</w:t>
      </w:r>
    </w:p>
    <w:p w14:paraId="7CC7599E">
      <w:pPr>
        <w:pStyle w:val="22"/>
        <w:keepNext w:val="0"/>
        <w:keepLines w:val="0"/>
        <w:pageBreakBefore w:val="0"/>
        <w:widowControl w:val="0"/>
        <w:tabs>
          <w:tab w:val="left" w:pos="1604"/>
        </w:tabs>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kern w:val="2"/>
          <w:sz w:val="32"/>
          <w:szCs w:val="32"/>
          <w:lang w:val="en-US" w:eastAsia="zh-CN" w:bidi="ar-SA"/>
        </w:rPr>
        <w:t>5.工程质量监督大队。</w:t>
      </w:r>
      <w:r>
        <w:rPr>
          <w:rFonts w:hint="eastAsia" w:ascii="方正仿宋_GBK" w:hAnsi="方正仿宋_GBK" w:eastAsia="方正仿宋_GBK" w:cs="方正仿宋_GBK"/>
          <w:color w:val="000000"/>
          <w:sz w:val="32"/>
          <w:szCs w:val="32"/>
          <w:shd w:val="clear" w:color="auto" w:fill="FFFFFF"/>
        </w:rPr>
        <w:t>按规定承担公路、水运等交通建设工程质量和安全生产监督管理的执法职能；按规定组织事故抢救，组织或参与事故调查</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完成上级交办的其他工作。</w:t>
      </w:r>
    </w:p>
    <w:p w14:paraId="009C6170">
      <w:pPr>
        <w:pStyle w:val="22"/>
        <w:keepNext w:val="0"/>
        <w:keepLines w:val="0"/>
        <w:pageBreakBefore w:val="0"/>
        <w:widowControl w:val="0"/>
        <w:tabs>
          <w:tab w:val="left" w:pos="1604"/>
        </w:tabs>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kern w:val="2"/>
          <w:sz w:val="32"/>
          <w:szCs w:val="32"/>
          <w:lang w:val="en-US" w:eastAsia="zh-CN" w:bidi="ar-SA"/>
        </w:rPr>
        <w:t>6.</w:t>
      </w:r>
      <w:r>
        <w:rPr>
          <w:rFonts w:hint="default" w:ascii="方正仿宋_GBK" w:hAnsi="方正仿宋_GBK" w:eastAsia="方正仿宋_GBK" w:cs="方正仿宋_GBK"/>
          <w:b/>
          <w:bCs/>
          <w:color w:val="000000"/>
          <w:kern w:val="2"/>
          <w:sz w:val="32"/>
          <w:szCs w:val="32"/>
          <w:lang w:val="en-US" w:eastAsia="zh-CN" w:bidi="ar-SA"/>
        </w:rPr>
        <w:t>城区执法大队。</w:t>
      </w:r>
      <w:r>
        <w:rPr>
          <w:rFonts w:hint="default" w:ascii="Times New Roman" w:hAnsi="Times New Roman" w:eastAsia="方正仿宋_GBK" w:cs="Times New Roman"/>
          <w:color w:val="000000"/>
          <w:sz w:val="32"/>
          <w:szCs w:val="32"/>
        </w:rPr>
        <w:t>负责</w:t>
      </w:r>
      <w:r>
        <w:rPr>
          <w:rFonts w:hint="default" w:ascii="Times New Roman" w:hAnsi="Times New Roman" w:eastAsia="方正仿宋_GBK" w:cs="Times New Roman"/>
          <w:color w:val="000000"/>
          <w:sz w:val="32"/>
          <w:szCs w:val="32"/>
          <w:lang w:val="en-US" w:eastAsia="zh-CN"/>
        </w:rPr>
        <w:t>县城规划区</w:t>
      </w:r>
      <w:r>
        <w:rPr>
          <w:rFonts w:hint="default" w:ascii="Times New Roman" w:hAnsi="Times New Roman" w:eastAsia="方正仿宋_GBK" w:cs="Times New Roman"/>
          <w:color w:val="000000"/>
          <w:sz w:val="32"/>
          <w:szCs w:val="32"/>
        </w:rPr>
        <w:t>内公路路政</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道路运政行政处罚以及与行政处罚相关的行政检查、行政强制；负责辖区内交通运输行业安全生产执法监督检查和行政处罚；</w:t>
      </w:r>
      <w:r>
        <w:rPr>
          <w:rFonts w:hint="default" w:ascii="Times New Roman" w:hAnsi="Times New Roman" w:eastAsia="方正仿宋_GBK" w:cs="Times New Roman"/>
          <w:color w:val="000000"/>
          <w:sz w:val="33"/>
          <w:szCs w:val="33"/>
        </w:rPr>
        <w:t>承办上级单位指定管辖的案件。</w:t>
      </w:r>
      <w:r>
        <w:rPr>
          <w:rFonts w:hint="eastAsia" w:ascii="方正仿宋_GBK" w:hAnsi="方正仿宋_GBK" w:eastAsia="方正仿宋_GBK" w:cs="方正仿宋_GBK"/>
          <w:color w:val="000000"/>
          <w:sz w:val="32"/>
          <w:szCs w:val="32"/>
          <w:lang w:val="en-US" w:eastAsia="zh-CN"/>
        </w:rPr>
        <w:t>完成上级交办的其他工作。</w:t>
      </w:r>
    </w:p>
    <w:p w14:paraId="06A2A47F">
      <w:pPr>
        <w:pStyle w:val="22"/>
        <w:keepNext w:val="0"/>
        <w:keepLines w:val="0"/>
        <w:pageBreakBefore w:val="0"/>
        <w:widowControl w:val="0"/>
        <w:tabs>
          <w:tab w:val="left" w:pos="1604"/>
        </w:tabs>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kern w:val="2"/>
          <w:sz w:val="32"/>
          <w:szCs w:val="32"/>
          <w:lang w:val="en-US" w:eastAsia="zh-CN" w:bidi="ar-SA"/>
        </w:rPr>
        <w:t>7.</w:t>
      </w:r>
      <w:r>
        <w:rPr>
          <w:rFonts w:hint="default" w:ascii="方正仿宋_GBK" w:hAnsi="方正仿宋_GBK" w:eastAsia="方正仿宋_GBK" w:cs="方正仿宋_GBK"/>
          <w:b/>
          <w:bCs/>
          <w:color w:val="000000"/>
          <w:kern w:val="2"/>
          <w:sz w:val="32"/>
          <w:szCs w:val="32"/>
          <w:lang w:val="en-US" w:eastAsia="zh-CN" w:bidi="ar-SA"/>
        </w:rPr>
        <w:t>南岸执法大队。</w:t>
      </w:r>
      <w:r>
        <w:rPr>
          <w:rFonts w:hint="default" w:ascii="Times New Roman" w:hAnsi="Times New Roman" w:eastAsia="方正仿宋_GBK" w:cs="Times New Roman"/>
          <w:color w:val="000000"/>
          <w:sz w:val="32"/>
          <w:szCs w:val="32"/>
        </w:rPr>
        <w:t>负责除</w:t>
      </w:r>
      <w:r>
        <w:rPr>
          <w:rFonts w:hint="default" w:ascii="Times New Roman" w:hAnsi="Times New Roman" w:eastAsia="方正仿宋_GBK" w:cs="Times New Roman"/>
          <w:color w:val="000000"/>
          <w:sz w:val="32"/>
          <w:szCs w:val="32"/>
          <w:lang w:val="en-US" w:eastAsia="zh-CN"/>
        </w:rPr>
        <w:t>县城规划区</w:t>
      </w:r>
      <w:r>
        <w:rPr>
          <w:rFonts w:hint="default" w:ascii="Times New Roman" w:hAnsi="Times New Roman" w:eastAsia="方正仿宋_GBK" w:cs="Times New Roman"/>
          <w:color w:val="000000"/>
          <w:sz w:val="32"/>
          <w:szCs w:val="32"/>
        </w:rPr>
        <w:t>外南岸</w:t>
      </w:r>
      <w:r>
        <w:rPr>
          <w:rFonts w:hint="default" w:ascii="Times New Roman" w:hAnsi="Times New Roman" w:eastAsia="方正仿宋_GBK" w:cs="Times New Roman"/>
          <w:color w:val="000000"/>
          <w:sz w:val="32"/>
          <w:szCs w:val="32"/>
          <w:lang w:val="en-US" w:eastAsia="zh-CN"/>
        </w:rPr>
        <w:t>行政区域内</w:t>
      </w:r>
      <w:r>
        <w:rPr>
          <w:rFonts w:hint="default" w:ascii="Times New Roman" w:hAnsi="Times New Roman" w:eastAsia="方正仿宋_GBK" w:cs="Times New Roman"/>
          <w:color w:val="000000"/>
          <w:sz w:val="32"/>
          <w:szCs w:val="32"/>
        </w:rPr>
        <w:t>公路路政</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道路运政行政处罚以及与行政处罚相关的行政检查、行政强制；负责辖区内交通运输行业安全生产执法监督检查和行政处罚；</w:t>
      </w:r>
      <w:r>
        <w:rPr>
          <w:rFonts w:hint="default" w:ascii="Times New Roman" w:hAnsi="Times New Roman" w:eastAsia="方正仿宋_GBK" w:cs="Times New Roman"/>
          <w:color w:val="000000"/>
          <w:sz w:val="33"/>
          <w:szCs w:val="33"/>
        </w:rPr>
        <w:t>承办上级单位指定管辖的案件。</w:t>
      </w:r>
      <w:r>
        <w:rPr>
          <w:rFonts w:hint="eastAsia" w:ascii="方正仿宋_GBK" w:hAnsi="方正仿宋_GBK" w:eastAsia="方正仿宋_GBK" w:cs="方正仿宋_GBK"/>
          <w:color w:val="000000"/>
          <w:sz w:val="32"/>
          <w:szCs w:val="32"/>
          <w:lang w:val="en-US" w:eastAsia="zh-CN"/>
        </w:rPr>
        <w:t>完成上级交办的其他工作。完成上级交办的其他工作。</w:t>
      </w:r>
    </w:p>
    <w:p w14:paraId="124B119C">
      <w:pPr>
        <w:pStyle w:val="22"/>
        <w:keepNext w:val="0"/>
        <w:keepLines w:val="0"/>
        <w:pageBreakBefore w:val="0"/>
        <w:widowControl w:val="0"/>
        <w:tabs>
          <w:tab w:val="left" w:pos="1604"/>
        </w:tabs>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b/>
          <w:bCs/>
          <w:color w:val="000000"/>
          <w:kern w:val="2"/>
          <w:sz w:val="32"/>
          <w:szCs w:val="32"/>
          <w:lang w:val="en-US" w:eastAsia="zh-CN" w:bidi="ar-SA"/>
        </w:rPr>
        <w:t>8.北岸执法大队。</w:t>
      </w:r>
      <w:r>
        <w:rPr>
          <w:rFonts w:hint="default" w:ascii="Times New Roman" w:hAnsi="Times New Roman" w:eastAsia="方正仿宋_GBK" w:cs="Times New Roman"/>
          <w:color w:val="000000"/>
          <w:sz w:val="32"/>
          <w:szCs w:val="32"/>
        </w:rPr>
        <w:t>负责除</w:t>
      </w:r>
      <w:r>
        <w:rPr>
          <w:rFonts w:hint="default" w:ascii="Times New Roman" w:hAnsi="Times New Roman" w:eastAsia="方正仿宋_GBK" w:cs="Times New Roman"/>
          <w:color w:val="000000"/>
          <w:sz w:val="32"/>
          <w:szCs w:val="32"/>
          <w:lang w:val="en-US" w:eastAsia="zh-CN"/>
        </w:rPr>
        <w:t>县城规划区</w:t>
      </w:r>
      <w:r>
        <w:rPr>
          <w:rFonts w:hint="default" w:ascii="Times New Roman" w:hAnsi="Times New Roman" w:eastAsia="方正仿宋_GBK" w:cs="Times New Roman"/>
          <w:color w:val="000000"/>
          <w:sz w:val="32"/>
          <w:szCs w:val="32"/>
        </w:rPr>
        <w:t>外</w:t>
      </w:r>
      <w:r>
        <w:rPr>
          <w:rFonts w:hint="default" w:ascii="Times New Roman" w:hAnsi="Times New Roman" w:eastAsia="方正仿宋_GBK" w:cs="Times New Roman"/>
          <w:color w:val="000000"/>
          <w:sz w:val="32"/>
          <w:szCs w:val="32"/>
          <w:lang w:val="en-US" w:eastAsia="zh-CN"/>
        </w:rPr>
        <w:t>北岸行政区域内</w:t>
      </w:r>
      <w:r>
        <w:rPr>
          <w:rFonts w:hint="default" w:ascii="Times New Roman" w:hAnsi="Times New Roman" w:eastAsia="方正仿宋_GBK" w:cs="Times New Roman"/>
          <w:color w:val="000000"/>
          <w:sz w:val="32"/>
          <w:szCs w:val="32"/>
        </w:rPr>
        <w:t>公路路政</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道路运政行政处罚以及与行政处罚相关的行政检查、行政强制；负责辖区内交通运输行业安全生产执法监督检查和行政处罚；</w:t>
      </w:r>
      <w:r>
        <w:rPr>
          <w:rFonts w:hint="default" w:ascii="Times New Roman" w:hAnsi="Times New Roman" w:eastAsia="方正仿宋_GBK" w:cs="Times New Roman"/>
          <w:color w:val="000000"/>
          <w:sz w:val="33"/>
          <w:szCs w:val="33"/>
        </w:rPr>
        <w:t>承办上级单位指定管辖的案件。</w:t>
      </w:r>
    </w:p>
    <w:p w14:paraId="702AD567">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textAlignment w:val="auto"/>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二、</w:t>
      </w:r>
      <w:r>
        <w:rPr>
          <w:rStyle w:val="14"/>
          <w:rFonts w:hint="eastAsia" w:ascii="方正黑体_GBK" w:hAnsi="方正黑体_GBK" w:eastAsia="方正黑体_GBK" w:cs="方正黑体_GBK"/>
          <w:b w:val="0"/>
          <w:bCs/>
          <w:sz w:val="32"/>
          <w:szCs w:val="32"/>
          <w:shd w:val="clear" w:color="auto" w:fill="FFFFFF"/>
          <w:lang w:eastAsia="zh-CN"/>
        </w:rPr>
        <w:t>单位</w:t>
      </w:r>
      <w:r>
        <w:rPr>
          <w:rStyle w:val="14"/>
          <w:rFonts w:hint="eastAsia" w:ascii="方正黑体_GBK" w:hAnsi="方正黑体_GBK" w:eastAsia="方正黑体_GBK" w:cs="方正黑体_GBK"/>
          <w:b w:val="0"/>
          <w:bCs/>
          <w:sz w:val="32"/>
          <w:szCs w:val="32"/>
          <w:shd w:val="clear" w:color="auto" w:fill="FFFFFF"/>
        </w:rPr>
        <w:t>决算</w:t>
      </w:r>
      <w:r>
        <w:rPr>
          <w:rStyle w:val="14"/>
          <w:rFonts w:hint="eastAsia" w:ascii="方正黑体_GBK" w:hAnsi="方正黑体_GBK" w:eastAsia="方正黑体_GBK" w:cs="方正黑体_GBK"/>
          <w:b w:val="0"/>
          <w:bCs/>
          <w:sz w:val="32"/>
          <w:szCs w:val="32"/>
          <w:shd w:val="clear" w:color="auto" w:fill="FFFFFF"/>
          <w:lang w:eastAsia="zh-CN"/>
        </w:rPr>
        <w:t>收支</w:t>
      </w:r>
      <w:r>
        <w:rPr>
          <w:rStyle w:val="14"/>
          <w:rFonts w:hint="eastAsia" w:ascii="方正黑体_GBK" w:hAnsi="方正黑体_GBK" w:eastAsia="方正黑体_GBK" w:cs="方正黑体_GBK"/>
          <w:b w:val="0"/>
          <w:bCs/>
          <w:sz w:val="32"/>
          <w:szCs w:val="32"/>
          <w:shd w:val="clear" w:color="auto" w:fill="FFFFFF"/>
        </w:rPr>
        <w:t>情况说明</w:t>
      </w:r>
    </w:p>
    <w:p w14:paraId="4ECD9FD6">
      <w:pPr>
        <w:pStyle w:val="15"/>
        <w:keepNext w:val="0"/>
        <w:keepLines w:val="0"/>
        <w:pageBreakBefore w:val="0"/>
        <w:widowControl/>
        <w:kinsoku/>
        <w:wordWrap/>
        <w:overflowPunct/>
        <w:topLinePunct w:val="0"/>
        <w:autoSpaceDE w:val="0"/>
        <w:autoSpaceDN/>
        <w:bidi w:val="0"/>
        <w:adjustRightInd/>
        <w:snapToGrid/>
        <w:spacing w:line="60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42BD8E6F">
      <w:pPr>
        <w:pStyle w:val="10"/>
        <w:keepNext w:val="0"/>
        <w:keepLines w:val="0"/>
        <w:pageBreakBefore w:val="0"/>
        <w:shd w:val="clear" w:color="auto" w:fill="FFFFFF"/>
        <w:kinsoku/>
        <w:overflowPunct/>
        <w:topLinePunct w:val="0"/>
        <w:bidi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1569.17万元。收、支与2023年度相比，减少284.00万元，下降15.3%，主要原因</w:t>
      </w:r>
      <w:r>
        <w:rPr>
          <w:rFonts w:hint="default" w:ascii="Times New Roman" w:hAnsi="Times New Roman" w:eastAsia="方正仿宋_GBK" w:cs="Times New Roman"/>
          <w:sz w:val="32"/>
          <w:szCs w:val="32"/>
          <w:highlight w:val="none"/>
          <w:shd w:val="clear" w:color="auto" w:fill="FFFFFF"/>
        </w:rPr>
        <w:t>是</w:t>
      </w:r>
      <w:r>
        <w:rPr>
          <w:rFonts w:hint="eastAsia" w:ascii="Times New Roman" w:hAnsi="Times New Roman" w:eastAsia="方正仿宋_GBK" w:cs="Times New Roman"/>
          <w:sz w:val="32"/>
          <w:szCs w:val="32"/>
          <w:highlight w:val="none"/>
          <w:shd w:val="clear" w:color="auto" w:fill="FFFFFF"/>
          <w:lang w:val="en-US" w:eastAsia="zh-CN"/>
        </w:rPr>
        <w:t>减少了交通行政执法“四基四化”建设、安排交通行政执法支出、路产路权支出等项目。</w:t>
      </w:r>
    </w:p>
    <w:p w14:paraId="719A3C2A">
      <w:pPr>
        <w:pStyle w:val="10"/>
        <w:keepNext w:val="0"/>
        <w:keepLines w:val="0"/>
        <w:pageBreakBefore w:val="0"/>
        <w:numPr>
          <w:ilvl w:val="0"/>
          <w:numId w:val="1"/>
        </w:numPr>
        <w:shd w:val="clear" w:color="auto" w:fill="FFFFFF"/>
        <w:kinsoku/>
        <w:overflowPunct/>
        <w:topLinePunct w:val="0"/>
        <w:bidi w:val="0"/>
        <w:spacing w:before="0" w:beforeAutospacing="0" w:after="0" w:afterAutospacing="0" w:line="600" w:lineRule="exact"/>
        <w:ind w:left="0" w:right="0" w:rightChars="0" w:firstLine="643" w:firstLineChars="200"/>
        <w:jc w:val="both"/>
        <w:rPr>
          <w:rFonts w:hint="default" w:ascii="Times New Roman" w:hAnsi="Times New Roman" w:eastAsia="方正仿宋_GBK" w:cs="Times New Roman"/>
          <w:sz w:val="32"/>
          <w:szCs w:val="32"/>
          <w:shd w:val="clear" w:color="auto" w:fill="FFFFFF"/>
        </w:rPr>
      </w:pPr>
      <w:r>
        <w:rPr>
          <w:rStyle w:val="14"/>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2024年度收入合计1569.17万元，与2023年度相比，减少6.24万元，下降0.4%，主要原因是</w:t>
      </w:r>
      <w:r>
        <w:rPr>
          <w:rFonts w:hint="default" w:ascii="Times New Roman" w:hAnsi="Times New Roman" w:eastAsia="方正仿宋_GBK" w:cs="Times New Roman"/>
          <w:sz w:val="32"/>
          <w:szCs w:val="32"/>
          <w:shd w:val="clear" w:color="auto" w:fill="FFFFFF"/>
          <w:lang w:val="en-US" w:eastAsia="zh-CN"/>
        </w:rPr>
        <w:t>2023年度有</w:t>
      </w:r>
      <w:r>
        <w:rPr>
          <w:rFonts w:hint="eastAsia" w:ascii="Times New Roman" w:hAnsi="Times New Roman" w:eastAsia="方正仿宋_GBK" w:cs="Times New Roman"/>
          <w:sz w:val="32"/>
          <w:szCs w:val="32"/>
          <w:shd w:val="clear" w:color="auto" w:fill="FFFFFF"/>
          <w:lang w:val="en-US" w:eastAsia="zh-CN"/>
        </w:rPr>
        <w:t>核销以前年度不需要偿还的往来款作为</w:t>
      </w:r>
      <w:r>
        <w:rPr>
          <w:rFonts w:hint="default" w:ascii="Times New Roman" w:hAnsi="Times New Roman" w:eastAsia="方正仿宋_GBK" w:cs="Times New Roman"/>
          <w:sz w:val="32"/>
          <w:szCs w:val="32"/>
          <w:highlight w:val="none"/>
          <w:shd w:val="clear" w:color="auto" w:fill="FFFFFF"/>
          <w:lang w:val="en-US" w:eastAsia="zh-CN"/>
        </w:rPr>
        <w:t>其他收入</w:t>
      </w:r>
      <w:r>
        <w:rPr>
          <w:rFonts w:hint="default" w:ascii="Times New Roman" w:hAnsi="Times New Roman" w:eastAsia="方正仿宋_GBK" w:cs="Times New Roman"/>
          <w:sz w:val="32"/>
          <w:szCs w:val="32"/>
          <w:shd w:val="clear" w:color="auto" w:fill="FFFFFF"/>
          <w:lang w:val="en-US" w:eastAsia="zh-CN"/>
        </w:rPr>
        <w:t>，而</w:t>
      </w:r>
      <w:r>
        <w:rPr>
          <w:rFonts w:hint="default" w:ascii="Times New Roman" w:hAnsi="Times New Roman" w:eastAsia="方正仿宋_GBK" w:cs="Times New Roman"/>
          <w:sz w:val="32"/>
          <w:szCs w:val="32"/>
          <w:shd w:val="clear" w:color="auto" w:fill="FFFFFF"/>
          <w:lang w:eastAsia="zh-CN"/>
        </w:rPr>
        <w:t>本年度本单位无其他</w:t>
      </w:r>
      <w:r>
        <w:rPr>
          <w:rFonts w:hint="eastAsia"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其中：财政拨款收入1569.17万元，占100.0%；事业收入0.00万元，占0.0%；经营收入0.00万元，占0.0%；其他收入0.00万元，占0.0%。此外，使用非财政拨款结余（含专用结余）0.00万元，年初结转和结余0.00万元。</w:t>
      </w:r>
    </w:p>
    <w:p w14:paraId="6E85A7DA">
      <w:pPr>
        <w:pStyle w:val="10"/>
        <w:keepNext w:val="0"/>
        <w:keepLines w:val="0"/>
        <w:pageBreakBefore w:val="0"/>
        <w:shd w:val="clear" w:color="auto" w:fill="FFFFFF"/>
        <w:kinsoku/>
        <w:overflowPunct/>
        <w:topLinePunct w:val="0"/>
        <w:bidi w:val="0"/>
        <w:spacing w:before="0" w:beforeAutospacing="0" w:after="0" w:afterAutospacing="0" w:line="600" w:lineRule="exact"/>
        <w:ind w:left="0" w:right="0" w:rightChars="0" w:firstLine="643" w:firstLineChars="200"/>
        <w:jc w:val="both"/>
        <w:rPr>
          <w:rFonts w:hint="default" w:ascii="Times New Roman" w:hAnsi="Times New Roman" w:eastAsia="方正仿宋_GBK" w:cs="Times New Roman"/>
          <w:sz w:val="32"/>
          <w:szCs w:val="32"/>
          <w:shd w:val="clear" w:color="auto" w:fill="FFFFFF"/>
        </w:rPr>
      </w:pPr>
      <w:r>
        <w:rPr>
          <w:rStyle w:val="14"/>
          <w:rFonts w:hint="default" w:ascii="Times New Roman" w:hAnsi="Times New Roman" w:eastAsia="方正仿宋_GBK" w:cs="Times New Roman"/>
          <w:sz w:val="32"/>
          <w:szCs w:val="32"/>
          <w:shd w:val="clear" w:color="auto" w:fill="FFFFFF"/>
          <w:lang w:val="en-US" w:eastAsia="zh-CN"/>
        </w:rPr>
        <w:t>2</w:t>
      </w:r>
      <w:r>
        <w:rPr>
          <w:rStyle w:val="14"/>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2024年度支出合计1569.17万元，与2023年度相比，减少266.20万元，下降14.5%，主要原因是</w:t>
      </w:r>
      <w:r>
        <w:rPr>
          <w:rFonts w:hint="default" w:ascii="Times New Roman" w:hAnsi="Times New Roman" w:eastAsia="方正仿宋_GBK" w:cs="Times New Roman"/>
          <w:sz w:val="32"/>
          <w:szCs w:val="32"/>
          <w:shd w:val="clear" w:color="auto" w:fill="FFFFFF"/>
          <w:lang w:eastAsia="zh-CN"/>
        </w:rPr>
        <w:t>本年度本单位</w:t>
      </w:r>
      <w:r>
        <w:rPr>
          <w:rFonts w:hint="eastAsia" w:ascii="Times New Roman" w:hAnsi="Times New Roman" w:eastAsia="方正仿宋_GBK" w:cs="Times New Roman"/>
          <w:sz w:val="32"/>
          <w:szCs w:val="32"/>
          <w:highlight w:val="none"/>
          <w:shd w:val="clear" w:color="auto" w:fill="FFFFFF"/>
          <w:lang w:val="en-US" w:eastAsia="zh-CN"/>
        </w:rPr>
        <w:t>减少交通行政执法“四基四化”建设项目、安排交通行政执法支出和路产路权支出等</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其中：基本支出1054.37万元，占67.2%；项目支出514.81万元，占32.8%；经营支出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661A709D">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3"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shd w:val="clear" w:color="auto" w:fill="FFFFFF"/>
          <w:lang w:val="en-US" w:eastAsia="zh-CN"/>
        </w:rPr>
        <w:t>3</w:t>
      </w:r>
      <w:r>
        <w:rPr>
          <w:rStyle w:val="14"/>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2024年度年末结转和结余0.00万元，与2023年度相比，减少17.80万元，下降100.0%，主要原因是</w:t>
      </w:r>
      <w:r>
        <w:rPr>
          <w:rFonts w:hint="default" w:ascii="Times New Roman" w:hAnsi="Times New Roman" w:eastAsia="方正仿宋_GBK" w:cs="Times New Roman"/>
          <w:sz w:val="32"/>
          <w:szCs w:val="32"/>
          <w:shd w:val="clear" w:color="auto" w:fill="FFFFFF"/>
          <w:lang w:val="en-US" w:eastAsia="zh-CN"/>
        </w:rPr>
        <w:t>2023年核销以前年度不需要偿还的往来欠款，而本年度无核销欠款。</w:t>
      </w:r>
    </w:p>
    <w:p w14:paraId="26038356">
      <w:pPr>
        <w:pStyle w:val="15"/>
        <w:keepNext w:val="0"/>
        <w:keepLines w:val="0"/>
        <w:pageBreakBefore w:val="0"/>
        <w:widowControl/>
        <w:kinsoku/>
        <w:wordWrap/>
        <w:overflowPunct/>
        <w:topLinePunct w:val="0"/>
        <w:autoSpaceDE w:val="0"/>
        <w:autoSpaceDN/>
        <w:bidi w:val="0"/>
        <w:adjustRightInd/>
        <w:snapToGrid/>
        <w:spacing w:line="60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46A9D974">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2024年度财政拨款收、支总计均为1569.17万元。与2023年</w:t>
      </w:r>
      <w:r>
        <w:rPr>
          <w:rFonts w:hint="eastAsia"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相比，财政拨款收、支总计各减少266.77万元，下降14.5%。主要原因是</w:t>
      </w:r>
      <w:r>
        <w:rPr>
          <w:rFonts w:hint="eastAsia" w:ascii="Times New Roman" w:hAnsi="Times New Roman" w:eastAsia="方正仿宋_GBK" w:cs="Times New Roman"/>
          <w:sz w:val="32"/>
          <w:szCs w:val="32"/>
          <w:shd w:val="clear" w:color="auto" w:fill="FFFFFF"/>
          <w:lang w:eastAsia="zh-CN"/>
        </w:rPr>
        <w:t>本年度本单位</w:t>
      </w:r>
      <w:r>
        <w:rPr>
          <w:rFonts w:hint="eastAsia" w:ascii="Times New Roman" w:hAnsi="Times New Roman" w:eastAsia="方正仿宋_GBK" w:cs="Times New Roman"/>
          <w:sz w:val="32"/>
          <w:szCs w:val="32"/>
          <w:highlight w:val="none"/>
          <w:shd w:val="clear" w:color="auto" w:fill="FFFFFF"/>
          <w:lang w:val="en-US" w:eastAsia="zh-CN"/>
        </w:rPr>
        <w:t>减少交通行政执法“四基四化”建设、安排交通行政执法支出、路产路权支出等项目</w:t>
      </w:r>
      <w:r>
        <w:rPr>
          <w:rFonts w:hint="eastAsia" w:ascii="Times New Roman" w:hAnsi="Times New Roman" w:eastAsia="方正仿宋_GBK" w:cs="Times New Roman"/>
          <w:sz w:val="32"/>
          <w:szCs w:val="32"/>
          <w:shd w:val="clear" w:color="auto" w:fill="FFFFFF"/>
          <w:lang w:val="en-US" w:eastAsia="zh-CN"/>
        </w:rPr>
        <w:t>。</w:t>
      </w:r>
    </w:p>
    <w:p w14:paraId="4E5102C4">
      <w:pPr>
        <w:pStyle w:val="15"/>
        <w:keepNext w:val="0"/>
        <w:keepLines w:val="0"/>
        <w:pageBreakBefore w:val="0"/>
        <w:widowControl/>
        <w:kinsoku/>
        <w:wordWrap/>
        <w:overflowPunct/>
        <w:topLinePunct w:val="0"/>
        <w:autoSpaceDE w:val="0"/>
        <w:autoSpaceDN/>
        <w:bidi w:val="0"/>
        <w:adjustRightInd/>
        <w:snapToGrid/>
        <w:spacing w:line="60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22067A49">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1.收入情况。2024年度一般公共预算财政拨款收入1569.17万元，与2023年度相比，增加110.99万元，增长7.6%。主要原因是</w:t>
      </w:r>
      <w:r>
        <w:rPr>
          <w:rFonts w:hint="eastAsia" w:ascii="Times New Roman" w:hAnsi="Times New Roman" w:eastAsia="方正仿宋_GBK" w:cs="Times New Roman"/>
          <w:sz w:val="32"/>
          <w:szCs w:val="32"/>
          <w:shd w:val="clear" w:color="auto" w:fill="FFFFFF"/>
          <w:lang w:eastAsia="zh-CN"/>
        </w:rPr>
        <w:t>养老保险基数调整及补发</w:t>
      </w:r>
      <w:r>
        <w:rPr>
          <w:rFonts w:hint="eastAsia" w:ascii="Times New Roman" w:hAnsi="Times New Roman" w:eastAsia="方正仿宋_GBK" w:cs="Times New Roman"/>
          <w:sz w:val="32"/>
          <w:szCs w:val="32"/>
          <w:shd w:val="clear" w:color="auto" w:fill="FFFFFF"/>
          <w:lang w:val="en-US" w:eastAsia="zh-CN"/>
        </w:rPr>
        <w:t>2023年</w:t>
      </w:r>
      <w:r>
        <w:rPr>
          <w:rFonts w:hint="eastAsia" w:ascii="Times New Roman" w:hAnsi="Times New Roman" w:eastAsia="方正仿宋_GBK" w:cs="Times New Roman"/>
          <w:sz w:val="32"/>
          <w:szCs w:val="32"/>
          <w:shd w:val="clear" w:color="auto" w:fill="FFFFFF"/>
          <w:lang w:eastAsia="zh-CN"/>
        </w:rPr>
        <w:t>退休健康休养费。</w:t>
      </w:r>
      <w:r>
        <w:rPr>
          <w:rFonts w:hint="default" w:ascii="Times New Roman" w:hAnsi="Times New Roman" w:eastAsia="方正仿宋_GBK" w:cs="Times New Roman"/>
          <w:sz w:val="32"/>
          <w:szCs w:val="32"/>
          <w:shd w:val="clear" w:color="auto" w:fill="FFFFFF"/>
        </w:rPr>
        <w:t>较年初预算数增加635.21万元，增长68.0%。主要原因是</w:t>
      </w:r>
      <w:r>
        <w:rPr>
          <w:rFonts w:hint="eastAsia" w:ascii="Times New Roman" w:hAnsi="Times New Roman" w:eastAsia="方正仿宋_GBK" w:cs="Times New Roman"/>
          <w:sz w:val="32"/>
          <w:szCs w:val="32"/>
          <w:shd w:val="clear" w:color="auto" w:fill="FFFFFF"/>
          <w:lang w:eastAsia="zh-CN"/>
        </w:rPr>
        <w:t>本年度本单位年中追加预算公路路产路权经费、执法质量提升经费、社保公积金基数调增、退休人员健康</w:t>
      </w:r>
      <w:r>
        <w:rPr>
          <w:rFonts w:hint="eastAsia" w:ascii="Times New Roman" w:hAnsi="Times New Roman" w:eastAsia="方正仿宋_GBK" w:cs="Times New Roman"/>
          <w:sz w:val="32"/>
          <w:szCs w:val="32"/>
          <w:shd w:val="clear" w:color="auto" w:fill="FFFFFF"/>
          <w:lang w:val="en-US" w:eastAsia="zh-CN"/>
        </w:rPr>
        <w:t>休</w:t>
      </w:r>
      <w:r>
        <w:rPr>
          <w:rFonts w:hint="eastAsia" w:ascii="Times New Roman" w:hAnsi="Times New Roman" w:eastAsia="方正仿宋_GBK" w:cs="Times New Roman"/>
          <w:sz w:val="32"/>
          <w:szCs w:val="32"/>
          <w:shd w:val="clear" w:color="auto" w:fill="FFFFFF"/>
          <w:lang w:eastAsia="zh-CN"/>
        </w:rPr>
        <w:t>养费及新调入职工经费等。</w:t>
      </w:r>
      <w:r>
        <w:rPr>
          <w:rFonts w:hint="default" w:ascii="Times New Roman" w:hAnsi="Times New Roman" w:eastAsia="方正仿宋_GBK" w:cs="Times New Roman"/>
          <w:sz w:val="32"/>
          <w:szCs w:val="32"/>
          <w:shd w:val="clear" w:color="auto" w:fill="FFFFFF"/>
        </w:rPr>
        <w:t>此外，年初财政拨款结转和结余0.00万元。</w:t>
      </w:r>
    </w:p>
    <w:p w14:paraId="583AB040">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2.支出情况。2024年度一般公共预算财政拨款支出1569.17万元，与2023年度相比，减少148.97万元，下降8.7%。主要原因是</w:t>
      </w:r>
      <w:r>
        <w:rPr>
          <w:rFonts w:hint="eastAsia" w:ascii="Times New Roman" w:hAnsi="Times New Roman" w:eastAsia="方正仿宋_GBK" w:cs="Times New Roman"/>
          <w:sz w:val="32"/>
          <w:szCs w:val="32"/>
          <w:shd w:val="clear" w:color="auto" w:fill="FFFFFF"/>
          <w:lang w:eastAsia="zh-CN"/>
        </w:rPr>
        <w:t>压减需求不再紧迫的项目支出，落实过紧日子要求。</w:t>
      </w:r>
      <w:r>
        <w:rPr>
          <w:rFonts w:hint="default" w:ascii="Times New Roman" w:hAnsi="Times New Roman" w:eastAsia="方正仿宋_GBK" w:cs="Times New Roman"/>
          <w:sz w:val="32"/>
          <w:szCs w:val="32"/>
          <w:shd w:val="clear" w:color="auto" w:fill="FFFFFF"/>
        </w:rPr>
        <w:t>较年初预算数增加635.21万元，增长68.0%。主要原因是</w:t>
      </w:r>
      <w:r>
        <w:rPr>
          <w:rFonts w:hint="eastAsia" w:ascii="Times New Roman" w:hAnsi="Times New Roman" w:eastAsia="方正仿宋_GBK" w:cs="Times New Roman"/>
          <w:sz w:val="32"/>
          <w:szCs w:val="32"/>
          <w:shd w:val="clear" w:color="auto" w:fill="FFFFFF"/>
          <w:lang w:eastAsia="zh-CN"/>
        </w:rPr>
        <w:t>本年度本单位年中财政追加项目公路路产路权经费、执法质量提升经费、社保公积金基数调增、退休人员健康</w:t>
      </w:r>
      <w:r>
        <w:rPr>
          <w:rFonts w:hint="eastAsia" w:ascii="Times New Roman" w:hAnsi="Times New Roman" w:eastAsia="方正仿宋_GBK" w:cs="Times New Roman"/>
          <w:sz w:val="32"/>
          <w:szCs w:val="32"/>
          <w:shd w:val="clear" w:color="auto" w:fill="FFFFFF"/>
          <w:lang w:val="en-US" w:eastAsia="zh-CN"/>
        </w:rPr>
        <w:t>休</w:t>
      </w:r>
      <w:r>
        <w:rPr>
          <w:rFonts w:hint="eastAsia" w:ascii="Times New Roman" w:hAnsi="Times New Roman" w:eastAsia="方正仿宋_GBK" w:cs="Times New Roman"/>
          <w:sz w:val="32"/>
          <w:szCs w:val="32"/>
          <w:shd w:val="clear" w:color="auto" w:fill="FFFFFF"/>
          <w:lang w:eastAsia="zh-CN"/>
        </w:rPr>
        <w:t>养费及新调入职工经费等。</w:t>
      </w:r>
    </w:p>
    <w:p w14:paraId="74960EBE">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一般公共预算财政拨款支出主要</w:t>
      </w:r>
      <w:r>
        <w:rPr>
          <w:rFonts w:hint="eastAsia" w:ascii="Times New Roman" w:hAnsi="Times New Roman" w:eastAsia="方正仿宋_GBK" w:cs="Times New Roman"/>
          <w:sz w:val="32"/>
          <w:szCs w:val="32"/>
          <w:shd w:val="clear" w:color="auto" w:fill="FFFFFF"/>
          <w:lang w:eastAsia="zh-CN"/>
        </w:rPr>
        <w:t>用途如下</w:t>
      </w:r>
      <w:r>
        <w:rPr>
          <w:rFonts w:hint="default" w:ascii="Times New Roman" w:hAnsi="Times New Roman" w:eastAsia="方正仿宋_GBK" w:cs="Times New Roman"/>
          <w:sz w:val="32"/>
          <w:szCs w:val="32"/>
          <w:shd w:val="clear" w:color="auto" w:fill="FFFFFF"/>
        </w:rPr>
        <w:t>：</w:t>
      </w:r>
    </w:p>
    <w:p w14:paraId="66B0ACC2">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eastAsia"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就业支出170.42万元，占10.9%，较年初预算数增加59.72万元，增长54.0%，主要原因是</w:t>
      </w:r>
      <w:r>
        <w:rPr>
          <w:rFonts w:hint="eastAsia" w:ascii="Times New Roman" w:hAnsi="Times New Roman" w:eastAsia="方正仿宋_GBK" w:cs="Times New Roman"/>
          <w:sz w:val="32"/>
          <w:szCs w:val="32"/>
          <w:shd w:val="clear" w:color="auto" w:fill="FFFFFF"/>
          <w:lang w:eastAsia="zh-CN"/>
        </w:rPr>
        <w:t>本年度补交</w:t>
      </w:r>
      <w:r>
        <w:rPr>
          <w:rFonts w:hint="eastAsia" w:ascii="Times New Roman" w:hAnsi="Times New Roman" w:eastAsia="方正仿宋_GBK" w:cs="Times New Roman"/>
          <w:sz w:val="32"/>
          <w:szCs w:val="32"/>
          <w:shd w:val="clear" w:color="auto" w:fill="FFFFFF"/>
          <w:lang w:val="en-US" w:eastAsia="zh-CN"/>
        </w:rPr>
        <w:t>2023年退休健康休养费及社保基数调增。</w:t>
      </w:r>
    </w:p>
    <w:p w14:paraId="271B67CB">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）卫生健康支出47.85万元，占3.1%，较年初预算数增加4.11万元，增长9.4%，主要原因是</w:t>
      </w:r>
      <w:r>
        <w:rPr>
          <w:rFonts w:hint="eastAsia" w:ascii="Times New Roman" w:hAnsi="Times New Roman" w:eastAsia="方正仿宋_GBK" w:cs="Times New Roman"/>
          <w:sz w:val="32"/>
          <w:szCs w:val="32"/>
          <w:shd w:val="clear" w:color="auto" w:fill="FFFFFF"/>
          <w:lang w:eastAsia="zh-CN"/>
        </w:rPr>
        <w:t>年中追加新调入</w:t>
      </w:r>
      <w:r>
        <w:rPr>
          <w:rFonts w:hint="eastAsia" w:ascii="Times New Roman" w:hAnsi="Times New Roman" w:eastAsia="方正仿宋_GBK" w:cs="Times New Roman"/>
          <w:sz w:val="32"/>
          <w:szCs w:val="32"/>
          <w:shd w:val="clear" w:color="auto" w:fill="FFFFFF"/>
          <w:lang w:val="en-US" w:eastAsia="zh-CN"/>
        </w:rPr>
        <w:t>5名人员医疗费。</w:t>
      </w:r>
    </w:p>
    <w:p w14:paraId="6B09BF82">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（3）交通运输支出1307.74万元，占83.3%，较年初预算数增加568.10万元，增长76.8%，主要原因是</w:t>
      </w:r>
      <w:r>
        <w:rPr>
          <w:rFonts w:hint="eastAsia" w:ascii="Times New Roman" w:hAnsi="Times New Roman" w:eastAsia="方正仿宋_GBK" w:cs="Times New Roman"/>
          <w:sz w:val="32"/>
          <w:szCs w:val="32"/>
          <w:shd w:val="clear" w:color="auto" w:fill="FFFFFF"/>
          <w:lang w:eastAsia="zh-CN"/>
        </w:rPr>
        <w:t>年中追加项目公路路产路权经费、执法质量提升经费。</w:t>
      </w:r>
    </w:p>
    <w:p w14:paraId="564D3188">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）住房保障支出43.17万元，占2.8%，较年初预算数增加3.28万元，增长8.2%，主要原因是</w:t>
      </w:r>
      <w:r>
        <w:rPr>
          <w:rFonts w:hint="eastAsia" w:ascii="Times New Roman" w:hAnsi="Times New Roman" w:eastAsia="方正仿宋_GBK" w:cs="Times New Roman"/>
          <w:sz w:val="32"/>
          <w:szCs w:val="32"/>
          <w:shd w:val="clear" w:color="auto" w:fill="FFFFFF"/>
          <w:lang w:eastAsia="zh-CN"/>
        </w:rPr>
        <w:t>年中追加新调入</w:t>
      </w:r>
      <w:r>
        <w:rPr>
          <w:rFonts w:hint="eastAsia" w:ascii="Times New Roman" w:hAnsi="Times New Roman" w:eastAsia="方正仿宋_GBK" w:cs="Times New Roman"/>
          <w:sz w:val="32"/>
          <w:szCs w:val="32"/>
          <w:shd w:val="clear" w:color="auto" w:fill="FFFFFF"/>
          <w:lang w:val="en-US" w:eastAsia="zh-CN"/>
        </w:rPr>
        <w:t>5名人员住房公积金。</w:t>
      </w:r>
    </w:p>
    <w:p w14:paraId="42E5A01C">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3"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2024年度年末一般公共预算财政拨款结转和结余0.00万元，与2023年度相比，减少17.80万元，下降100.0%，主要原因是</w:t>
      </w:r>
      <w:r>
        <w:rPr>
          <w:rFonts w:hint="eastAsia" w:ascii="Times New Roman" w:hAnsi="Times New Roman" w:eastAsia="方正仿宋_GBK" w:cs="Times New Roman"/>
          <w:sz w:val="32"/>
          <w:szCs w:val="32"/>
          <w:shd w:val="clear" w:color="auto" w:fill="FFFFFF"/>
          <w:lang w:val="en-US" w:eastAsia="zh-CN"/>
        </w:rPr>
        <w:t>2023年核销了以前年度不需要偿还的往来欠款，而2024年未核销，从而导致与2023年相比减少17.80万元。</w:t>
      </w:r>
    </w:p>
    <w:p w14:paraId="43C51E29">
      <w:pPr>
        <w:pStyle w:val="15"/>
        <w:keepNext w:val="0"/>
        <w:keepLines w:val="0"/>
        <w:pageBreakBefore w:val="0"/>
        <w:widowControl/>
        <w:kinsoku/>
        <w:wordWrap/>
        <w:overflowPunct/>
        <w:topLinePunct w:val="0"/>
        <w:autoSpaceDE w:val="0"/>
        <w:autoSpaceDN/>
        <w:bidi w:val="0"/>
        <w:adjustRightInd/>
        <w:snapToGrid/>
        <w:spacing w:line="60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3D7E5A27">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2024年度一般公共财政拨款基本支出1054.37万元。</w:t>
      </w:r>
    </w:p>
    <w:p w14:paraId="7F1D175E">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6BA1E817">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sz w:val="32"/>
          <w:szCs w:val="32"/>
          <w:shd w:val="clear" w:color="auto" w:fill="FFFFFF"/>
        </w:rPr>
        <w:t>人员经费907.41万元，与2023年度相比，增加7.18万元，增长0.8%，主</w:t>
      </w:r>
      <w:r>
        <w:rPr>
          <w:rFonts w:hint="default" w:ascii="Times New Roman" w:hAnsi="Times New Roman" w:eastAsia="方正仿宋_GBK" w:cs="Times New Roman"/>
          <w:b w:val="0"/>
          <w:bCs w:val="0"/>
          <w:sz w:val="32"/>
          <w:szCs w:val="32"/>
          <w:shd w:val="clear" w:color="auto" w:fill="FFFFFF"/>
        </w:rPr>
        <w:t>要原因是</w:t>
      </w:r>
      <w:r>
        <w:rPr>
          <w:rFonts w:hint="eastAsia" w:ascii="Times New Roman" w:hAnsi="Times New Roman" w:eastAsia="方正仿宋_GBK" w:cs="Times New Roman"/>
          <w:b w:val="0"/>
          <w:bCs w:val="0"/>
          <w:sz w:val="32"/>
          <w:szCs w:val="32"/>
          <w:shd w:val="clear" w:color="auto" w:fill="FFFFFF"/>
          <w:lang w:eastAsia="zh-CN"/>
        </w:rPr>
        <w:t>本年度本单位新调入</w:t>
      </w:r>
      <w:r>
        <w:rPr>
          <w:rFonts w:hint="eastAsia" w:ascii="Times New Roman" w:hAnsi="Times New Roman" w:eastAsia="方正仿宋_GBK" w:cs="Times New Roman"/>
          <w:b w:val="0"/>
          <w:bCs w:val="0"/>
          <w:sz w:val="32"/>
          <w:szCs w:val="32"/>
          <w:shd w:val="clear" w:color="auto" w:fill="FFFFFF"/>
          <w:lang w:val="en-US" w:eastAsia="zh-CN"/>
        </w:rPr>
        <w:t>5名职工。</w:t>
      </w:r>
      <w:r>
        <w:rPr>
          <w:rFonts w:hint="default" w:ascii="Times New Roman" w:hAnsi="Times New Roman" w:eastAsia="方正仿宋_GBK" w:cs="Times New Roman"/>
          <w:b w:val="0"/>
          <w:bCs w:val="0"/>
          <w:sz w:val="32"/>
          <w:szCs w:val="32"/>
          <w:shd w:val="clear" w:color="auto" w:fill="FFFFFF"/>
        </w:rPr>
        <w:t>人员经费用途主要包括</w:t>
      </w:r>
      <w:r>
        <w:rPr>
          <w:rFonts w:hint="eastAsia" w:ascii="Times New Roman" w:hAnsi="Times New Roman" w:eastAsia="方正仿宋_GBK" w:cs="Times New Roman"/>
          <w:b w:val="0"/>
          <w:bCs w:val="0"/>
          <w:sz w:val="32"/>
          <w:szCs w:val="32"/>
          <w:shd w:val="clear" w:color="auto" w:fill="FFFFFF"/>
          <w:lang w:eastAsia="zh-CN"/>
        </w:rPr>
        <w:t>基本工资、医疗费、津贴补贴等。</w:t>
      </w:r>
    </w:p>
    <w:p w14:paraId="41E3F76D">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公用经费146.96万元，与2023年度相比，减少224.43万元，下降60.4%，主要原因是</w:t>
      </w:r>
      <w:r>
        <w:rPr>
          <w:rFonts w:hint="eastAsia" w:ascii="Times New Roman" w:hAnsi="Times New Roman" w:eastAsia="方正仿宋_GBK" w:cs="Times New Roman"/>
          <w:b w:val="0"/>
          <w:bCs w:val="0"/>
          <w:sz w:val="32"/>
          <w:szCs w:val="32"/>
          <w:shd w:val="clear" w:color="auto" w:fill="FFFFFF"/>
          <w:lang w:val="en-US" w:eastAsia="zh-CN"/>
        </w:rPr>
        <w:t>2023年把一些项目经费误调入了公用经费。</w:t>
      </w:r>
      <w:r>
        <w:rPr>
          <w:rFonts w:hint="default" w:ascii="Times New Roman" w:hAnsi="Times New Roman" w:eastAsia="方正仿宋_GBK" w:cs="Times New Roman"/>
          <w:b w:val="0"/>
          <w:bCs w:val="0"/>
          <w:sz w:val="32"/>
          <w:szCs w:val="32"/>
          <w:shd w:val="clear" w:color="auto" w:fill="FFFFFF"/>
        </w:rPr>
        <w:t>公用经费用途主要包括</w:t>
      </w:r>
      <w:r>
        <w:rPr>
          <w:rFonts w:hint="eastAsia" w:ascii="Times New Roman" w:hAnsi="Times New Roman" w:eastAsia="方正仿宋_GBK" w:cs="Times New Roman"/>
          <w:b w:val="0"/>
          <w:bCs w:val="0"/>
          <w:sz w:val="32"/>
          <w:szCs w:val="32"/>
          <w:shd w:val="clear" w:color="auto" w:fill="FFFFFF"/>
          <w:lang w:eastAsia="zh-CN"/>
        </w:rPr>
        <w:t>办公费、水</w:t>
      </w:r>
      <w:r>
        <w:rPr>
          <w:rFonts w:hint="eastAsia" w:ascii="Times New Roman" w:hAnsi="Times New Roman" w:eastAsia="方正仿宋_GBK" w:cs="Times New Roman"/>
          <w:sz w:val="32"/>
          <w:szCs w:val="32"/>
          <w:shd w:val="clear" w:color="auto" w:fill="FFFFFF"/>
          <w:lang w:eastAsia="zh-CN"/>
        </w:rPr>
        <w:t>电费、差旅费、培训费等。</w:t>
      </w:r>
    </w:p>
    <w:p w14:paraId="1894D451">
      <w:pPr>
        <w:pStyle w:val="15"/>
        <w:keepNext w:val="0"/>
        <w:keepLines w:val="0"/>
        <w:pageBreakBefore w:val="0"/>
        <w:widowControl/>
        <w:kinsoku/>
        <w:wordWrap/>
        <w:overflowPunct/>
        <w:topLinePunct w:val="0"/>
        <w:autoSpaceDE w:val="0"/>
        <w:autoSpaceDN/>
        <w:bidi w:val="0"/>
        <w:adjustRightInd/>
        <w:snapToGrid/>
        <w:spacing w:line="60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53325B99">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b w:val="0"/>
          <w:bCs w:val="0"/>
          <w:sz w:val="32"/>
          <w:szCs w:val="32"/>
          <w:shd w:val="clear" w:color="auto" w:fill="FFFFFF"/>
        </w:rPr>
        <w:t>2024年度政府性基金预算财政拨款年初结转结余0.00万元，年末结转结余0.00万元。本年收入0.00万元，与2023年度相比，减少100.00万元，下降100.0%，主要原因是</w:t>
      </w:r>
      <w:r>
        <w:rPr>
          <w:rFonts w:hint="eastAsia" w:ascii="Times New Roman" w:hAnsi="Times New Roman" w:eastAsia="方正仿宋_GBK" w:cs="Times New Roman"/>
          <w:b w:val="0"/>
          <w:bCs w:val="0"/>
          <w:sz w:val="32"/>
          <w:szCs w:val="32"/>
          <w:shd w:val="clear" w:color="auto" w:fill="FFFFFF"/>
          <w:lang w:eastAsia="zh-CN"/>
        </w:rPr>
        <w:t>本单位</w:t>
      </w:r>
      <w:r>
        <w:rPr>
          <w:rFonts w:hint="eastAsia" w:ascii="Times New Roman" w:hAnsi="Times New Roman" w:eastAsia="方正仿宋_GBK" w:cs="Times New Roman"/>
          <w:b w:val="0"/>
          <w:bCs w:val="0"/>
          <w:sz w:val="32"/>
          <w:szCs w:val="32"/>
          <w:shd w:val="clear" w:color="auto" w:fill="FFFFFF"/>
          <w:lang w:val="en-US" w:eastAsia="zh-CN"/>
        </w:rPr>
        <w:t>2024年</w:t>
      </w:r>
      <w:r>
        <w:rPr>
          <w:rFonts w:hint="eastAsia" w:ascii="Times New Roman" w:hAnsi="Times New Roman" w:eastAsia="方正仿宋_GBK" w:cs="Times New Roman"/>
          <w:b w:val="0"/>
          <w:bCs w:val="0"/>
          <w:sz w:val="32"/>
          <w:szCs w:val="32"/>
          <w:shd w:val="clear" w:color="auto" w:fill="FFFFFF"/>
          <w:lang w:eastAsia="zh-CN"/>
        </w:rPr>
        <w:t>无政府性基金预算财政拨款收入。</w:t>
      </w:r>
      <w:r>
        <w:rPr>
          <w:rFonts w:hint="default" w:ascii="Times New Roman" w:hAnsi="Times New Roman" w:eastAsia="方正仿宋_GBK" w:cs="Times New Roman"/>
          <w:b w:val="0"/>
          <w:bCs w:val="0"/>
          <w:sz w:val="32"/>
          <w:szCs w:val="32"/>
          <w:shd w:val="clear" w:color="auto" w:fill="FFFFFF"/>
        </w:rPr>
        <w:t>本年支出0.00万元，与2023年度相比，减少100.00万元，下降100.0%，主要原因是</w:t>
      </w:r>
      <w:r>
        <w:rPr>
          <w:rFonts w:hint="eastAsia" w:ascii="Times New Roman" w:hAnsi="Times New Roman" w:eastAsia="方正仿宋_GBK" w:cs="Times New Roman"/>
          <w:b w:val="0"/>
          <w:bCs w:val="0"/>
          <w:sz w:val="32"/>
          <w:szCs w:val="32"/>
          <w:shd w:val="clear" w:color="auto" w:fill="FFFFFF"/>
          <w:lang w:eastAsia="zh-CN"/>
        </w:rPr>
        <w:t>本单位</w:t>
      </w:r>
      <w:r>
        <w:rPr>
          <w:rFonts w:hint="eastAsia" w:ascii="Times New Roman" w:hAnsi="Times New Roman" w:eastAsia="方正仿宋_GBK" w:cs="Times New Roman"/>
          <w:b w:val="0"/>
          <w:bCs w:val="0"/>
          <w:sz w:val="32"/>
          <w:szCs w:val="32"/>
          <w:shd w:val="clear" w:color="auto" w:fill="FFFFFF"/>
          <w:lang w:val="en-US" w:eastAsia="zh-CN"/>
        </w:rPr>
        <w:t>2024年</w:t>
      </w:r>
      <w:r>
        <w:rPr>
          <w:rFonts w:hint="eastAsia" w:ascii="Times New Roman" w:hAnsi="Times New Roman" w:eastAsia="方正仿宋_GBK" w:cs="Times New Roman"/>
          <w:b w:val="0"/>
          <w:bCs w:val="0"/>
          <w:sz w:val="32"/>
          <w:szCs w:val="32"/>
          <w:shd w:val="clear" w:color="auto" w:fill="FFFFFF"/>
          <w:lang w:eastAsia="zh-CN"/>
        </w:rPr>
        <w:t>无政府性基金预算财政拨款支出。</w:t>
      </w:r>
    </w:p>
    <w:p w14:paraId="52AD9CC8">
      <w:pPr>
        <w:pStyle w:val="15"/>
        <w:keepNext w:val="0"/>
        <w:keepLines w:val="0"/>
        <w:pageBreakBefore w:val="0"/>
        <w:widowControl/>
        <w:kinsoku/>
        <w:wordWrap/>
        <w:overflowPunct/>
        <w:topLinePunct w:val="0"/>
        <w:autoSpaceDE w:val="0"/>
        <w:autoSpaceDN/>
        <w:bidi w:val="0"/>
        <w:adjustRightInd/>
        <w:snapToGrid/>
        <w:spacing w:line="60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6FF23D39">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lang w:eastAsia="zh-CN"/>
        </w:rPr>
        <w:t>2024</w:t>
      </w:r>
      <w:r>
        <w:rPr>
          <w:rFonts w:hint="eastAsia" w:ascii="Times New Roman" w:hAnsi="Times New Roman" w:eastAsia="方正仿宋_GBK" w:cs="Times New Roman"/>
          <w:b w:val="0"/>
          <w:bCs w:val="0"/>
          <w:sz w:val="32"/>
          <w:szCs w:val="32"/>
          <w:shd w:val="clear" w:color="auto" w:fill="FFFFFF"/>
          <w:lang w:eastAsia="zh-CN"/>
        </w:rPr>
        <w:t>年度国有资本经营预算财政拨款支出</w:t>
      </w:r>
      <w:r>
        <w:rPr>
          <w:rFonts w:hint="default" w:ascii="Times New Roman" w:hAnsi="Times New Roman" w:eastAsia="方正仿宋_GBK" w:cs="Times New Roman"/>
          <w:b w:val="0"/>
          <w:bCs w:val="0"/>
          <w:sz w:val="32"/>
          <w:szCs w:val="32"/>
          <w:shd w:val="clear" w:color="auto" w:fill="FFFFFF"/>
          <w:lang w:eastAsia="zh-CN"/>
        </w:rPr>
        <w:t>0.00</w:t>
      </w:r>
      <w:r>
        <w:rPr>
          <w:rFonts w:hint="eastAsia" w:ascii="Times New Roman" w:hAnsi="Times New Roman" w:eastAsia="方正仿宋_GBK" w:cs="Times New Roman"/>
          <w:b w:val="0"/>
          <w:bCs w:val="0"/>
          <w:sz w:val="32"/>
          <w:szCs w:val="32"/>
          <w:shd w:val="clear" w:color="auto" w:fill="FFFFFF"/>
          <w:lang w:eastAsia="zh-CN"/>
        </w:rPr>
        <w:t>万元，基本支出</w:t>
      </w:r>
      <w:r>
        <w:rPr>
          <w:rFonts w:hint="default" w:ascii="Times New Roman" w:hAnsi="Times New Roman" w:eastAsia="方正仿宋_GBK" w:cs="Times New Roman"/>
          <w:b w:val="0"/>
          <w:bCs w:val="0"/>
          <w:sz w:val="32"/>
          <w:szCs w:val="32"/>
          <w:shd w:val="clear" w:color="auto" w:fill="FFFFFF"/>
          <w:lang w:eastAsia="zh-CN"/>
        </w:rPr>
        <w:t>0.00</w:t>
      </w:r>
      <w:r>
        <w:rPr>
          <w:rFonts w:hint="eastAsia" w:ascii="Times New Roman" w:hAnsi="Times New Roman" w:eastAsia="方正仿宋_GBK" w:cs="Times New Roman"/>
          <w:b w:val="0"/>
          <w:bCs w:val="0"/>
          <w:sz w:val="32"/>
          <w:szCs w:val="32"/>
          <w:shd w:val="clear" w:color="auto" w:fill="FFFFFF"/>
          <w:lang w:eastAsia="zh-CN"/>
        </w:rPr>
        <w:t>万元，项目支出</w:t>
      </w:r>
      <w:r>
        <w:rPr>
          <w:rFonts w:hint="default" w:ascii="Times New Roman" w:hAnsi="Times New Roman" w:eastAsia="方正仿宋_GBK" w:cs="Times New Roman"/>
          <w:b w:val="0"/>
          <w:bCs w:val="0"/>
          <w:sz w:val="32"/>
          <w:szCs w:val="32"/>
          <w:shd w:val="clear" w:color="auto" w:fill="FFFFFF"/>
          <w:lang w:eastAsia="zh-CN"/>
        </w:rPr>
        <w:t>0.00</w:t>
      </w:r>
      <w:r>
        <w:rPr>
          <w:rFonts w:hint="eastAsia" w:ascii="Times New Roman" w:hAnsi="Times New Roman" w:eastAsia="方正仿宋_GBK" w:cs="Times New Roman"/>
          <w:b w:val="0"/>
          <w:bCs w:val="0"/>
          <w:sz w:val="32"/>
          <w:szCs w:val="32"/>
          <w:shd w:val="clear" w:color="auto" w:fill="FFFFFF"/>
          <w:lang w:eastAsia="zh-CN"/>
        </w:rPr>
        <w:t>万元，主要是本单位</w:t>
      </w:r>
      <w:r>
        <w:rPr>
          <w:rFonts w:hint="eastAsia" w:ascii="Times New Roman" w:hAnsi="Times New Roman" w:eastAsia="方正仿宋_GBK" w:cs="Times New Roman"/>
          <w:b w:val="0"/>
          <w:bCs w:val="0"/>
          <w:sz w:val="32"/>
          <w:szCs w:val="32"/>
          <w:shd w:val="clear" w:color="auto" w:fill="FFFFFF"/>
          <w:lang w:val="en-US" w:eastAsia="zh-CN"/>
        </w:rPr>
        <w:t>2024年度无国有资本经营预算财政拨款支出。</w:t>
      </w:r>
    </w:p>
    <w:p w14:paraId="0A2DA3FD">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textAlignment w:val="auto"/>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三、</w:t>
      </w:r>
      <w:r>
        <w:rPr>
          <w:rStyle w:val="14"/>
          <w:rFonts w:hint="eastAsia" w:ascii="方正黑体_GBK" w:hAnsi="方正黑体_GBK" w:eastAsia="方正黑体_GBK" w:cs="方正黑体_GBK"/>
          <w:b w:val="0"/>
          <w:bCs/>
          <w:sz w:val="32"/>
          <w:szCs w:val="32"/>
          <w:shd w:val="clear" w:color="auto" w:fill="FFFFFF"/>
          <w:lang w:eastAsia="zh-CN"/>
        </w:rPr>
        <w:t>财政拨款</w:t>
      </w:r>
      <w:r>
        <w:rPr>
          <w:rStyle w:val="14"/>
          <w:rFonts w:hint="eastAsia" w:ascii="方正黑体_GBK" w:hAnsi="方正黑体_GBK" w:eastAsia="方正黑体_GBK" w:cs="方正黑体_GBK"/>
          <w:b w:val="0"/>
          <w:bCs/>
          <w:sz w:val="32"/>
          <w:szCs w:val="32"/>
          <w:shd w:val="clear" w:color="auto" w:fill="FFFFFF"/>
        </w:rPr>
        <w:t>“三公”经费情况说明</w:t>
      </w:r>
    </w:p>
    <w:p w14:paraId="29BF05FD">
      <w:pPr>
        <w:pStyle w:val="15"/>
        <w:keepNext w:val="0"/>
        <w:keepLines w:val="0"/>
        <w:pageBreakBefore w:val="0"/>
        <w:widowControl/>
        <w:kinsoku/>
        <w:wordWrap/>
        <w:overflowPunct/>
        <w:topLinePunct w:val="0"/>
        <w:autoSpaceDE w:val="0"/>
        <w:autoSpaceDN/>
        <w:bidi w:val="0"/>
        <w:adjustRightInd/>
        <w:snapToGrid/>
        <w:spacing w:line="56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03DEDAFF">
      <w:pPr>
        <w:pStyle w:val="15"/>
        <w:keepNext w:val="0"/>
        <w:keepLines w:val="0"/>
        <w:pageBreakBefore w:val="0"/>
        <w:widowControl/>
        <w:kinsoku/>
        <w:wordWrap/>
        <w:overflowPunct/>
        <w:topLinePunct w:val="0"/>
        <w:autoSpaceDE w:val="0"/>
        <w:autoSpaceDN/>
        <w:bidi w:val="0"/>
        <w:adjustRightInd/>
        <w:snapToGrid/>
        <w:spacing w:line="56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2024</w:t>
      </w:r>
      <w:r>
        <w:rPr>
          <w:rFonts w:hint="eastAsia" w:ascii="Times New Roman" w:hAnsi="Times New Roman" w:eastAsia="方正仿宋_GBK" w:cs="Times New Roman"/>
          <w:b w:val="0"/>
          <w:bCs w:val="0"/>
          <w:sz w:val="32"/>
          <w:szCs w:val="32"/>
          <w:shd w:val="clear" w:color="auto" w:fill="FFFFFF"/>
          <w:lang w:val="en-US" w:eastAsia="zh-CN" w:bidi="ar-SA"/>
        </w:rPr>
        <w:t>年度“三公”经费支出共计</w:t>
      </w:r>
      <w:r>
        <w:rPr>
          <w:rFonts w:hint="default" w:ascii="Times New Roman" w:hAnsi="Times New Roman" w:eastAsia="方正仿宋_GBK" w:cs="Times New Roman"/>
          <w:b w:val="0"/>
          <w:bCs w:val="0"/>
          <w:sz w:val="32"/>
          <w:szCs w:val="32"/>
          <w:shd w:val="clear" w:color="auto" w:fill="FFFFFF"/>
          <w:lang w:val="en-US" w:eastAsia="zh-CN" w:bidi="ar-SA"/>
        </w:rPr>
        <w:t>30.49</w:t>
      </w:r>
      <w:r>
        <w:rPr>
          <w:rFonts w:hint="eastAsia" w:ascii="Times New Roman" w:hAnsi="Times New Roman" w:eastAsia="方正仿宋_GBK" w:cs="Times New Roman"/>
          <w:b w:val="0"/>
          <w:bCs w:val="0"/>
          <w:sz w:val="32"/>
          <w:szCs w:val="32"/>
          <w:shd w:val="clear" w:color="auto" w:fill="FFFFFF"/>
          <w:lang w:val="en-US" w:eastAsia="zh-CN" w:bidi="ar-SA"/>
        </w:rPr>
        <w:t>万元，</w:t>
      </w:r>
      <w:r>
        <w:rPr>
          <w:rFonts w:hint="default" w:ascii="Times New Roman" w:hAnsi="Times New Roman" w:eastAsia="方正仿宋_GBK" w:cs="Times New Roman"/>
          <w:b w:val="0"/>
          <w:bCs w:val="0"/>
          <w:sz w:val="32"/>
          <w:szCs w:val="32"/>
          <w:shd w:val="clear" w:color="auto" w:fill="FFFFFF"/>
          <w:lang w:val="en-US" w:eastAsia="zh-CN" w:bidi="ar-SA"/>
        </w:rPr>
        <w:t>较年初预算数减少2.91万元，下降8.7%</w:t>
      </w:r>
      <w:r>
        <w:rPr>
          <w:rFonts w:hint="eastAsia" w:ascii="Times New Roman" w:hAnsi="Times New Roman" w:eastAsia="方正仿宋_GBK" w:cs="Times New Roman"/>
          <w:b w:val="0"/>
          <w:bCs w:val="0"/>
          <w:sz w:val="32"/>
          <w:szCs w:val="32"/>
          <w:shd w:val="clear" w:color="auto" w:fill="FFFFFF"/>
          <w:lang w:val="en-US" w:eastAsia="zh-CN" w:bidi="ar-SA"/>
        </w:rPr>
        <w:t>，主要原因是严控和压缩“三公”经费，努力降低事业成本，提高机关效能。</w:t>
      </w:r>
      <w:r>
        <w:rPr>
          <w:rFonts w:hint="default" w:ascii="Times New Roman" w:hAnsi="Times New Roman" w:eastAsia="方正仿宋_GBK" w:cs="Times New Roman"/>
          <w:b w:val="0"/>
          <w:bCs w:val="0"/>
          <w:sz w:val="32"/>
          <w:szCs w:val="32"/>
          <w:shd w:val="clear" w:color="auto" w:fill="FFFFFF"/>
          <w:lang w:val="en-US" w:eastAsia="zh-CN" w:bidi="ar-SA"/>
        </w:rPr>
        <w:t>较上年支出数减少15.21万元，下降33.3%</w:t>
      </w:r>
      <w:r>
        <w:rPr>
          <w:rFonts w:hint="eastAsia" w:ascii="Times New Roman" w:hAnsi="Times New Roman" w:eastAsia="方正仿宋_GBK" w:cs="Times New Roman"/>
          <w:b w:val="0"/>
          <w:bCs w:val="0"/>
          <w:sz w:val="32"/>
          <w:szCs w:val="32"/>
          <w:shd w:val="clear" w:color="auto" w:fill="FFFFFF"/>
          <w:lang w:val="en-US" w:eastAsia="zh-CN" w:bidi="ar-SA"/>
        </w:rPr>
        <w:t>，主要原因是公务用车运行维护费减少6.14万元及严格控制公务接待费用支出。</w:t>
      </w:r>
    </w:p>
    <w:p w14:paraId="1EF1F121">
      <w:pPr>
        <w:pStyle w:val="15"/>
        <w:keepNext w:val="0"/>
        <w:keepLines w:val="0"/>
        <w:pageBreakBefore w:val="0"/>
        <w:widowControl/>
        <w:kinsoku/>
        <w:wordWrap/>
        <w:overflowPunct/>
        <w:topLinePunct w:val="0"/>
        <w:autoSpaceDE w:val="0"/>
        <w:autoSpaceDN/>
        <w:bidi w:val="0"/>
        <w:adjustRightInd/>
        <w:snapToGrid/>
        <w:spacing w:line="56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079BCD7B">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2024年度本</w:t>
      </w:r>
      <w:r>
        <w:rPr>
          <w:rFonts w:hint="eastAsia" w:ascii="Times New Roman" w:hAnsi="Times New Roman" w:eastAsia="方正仿宋_GBK" w:cs="Times New Roman"/>
          <w:b w:val="0"/>
          <w:bCs w:val="0"/>
          <w:sz w:val="32"/>
          <w:szCs w:val="32"/>
          <w:shd w:val="clear" w:color="auto" w:fill="FFFFFF"/>
          <w:lang w:val="en-US" w:eastAsia="zh-CN" w:bidi="ar-SA"/>
        </w:rPr>
        <w:t>单位</w:t>
      </w:r>
      <w:r>
        <w:rPr>
          <w:rFonts w:hint="default" w:ascii="Times New Roman" w:hAnsi="Times New Roman" w:eastAsia="方正仿宋_GBK" w:cs="Times New Roman"/>
          <w:b w:val="0"/>
          <w:bCs w:val="0"/>
          <w:sz w:val="32"/>
          <w:szCs w:val="32"/>
          <w:shd w:val="clear" w:color="auto" w:fill="FFFFFF"/>
          <w:lang w:val="en-US" w:eastAsia="zh-CN" w:bidi="ar-SA"/>
        </w:rPr>
        <w:t>因公出国（境）费用0.00万元，主要</w:t>
      </w:r>
      <w:r>
        <w:rPr>
          <w:rFonts w:hint="eastAsia" w:ascii="Times New Roman" w:hAnsi="Times New Roman" w:eastAsia="方正仿宋_GBK" w:cs="Times New Roman"/>
          <w:b w:val="0"/>
          <w:bCs w:val="0"/>
          <w:sz w:val="32"/>
          <w:szCs w:val="32"/>
          <w:shd w:val="clear" w:color="auto" w:fill="FFFFFF"/>
          <w:lang w:val="en-US" w:eastAsia="zh-CN" w:bidi="ar-SA"/>
        </w:rPr>
        <w:t>原因是本单位本年度无因公出国（境）费用。</w:t>
      </w:r>
      <w:r>
        <w:rPr>
          <w:rFonts w:hint="default" w:ascii="Times New Roman" w:hAnsi="Times New Roman" w:eastAsia="方正仿宋_GBK" w:cs="Times New Roman"/>
          <w:b w:val="0"/>
          <w:bCs w:val="0"/>
          <w:sz w:val="32"/>
          <w:szCs w:val="32"/>
          <w:shd w:val="clear" w:color="auto" w:fill="FFFFFF"/>
          <w:lang w:val="en-US" w:eastAsia="zh-CN" w:bidi="ar-SA"/>
        </w:rPr>
        <w:t>费用支出较年初预算数无增减，主要原因是</w:t>
      </w:r>
      <w:r>
        <w:rPr>
          <w:rFonts w:hint="eastAsia" w:ascii="Times New Roman" w:hAnsi="Times New Roman" w:eastAsia="方正仿宋_GBK" w:cs="Times New Roman"/>
          <w:b w:val="0"/>
          <w:bCs w:val="0"/>
          <w:sz w:val="32"/>
          <w:szCs w:val="32"/>
          <w:shd w:val="clear" w:color="auto" w:fill="FFFFFF"/>
          <w:lang w:val="en-US" w:eastAsia="zh-CN" w:bidi="ar-SA"/>
        </w:rPr>
        <w:t>本单位本年度无因公出国（境）费用；</w:t>
      </w:r>
      <w:r>
        <w:rPr>
          <w:rFonts w:hint="default" w:ascii="Times New Roman" w:hAnsi="Times New Roman" w:eastAsia="方正仿宋_GBK" w:cs="Times New Roman"/>
          <w:b w:val="0"/>
          <w:bCs w:val="0"/>
          <w:sz w:val="32"/>
          <w:szCs w:val="32"/>
          <w:shd w:val="clear" w:color="auto" w:fill="FFFFFF"/>
          <w:lang w:val="en-US" w:eastAsia="zh-CN" w:bidi="ar-SA"/>
        </w:rPr>
        <w:t>较上年支出数无增减，主要原因</w:t>
      </w:r>
      <w:r>
        <w:rPr>
          <w:rFonts w:hint="eastAsia" w:ascii="Times New Roman" w:hAnsi="Times New Roman" w:eastAsia="方正仿宋_GBK" w:cs="Times New Roman"/>
          <w:b w:val="0"/>
          <w:bCs w:val="0"/>
          <w:sz w:val="32"/>
          <w:szCs w:val="32"/>
          <w:shd w:val="clear" w:color="auto" w:fill="FFFFFF"/>
          <w:lang w:val="en-US" w:eastAsia="zh-CN" w:bidi="ar-SA"/>
        </w:rPr>
        <w:t>也是本单位本年度无因公出国（境）费用。</w:t>
      </w:r>
    </w:p>
    <w:p w14:paraId="2CF0742B">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公务</w:t>
      </w:r>
      <w:r>
        <w:rPr>
          <w:rFonts w:hint="eastAsia" w:ascii="Times New Roman" w:hAnsi="Times New Roman" w:eastAsia="方正仿宋_GBK" w:cs="Times New Roman"/>
          <w:b w:val="0"/>
          <w:bCs w:val="0"/>
          <w:sz w:val="32"/>
          <w:szCs w:val="32"/>
          <w:shd w:val="clear" w:color="auto" w:fill="FFFFFF"/>
          <w:lang w:val="en-US" w:eastAsia="zh-CN" w:bidi="ar-SA"/>
        </w:rPr>
        <w:t>用</w:t>
      </w:r>
      <w:r>
        <w:rPr>
          <w:rFonts w:hint="default" w:ascii="Times New Roman" w:hAnsi="Times New Roman" w:eastAsia="方正仿宋_GBK" w:cs="Times New Roman"/>
          <w:b w:val="0"/>
          <w:bCs w:val="0"/>
          <w:sz w:val="32"/>
          <w:szCs w:val="32"/>
          <w:shd w:val="clear" w:color="auto" w:fill="FFFFFF"/>
          <w:lang w:val="en-US" w:eastAsia="zh-CN" w:bidi="ar-SA"/>
        </w:rPr>
        <w:t>车购置费0.00万元，主要</w:t>
      </w:r>
      <w:r>
        <w:rPr>
          <w:rFonts w:hint="eastAsia" w:ascii="Times New Roman" w:hAnsi="Times New Roman" w:eastAsia="方正仿宋_GBK" w:cs="Times New Roman"/>
          <w:b w:val="0"/>
          <w:bCs w:val="0"/>
          <w:sz w:val="32"/>
          <w:szCs w:val="32"/>
          <w:shd w:val="clear" w:color="auto" w:fill="FFFFFF"/>
          <w:lang w:val="en-US" w:eastAsia="zh-CN" w:bidi="ar-SA"/>
        </w:rPr>
        <w:t>原因是本单位本年度无公务用车购置费。</w:t>
      </w:r>
      <w:r>
        <w:rPr>
          <w:rFonts w:hint="default" w:ascii="Times New Roman" w:hAnsi="Times New Roman" w:eastAsia="方正仿宋_GBK" w:cs="Times New Roman"/>
          <w:b w:val="0"/>
          <w:bCs w:val="0"/>
          <w:sz w:val="32"/>
          <w:szCs w:val="32"/>
          <w:shd w:val="clear" w:color="auto" w:fill="FFFFFF"/>
          <w:lang w:val="en-US" w:eastAsia="zh-CN" w:bidi="ar-SA"/>
        </w:rPr>
        <w:t>费用支出较年初预算数无增减，主要原因是</w:t>
      </w:r>
      <w:r>
        <w:rPr>
          <w:rFonts w:hint="eastAsia" w:ascii="Times New Roman" w:hAnsi="Times New Roman" w:eastAsia="方正仿宋_GBK" w:cs="Times New Roman"/>
          <w:b w:val="0"/>
          <w:bCs w:val="0"/>
          <w:sz w:val="32"/>
          <w:szCs w:val="32"/>
          <w:shd w:val="clear" w:color="auto" w:fill="FFFFFF"/>
          <w:lang w:val="en-US" w:eastAsia="zh-CN" w:bidi="ar-SA"/>
        </w:rPr>
        <w:t>本单位本年度无公务用车购置费。</w:t>
      </w:r>
      <w:r>
        <w:rPr>
          <w:rFonts w:hint="default" w:ascii="Times New Roman" w:hAnsi="Times New Roman" w:eastAsia="方正仿宋_GBK" w:cs="Times New Roman"/>
          <w:b w:val="0"/>
          <w:bCs w:val="0"/>
          <w:sz w:val="32"/>
          <w:szCs w:val="32"/>
          <w:shd w:val="clear" w:color="auto" w:fill="FFFFFF"/>
          <w:lang w:val="en-US" w:eastAsia="zh-CN" w:bidi="ar-SA"/>
        </w:rPr>
        <w:t>较上年支出数减少9.54万元，下降100.0%，主要原因是</w:t>
      </w:r>
      <w:r>
        <w:rPr>
          <w:rFonts w:hint="eastAsia" w:ascii="Times New Roman" w:hAnsi="Times New Roman" w:eastAsia="方正仿宋_GBK" w:cs="Times New Roman"/>
          <w:b w:val="0"/>
          <w:bCs w:val="0"/>
          <w:sz w:val="32"/>
          <w:szCs w:val="32"/>
          <w:shd w:val="clear" w:color="auto" w:fill="FFFFFF"/>
          <w:lang w:val="en-US" w:eastAsia="zh-CN" w:bidi="ar-SA"/>
        </w:rPr>
        <w:t>本单位本年度无公务用车购置费。</w:t>
      </w:r>
    </w:p>
    <w:p w14:paraId="1C9FD2B5">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公务</w:t>
      </w:r>
      <w:r>
        <w:rPr>
          <w:rFonts w:hint="eastAsia" w:ascii="Times New Roman" w:hAnsi="Times New Roman" w:eastAsia="方正仿宋_GBK" w:cs="Times New Roman"/>
          <w:b w:val="0"/>
          <w:bCs w:val="0"/>
          <w:sz w:val="32"/>
          <w:szCs w:val="32"/>
          <w:shd w:val="clear" w:color="auto" w:fill="FFFFFF"/>
          <w:lang w:val="en-US" w:eastAsia="zh-CN" w:bidi="ar-SA"/>
        </w:rPr>
        <w:t>用</w:t>
      </w:r>
      <w:r>
        <w:rPr>
          <w:rFonts w:hint="default" w:ascii="Times New Roman" w:hAnsi="Times New Roman" w:eastAsia="方正仿宋_GBK" w:cs="Times New Roman"/>
          <w:b w:val="0"/>
          <w:bCs w:val="0"/>
          <w:sz w:val="32"/>
          <w:szCs w:val="32"/>
          <w:shd w:val="clear" w:color="auto" w:fill="FFFFFF"/>
          <w:lang w:val="en-US" w:eastAsia="zh-CN" w:bidi="ar-SA"/>
        </w:rPr>
        <w:t>车运行维护费29.70万元，主要用于</w:t>
      </w:r>
      <w:r>
        <w:rPr>
          <w:rFonts w:hint="eastAsia" w:ascii="Times New Roman" w:hAnsi="Times New Roman" w:eastAsia="方正仿宋_GBK" w:cs="Times New Roman"/>
          <w:b w:val="0"/>
          <w:bCs w:val="0"/>
          <w:sz w:val="32"/>
          <w:szCs w:val="32"/>
          <w:shd w:val="clear" w:color="auto" w:fill="FFFFFF"/>
          <w:lang w:val="en-US" w:eastAsia="zh-CN" w:bidi="ar-SA"/>
        </w:rPr>
        <w:t>执法</w:t>
      </w:r>
      <w:r>
        <w:rPr>
          <w:rFonts w:hint="eastAsia" w:ascii="Times New Roman" w:hAnsi="Times New Roman" w:eastAsia="方正仿宋_GBK" w:cs="Times New Roman"/>
          <w:b w:val="0"/>
          <w:bCs w:val="0"/>
          <w:sz w:val="32"/>
          <w:szCs w:val="32"/>
          <w:highlight w:val="none"/>
          <w:shd w:val="clear" w:color="auto" w:fill="FFFFFF"/>
          <w:lang w:val="en-US" w:eastAsia="zh-CN" w:bidi="ar-SA"/>
        </w:rPr>
        <w:t>车辆、特种专业技术车辆的维修、加油以及车辆日常其他开支等。</w:t>
      </w:r>
      <w:r>
        <w:rPr>
          <w:rFonts w:hint="default" w:ascii="Times New Roman" w:hAnsi="Times New Roman" w:eastAsia="方正仿宋_GBK" w:cs="Times New Roman"/>
          <w:b w:val="0"/>
          <w:bCs w:val="0"/>
          <w:sz w:val="32"/>
          <w:szCs w:val="32"/>
          <w:shd w:val="clear" w:color="auto" w:fill="FFFFFF"/>
          <w:lang w:val="en-US" w:eastAsia="zh-CN" w:bidi="ar-SA"/>
        </w:rPr>
        <w:t>费用支出较年初预算数减少2.70万元，下降8.3%，主要原因是</w:t>
      </w:r>
      <w:r>
        <w:rPr>
          <w:rFonts w:hint="eastAsia" w:ascii="Times New Roman" w:hAnsi="Times New Roman" w:eastAsia="方正仿宋_GBK" w:cs="Times New Roman"/>
          <w:b w:val="0"/>
          <w:bCs w:val="0"/>
          <w:sz w:val="32"/>
          <w:szCs w:val="32"/>
          <w:shd w:val="clear" w:color="auto" w:fill="FFFFFF"/>
          <w:lang w:val="en-US" w:eastAsia="zh-CN" w:bidi="ar-SA"/>
        </w:rPr>
        <w:t>本单位本年度财政年中追减了年初预算的2辆新能源汽车购置费用。</w:t>
      </w:r>
      <w:r>
        <w:rPr>
          <w:rFonts w:hint="default" w:ascii="Times New Roman" w:hAnsi="Times New Roman" w:eastAsia="方正仿宋_GBK" w:cs="Times New Roman"/>
          <w:b w:val="0"/>
          <w:bCs w:val="0"/>
          <w:sz w:val="32"/>
          <w:szCs w:val="32"/>
          <w:shd w:val="clear" w:color="auto" w:fill="FFFFFF"/>
          <w:lang w:val="en-US" w:eastAsia="zh-CN" w:bidi="ar-SA"/>
        </w:rPr>
        <w:t>较上年支出数减少6.14万元，下降17.1%，主要原因是</w:t>
      </w:r>
      <w:r>
        <w:rPr>
          <w:rFonts w:hint="eastAsia" w:ascii="Times New Roman" w:hAnsi="Times New Roman" w:eastAsia="方正仿宋_GBK" w:cs="Times New Roman"/>
          <w:b w:val="0"/>
          <w:bCs w:val="0"/>
          <w:sz w:val="32"/>
          <w:szCs w:val="32"/>
          <w:shd w:val="clear" w:color="auto" w:fill="FFFFFF"/>
          <w:lang w:val="en-US" w:eastAsia="zh-CN" w:bidi="ar-SA"/>
        </w:rPr>
        <w:t>从严审核、核减不需要的维修事项，严控车辆运维支出。</w:t>
      </w:r>
    </w:p>
    <w:p w14:paraId="62960F84">
      <w:pPr>
        <w:pStyle w:val="15"/>
        <w:keepNext w:val="0"/>
        <w:keepLines w:val="0"/>
        <w:pageBreakBefore w:val="0"/>
        <w:widowControl/>
        <w:kinsoku/>
        <w:wordWrap/>
        <w:overflowPunct/>
        <w:topLinePunct w:val="0"/>
        <w:autoSpaceDE w:val="0"/>
        <w:autoSpaceDN/>
        <w:bidi w:val="0"/>
        <w:adjustRightInd/>
        <w:snapToGrid/>
        <w:spacing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公务接待费0.79万元，主要用于接待</w:t>
      </w:r>
      <w:r>
        <w:rPr>
          <w:rFonts w:hint="eastAsia" w:ascii="Times New Roman" w:hAnsi="Times New Roman" w:eastAsia="方正仿宋_GBK" w:cs="Times New Roman"/>
          <w:b w:val="0"/>
          <w:bCs w:val="0"/>
          <w:sz w:val="32"/>
          <w:szCs w:val="32"/>
          <w:shd w:val="clear" w:color="auto" w:fill="FFFFFF"/>
          <w:lang w:val="en-US" w:eastAsia="zh-CN" w:bidi="ar-SA"/>
        </w:rPr>
        <w:t>开展春运及全国两会期间水上交通执法交叉检查、开展运输船舶无证经营和港口码头非法经营专项检查工作、学习提升执法质量和效能先进经验。</w:t>
      </w:r>
      <w:r>
        <w:rPr>
          <w:rFonts w:hint="default" w:ascii="Times New Roman" w:hAnsi="Times New Roman" w:eastAsia="方正仿宋_GBK" w:cs="Times New Roman"/>
          <w:b w:val="0"/>
          <w:bCs w:val="0"/>
          <w:sz w:val="32"/>
          <w:szCs w:val="32"/>
          <w:shd w:val="clear" w:color="auto" w:fill="FFFFFF"/>
          <w:lang w:val="en-US" w:eastAsia="zh-CN" w:bidi="ar-SA"/>
        </w:rPr>
        <w:t>费用支出较年初预算数减少0.21万元，下降21.0%，主要原因是</w:t>
      </w:r>
      <w:r>
        <w:rPr>
          <w:rFonts w:hint="eastAsia" w:ascii="Times New Roman" w:hAnsi="Times New Roman" w:eastAsia="方正仿宋_GBK" w:cs="Times New Roman"/>
          <w:b w:val="0"/>
          <w:bCs w:val="0"/>
          <w:sz w:val="32"/>
          <w:szCs w:val="32"/>
          <w:shd w:val="clear" w:color="auto" w:fill="FFFFFF"/>
          <w:lang w:val="en-US" w:eastAsia="zh-CN" w:bidi="ar-SA"/>
        </w:rPr>
        <w:t>明确要求压缩公务接待开支，严控预算管理。</w:t>
      </w:r>
      <w:r>
        <w:rPr>
          <w:rFonts w:hint="default" w:ascii="Times New Roman" w:hAnsi="Times New Roman" w:eastAsia="方正仿宋_GBK" w:cs="Times New Roman"/>
          <w:b w:val="0"/>
          <w:bCs w:val="0"/>
          <w:sz w:val="32"/>
          <w:szCs w:val="32"/>
          <w:shd w:val="clear" w:color="auto" w:fill="FFFFFF"/>
          <w:lang w:val="en-US" w:eastAsia="zh-CN" w:bidi="ar-SA"/>
        </w:rPr>
        <w:t>较上年支出数增加0.47万元，增长146.9%，主要原因是</w:t>
      </w:r>
      <w:r>
        <w:rPr>
          <w:rFonts w:hint="eastAsia" w:ascii="Times New Roman" w:hAnsi="Times New Roman" w:eastAsia="方正仿宋_GBK" w:cs="Times New Roman"/>
          <w:b w:val="0"/>
          <w:bCs w:val="0"/>
          <w:sz w:val="32"/>
          <w:szCs w:val="32"/>
          <w:shd w:val="clear" w:color="auto" w:fill="FFFFFF"/>
          <w:lang w:val="en-US" w:eastAsia="zh-CN" w:bidi="ar-SA"/>
        </w:rPr>
        <w:t>2023底因故有笔接待费未能及时支付，计划延续到2024年支付，从而导致比上年支出增加0.47万元。</w:t>
      </w:r>
    </w:p>
    <w:p w14:paraId="3D387151">
      <w:pPr>
        <w:pStyle w:val="15"/>
        <w:keepNext w:val="0"/>
        <w:keepLines w:val="0"/>
        <w:pageBreakBefore w:val="0"/>
        <w:widowControl/>
        <w:kinsoku/>
        <w:wordWrap/>
        <w:overflowPunct/>
        <w:topLinePunct w:val="0"/>
        <w:autoSpaceDE w:val="0"/>
        <w:autoSpaceDN/>
        <w:bidi w:val="0"/>
        <w:adjustRightInd/>
        <w:snapToGrid/>
        <w:spacing w:line="60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430B6930">
      <w:pPr>
        <w:pStyle w:val="10"/>
        <w:keepNext w:val="0"/>
        <w:keepLines w:val="0"/>
        <w:pageBreakBefore w:val="0"/>
        <w:kinsoku/>
        <w:overflowPunct/>
        <w:topLinePunct w:val="0"/>
        <w:bidi w:val="0"/>
        <w:snapToGrid w:val="0"/>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2024年度本</w:t>
      </w:r>
      <w:r>
        <w:rPr>
          <w:rFonts w:hint="eastAsia" w:ascii="Times New Roman" w:hAnsi="Times New Roman" w:eastAsia="方正仿宋_GBK" w:cs="Times New Roman"/>
          <w:b w:val="0"/>
          <w:bCs w:val="0"/>
          <w:sz w:val="32"/>
          <w:szCs w:val="32"/>
          <w:shd w:val="clear" w:color="auto" w:fill="FFFFFF"/>
          <w:lang w:val="en-US" w:eastAsia="zh-CN" w:bidi="ar-SA"/>
        </w:rPr>
        <w:t>单位</w:t>
      </w:r>
      <w:r>
        <w:rPr>
          <w:rFonts w:hint="default" w:ascii="Times New Roman" w:hAnsi="Times New Roman" w:eastAsia="方正仿宋_GBK" w:cs="Times New Roman"/>
          <w:b w:val="0"/>
          <w:bCs w:val="0"/>
          <w:sz w:val="32"/>
          <w:szCs w:val="32"/>
          <w:shd w:val="clear" w:color="auto" w:fill="FFFFFF"/>
          <w:lang w:val="en-US" w:eastAsia="zh-CN" w:bidi="ar-SA"/>
        </w:rPr>
        <w:t>因公出国（境）共计0个团组，0人；公务用车购置0辆，公务车保有量为12辆；国内公务接待5批次42人，其中：国内外事接待0批次，0人；国（境）外公务接待0批次，0人。2024年本</w:t>
      </w:r>
      <w:r>
        <w:rPr>
          <w:rFonts w:hint="eastAsia" w:ascii="Times New Roman" w:hAnsi="Times New Roman" w:eastAsia="方正仿宋_GBK" w:cs="Times New Roman"/>
          <w:b w:val="0"/>
          <w:bCs w:val="0"/>
          <w:sz w:val="32"/>
          <w:szCs w:val="32"/>
          <w:shd w:val="clear" w:color="auto" w:fill="FFFFFF"/>
          <w:lang w:val="en-US" w:eastAsia="zh-CN" w:bidi="ar-SA"/>
        </w:rPr>
        <w:t>单位</w:t>
      </w:r>
      <w:r>
        <w:rPr>
          <w:rFonts w:hint="default" w:ascii="Times New Roman" w:hAnsi="Times New Roman" w:eastAsia="方正仿宋_GBK" w:cs="Times New Roman"/>
          <w:b w:val="0"/>
          <w:bCs w:val="0"/>
          <w:sz w:val="32"/>
          <w:szCs w:val="32"/>
          <w:shd w:val="clear" w:color="auto" w:fill="FFFFFF"/>
          <w:lang w:val="en-US" w:eastAsia="zh-CN" w:bidi="ar-SA"/>
        </w:rPr>
        <w:t>人均接待费187.05元，车均购置费0万元，车均维护费2.48万元。</w:t>
      </w:r>
    </w:p>
    <w:p w14:paraId="5978A91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textAlignment w:val="auto"/>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四、其他需要说明的事项</w:t>
      </w:r>
    </w:p>
    <w:p w14:paraId="3FD3852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14:paraId="66312C71">
      <w:pPr>
        <w:pStyle w:val="15"/>
        <w:keepNext w:val="0"/>
        <w:keepLines w:val="0"/>
        <w:pageBreakBefore w:val="0"/>
        <w:widowControl/>
        <w:kinsoku/>
        <w:wordWrap/>
        <w:overflowPunct/>
        <w:topLinePunct w:val="0"/>
        <w:autoSpaceDE w:val="0"/>
        <w:autoSpaceDN/>
        <w:bidi w:val="0"/>
        <w:adjustRightInd/>
        <w:snapToGrid/>
        <w:spacing w:line="56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本年度会议费支出0.19万元，与2023年度相比，增加0.18万元，增长1800.0%，主要原因是</w:t>
      </w:r>
      <w:r>
        <w:rPr>
          <w:rFonts w:hint="eastAsia" w:ascii="Times New Roman" w:hAnsi="Times New Roman" w:eastAsia="方正仿宋_GBK" w:cs="Times New Roman"/>
          <w:b w:val="0"/>
          <w:bCs w:val="0"/>
          <w:sz w:val="32"/>
          <w:szCs w:val="32"/>
          <w:shd w:val="clear" w:color="auto" w:fill="FFFFFF"/>
          <w:lang w:val="en-US" w:eastAsia="zh-CN" w:bidi="ar-SA"/>
        </w:rPr>
        <w:t>本年度本单位开展了退休支部党员大会，退伍军人座谈会。</w:t>
      </w:r>
      <w:r>
        <w:rPr>
          <w:rFonts w:hint="default" w:ascii="Times New Roman" w:hAnsi="Times New Roman" w:eastAsia="方正仿宋_GBK" w:cs="Times New Roman"/>
          <w:b w:val="0"/>
          <w:bCs w:val="0"/>
          <w:sz w:val="32"/>
          <w:szCs w:val="32"/>
          <w:shd w:val="clear" w:color="auto" w:fill="FFFFFF"/>
          <w:lang w:val="en-US" w:eastAsia="zh-CN" w:bidi="ar-SA"/>
        </w:rPr>
        <w:t>本年度培训费支出1.10万元，与2023年度相比，无增减，主要原因是</w:t>
      </w:r>
      <w:r>
        <w:rPr>
          <w:rFonts w:hint="eastAsia" w:ascii="Times New Roman" w:hAnsi="Times New Roman" w:eastAsia="方正仿宋_GBK" w:cs="Times New Roman"/>
          <w:b w:val="0"/>
          <w:bCs w:val="0"/>
          <w:sz w:val="32"/>
          <w:szCs w:val="32"/>
          <w:shd w:val="clear" w:color="auto" w:fill="FFFFFF"/>
          <w:lang w:val="en-US" w:eastAsia="zh-CN" w:bidi="ar-SA"/>
        </w:rPr>
        <w:t>严控培训预算，杜绝不必要的培训开支，确保每一笔钱都花在刀刃上。</w:t>
      </w:r>
      <w:r>
        <w:rPr>
          <w:rFonts w:hint="default" w:ascii="Times New Roman" w:hAnsi="Times New Roman" w:eastAsia="方正仿宋_GBK" w:cs="Times New Roman"/>
          <w:b w:val="0"/>
          <w:bCs w:val="0"/>
          <w:sz w:val="32"/>
          <w:szCs w:val="32"/>
          <w:shd w:val="clear" w:color="auto" w:fill="FFFFFF"/>
          <w:lang w:val="en-US" w:eastAsia="zh-CN" w:bidi="ar-SA"/>
        </w:rPr>
        <w:t>本年度差旅费支出69.53万元，与2023年度相比，增加10.63万元，增长18.1%，主要原因是</w:t>
      </w:r>
      <w:r>
        <w:rPr>
          <w:rFonts w:hint="eastAsia" w:ascii="Times New Roman" w:hAnsi="Times New Roman" w:eastAsia="方正仿宋_GBK" w:cs="Times New Roman"/>
          <w:b w:val="0"/>
          <w:bCs w:val="0"/>
          <w:sz w:val="32"/>
          <w:szCs w:val="32"/>
          <w:shd w:val="clear" w:color="auto" w:fill="FFFFFF"/>
          <w:lang w:val="en-US" w:eastAsia="zh-CN" w:bidi="ar-SA"/>
        </w:rPr>
        <w:t>本单位本年度有2023年底未及时支付的差旅费。</w:t>
      </w:r>
    </w:p>
    <w:p w14:paraId="33CE2BD0">
      <w:pPr>
        <w:pStyle w:val="15"/>
        <w:keepNext w:val="0"/>
        <w:keepLines w:val="0"/>
        <w:pageBreakBefore w:val="0"/>
        <w:widowControl/>
        <w:kinsoku/>
        <w:wordWrap/>
        <w:overflowPunct/>
        <w:topLinePunct w:val="0"/>
        <w:autoSpaceDE w:val="0"/>
        <w:autoSpaceDN/>
        <w:bidi w:val="0"/>
        <w:adjustRightInd/>
        <w:snapToGrid/>
        <w:spacing w:line="56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336AD959">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right="0" w:rightChars="0"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eastAsia" w:ascii="Times New Roman" w:hAnsi="Times New Roman" w:eastAsia="方正仿宋_GBK"/>
          <w:sz w:val="32"/>
          <w:szCs w:val="32"/>
          <w:shd w:val="clear" w:color="auto" w:fill="FFFFFF"/>
          <w:lang w:eastAsia="zh-CN"/>
        </w:rPr>
        <w:t>按照部门决算列报口径，我单位不在机关运行经费统计范围之内。</w:t>
      </w:r>
    </w:p>
    <w:p w14:paraId="1F28EC91">
      <w:pPr>
        <w:pStyle w:val="15"/>
        <w:keepNext w:val="0"/>
        <w:keepLines w:val="0"/>
        <w:pageBreakBefore w:val="0"/>
        <w:widowControl/>
        <w:kinsoku/>
        <w:wordWrap/>
        <w:overflowPunct/>
        <w:topLinePunct w:val="0"/>
        <w:autoSpaceDE w:val="0"/>
        <w:autoSpaceDN/>
        <w:bidi w:val="0"/>
        <w:adjustRightInd/>
        <w:snapToGrid/>
        <w:spacing w:line="56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2EEECDFB">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截至2024年12月31日，本</w:t>
      </w:r>
      <w:r>
        <w:rPr>
          <w:rFonts w:hint="eastAsia" w:ascii="Times New Roman" w:hAnsi="Times New Roman" w:eastAsia="方正仿宋_GBK" w:cs="Times New Roman"/>
          <w:b w:val="0"/>
          <w:bCs w:val="0"/>
          <w:sz w:val="32"/>
          <w:szCs w:val="32"/>
          <w:shd w:val="clear" w:color="auto" w:fill="FFFFFF"/>
          <w:lang w:val="en-US" w:eastAsia="zh-CN" w:bidi="ar-SA"/>
        </w:rPr>
        <w:t>单位</w:t>
      </w:r>
      <w:r>
        <w:rPr>
          <w:rFonts w:hint="default" w:ascii="Times New Roman" w:hAnsi="Times New Roman" w:eastAsia="方正仿宋_GBK" w:cs="Times New Roman"/>
          <w:b w:val="0"/>
          <w:bCs w:val="0"/>
          <w:sz w:val="32"/>
          <w:szCs w:val="32"/>
          <w:shd w:val="clear" w:color="auto" w:fill="FFFFFF"/>
          <w:lang w:val="en-US" w:eastAsia="zh-CN" w:bidi="ar-SA"/>
        </w:rPr>
        <w:t>共有车辆12辆，其中，副部（省）级及以上领导用车0辆、主要</w:t>
      </w:r>
      <w:r>
        <w:rPr>
          <w:rFonts w:hint="eastAsia" w:ascii="Times New Roman" w:hAnsi="Times New Roman" w:eastAsia="方正仿宋_GBK" w:cs="Times New Roman"/>
          <w:b w:val="0"/>
          <w:bCs w:val="0"/>
          <w:sz w:val="32"/>
          <w:szCs w:val="32"/>
          <w:shd w:val="clear" w:color="auto" w:fill="FFFFFF"/>
          <w:lang w:val="en-US" w:eastAsia="zh-CN" w:bidi="ar-SA"/>
        </w:rPr>
        <w:t>领导干部</w:t>
      </w:r>
      <w:r>
        <w:rPr>
          <w:rFonts w:hint="default" w:ascii="Times New Roman" w:hAnsi="Times New Roman" w:eastAsia="方正仿宋_GBK" w:cs="Times New Roman"/>
          <w:b w:val="0"/>
          <w:bCs w:val="0"/>
          <w:sz w:val="32"/>
          <w:szCs w:val="32"/>
          <w:shd w:val="clear" w:color="auto" w:fill="FFFFFF"/>
          <w:lang w:val="en-US" w:eastAsia="zh-CN" w:bidi="ar-SA"/>
        </w:rPr>
        <w:t>用车0辆、机要通信用车0辆、应急保障用车0辆、执法执勤用车0辆，特种专业技术用车12辆，离退休干部用车0辆。单价100万元（含）以上</w:t>
      </w:r>
      <w:r>
        <w:rPr>
          <w:rFonts w:hint="default" w:ascii="Times New Roman" w:hAnsi="Times New Roman" w:eastAsia="方正仿宋_GBK" w:cs="Times New Roman"/>
          <w:b w:val="0"/>
          <w:bCs w:val="0"/>
          <w:sz w:val="32"/>
          <w:szCs w:val="32"/>
          <w:highlight w:val="none"/>
          <w:shd w:val="clear" w:color="auto" w:fill="FFFFFF"/>
          <w:lang w:val="en-US" w:eastAsia="zh-CN" w:bidi="ar-SA"/>
        </w:rPr>
        <w:t>设备</w:t>
      </w:r>
      <w:r>
        <w:rPr>
          <w:rFonts w:hint="default" w:ascii="Times New Roman" w:hAnsi="Times New Roman" w:eastAsia="方正仿宋_GBK" w:cs="Times New Roman"/>
          <w:b w:val="0"/>
          <w:bCs w:val="0"/>
          <w:color w:val="000000" w:themeColor="text1"/>
          <w:sz w:val="32"/>
          <w:szCs w:val="32"/>
          <w:highlight w:val="none"/>
          <w:shd w:val="clear" w:color="auto" w:fill="FFFFFF"/>
          <w:lang w:val="en-US" w:eastAsia="zh-CN" w:bidi="ar-SA"/>
          <w14:textFill>
            <w14:solidFill>
              <w14:schemeClr w14:val="tx1"/>
            </w14:solidFill>
          </w14:textFill>
        </w:rPr>
        <w:t>（不含车辆）</w:t>
      </w:r>
      <w:r>
        <w:rPr>
          <w:rFonts w:hint="default" w:ascii="Times New Roman" w:hAnsi="Times New Roman" w:eastAsia="方正仿宋_GBK" w:cs="Times New Roman"/>
          <w:b w:val="0"/>
          <w:bCs w:val="0"/>
          <w:sz w:val="32"/>
          <w:szCs w:val="32"/>
          <w:highlight w:val="none"/>
          <w:shd w:val="clear" w:color="auto" w:fill="FFFFFF"/>
          <w:lang w:val="en-US" w:eastAsia="zh-CN" w:bidi="ar-SA"/>
        </w:rPr>
        <w:t>2台（套）。</w:t>
      </w:r>
    </w:p>
    <w:p w14:paraId="3227C8CC">
      <w:pPr>
        <w:pStyle w:val="15"/>
        <w:keepNext w:val="0"/>
        <w:keepLines w:val="0"/>
        <w:pageBreakBefore w:val="0"/>
        <w:widowControl/>
        <w:numPr>
          <w:ilvl w:val="0"/>
          <w:numId w:val="2"/>
        </w:numPr>
        <w:kinsoku/>
        <w:wordWrap/>
        <w:overflowPunct/>
        <w:topLinePunct w:val="0"/>
        <w:autoSpaceDE w:val="0"/>
        <w:autoSpaceDN/>
        <w:bidi w:val="0"/>
        <w:adjustRightInd/>
        <w:snapToGrid/>
        <w:spacing w:line="560" w:lineRule="exact"/>
        <w:ind w:left="0" w:right="0" w:righ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政府采购支出情况说明</w:t>
      </w:r>
    </w:p>
    <w:p w14:paraId="70166672">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rightChars="0" w:firstLine="640" w:firstLineChars="200"/>
        <w:textAlignment w:val="auto"/>
        <w:rPr>
          <w:rStyle w:val="14"/>
          <w:rFonts w:hint="eastAsia" w:ascii="方正黑体_GBK" w:hAnsi="方正黑体_GBK" w:eastAsia="方正黑体_GBK" w:cs="方正黑体_GBK"/>
          <w:b w:val="0"/>
          <w:bCs/>
          <w:sz w:val="32"/>
          <w:szCs w:val="32"/>
          <w:shd w:val="clear" w:color="auto" w:fill="FFFFFF"/>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单位未发生政府采购事项，无相关经费支出。</w:t>
      </w:r>
      <w:r>
        <w:rPr>
          <w:rStyle w:val="14"/>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14:paraId="7754687F">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（一）单位自评情况</w:t>
      </w:r>
    </w:p>
    <w:p w14:paraId="53F4F3A6">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left"/>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根据预算绩效管理要求，我单位对10个二级项目开展了绩效自评，涉及财政拨款项目支出资金925.16万元。</w:t>
      </w:r>
    </w:p>
    <w:p w14:paraId="2F8AB01A">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left"/>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“2024年度项目支出绩效评价自评情况表见附件”</w:t>
      </w:r>
    </w:p>
    <w:p w14:paraId="2E20CD7C">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w:t>
      </w:r>
      <w:r>
        <w:rPr>
          <w:rFonts w:hint="eastAsia" w:ascii="方正楷体_GBK" w:hAnsi="方正楷体_GBK" w:eastAsia="方正楷体_GBK" w:cs="方正楷体_GBK"/>
          <w:b w:val="0"/>
          <w:bCs w:val="0"/>
          <w:kern w:val="0"/>
          <w:sz w:val="32"/>
          <w:szCs w:val="32"/>
          <w:shd w:val="clear" w:fill="FFFFFF"/>
          <w:lang w:eastAsia="zh-CN"/>
        </w:rPr>
        <w:t>单位</w:t>
      </w:r>
      <w:r>
        <w:rPr>
          <w:rFonts w:hint="eastAsia" w:ascii="方正楷体_GBK" w:hAnsi="方正楷体_GBK" w:eastAsia="方正楷体_GBK" w:cs="方正楷体_GBK"/>
          <w:b w:val="0"/>
          <w:bCs w:val="0"/>
          <w:kern w:val="0"/>
          <w:sz w:val="32"/>
          <w:szCs w:val="32"/>
          <w:shd w:val="clear" w:fill="FFFFFF"/>
        </w:rPr>
        <w:t>绩效评价情况</w:t>
      </w:r>
    </w:p>
    <w:p w14:paraId="2DF8A9CF">
      <w:pPr>
        <w:keepNext w:val="0"/>
        <w:keepLines w:val="0"/>
        <w:pageBreakBefore w:val="0"/>
        <w:widowControl/>
        <w:kinsoku/>
        <w:wordWrap/>
        <w:overflowPunct/>
        <w:topLinePunct w:val="0"/>
        <w:autoSpaceDN w:val="0"/>
        <w:bidi w:val="0"/>
        <w:adjustRightInd w:val="0"/>
        <w:spacing w:line="600" w:lineRule="exact"/>
        <w:ind w:left="0" w:right="0" w:rightChars="0" w:firstLine="640" w:firstLineChars="200"/>
        <w:textAlignment w:val="auto"/>
        <w:rPr>
          <w:rFonts w:hint="eastAsia" w:ascii="Times New Roman" w:hAnsi="Times New Roman" w:eastAsia="方正仿宋_GBK" w:cs="Times New Roman"/>
          <w:b w:val="0"/>
          <w:bCs w:val="0"/>
          <w:color w:val="000000" w:themeColor="text1"/>
          <w:sz w:val="32"/>
          <w:szCs w:val="32"/>
          <w:highlight w:val="none"/>
          <w:shd w:val="clear" w:color="auto" w:fill="FFFFFF"/>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shd w:val="clear" w:color="auto" w:fill="FFFFFF"/>
          <w:lang w:val="en-US" w:eastAsia="zh-CN" w:bidi="ar-SA"/>
          <w14:textFill>
            <w14:solidFill>
              <w14:schemeClr w14:val="tx1"/>
            </w14:solidFill>
          </w14:textFill>
        </w:rPr>
        <w:t>我单位未组织开展绩效评价</w:t>
      </w:r>
    </w:p>
    <w:p w14:paraId="323FEEDE">
      <w:pPr>
        <w:keepNext w:val="0"/>
        <w:keepLines w:val="0"/>
        <w:pageBreakBefore w:val="0"/>
        <w:kinsoku/>
        <w:overflowPunct/>
        <w:topLinePunct w:val="0"/>
        <w:autoSpaceDN w:val="0"/>
        <w:bidi w:val="0"/>
        <w:adjustRightInd w:val="0"/>
        <w:spacing w:line="600" w:lineRule="exact"/>
        <w:ind w:left="0" w:right="0" w:rightChars="0" w:firstLine="640" w:firstLineChars="200"/>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lang w:val="en-US" w:eastAsia="zh-CN" w:bidi="ar"/>
        </w:rPr>
        <w:t>（三）财政绩效评价情况</w:t>
      </w:r>
    </w:p>
    <w:p w14:paraId="2AED2E6C">
      <w:pPr>
        <w:pStyle w:val="20"/>
        <w:keepNext w:val="0"/>
        <w:keepLines w:val="0"/>
        <w:pageBreakBefore w:val="0"/>
        <w:widowControl/>
        <w:kinsoku/>
        <w:wordWrap/>
        <w:overflowPunct/>
        <w:topLinePunct w:val="0"/>
        <w:autoSpaceDE w:val="0"/>
        <w:autoSpaceDN/>
        <w:bidi w:val="0"/>
        <w:adjustRightInd/>
        <w:snapToGrid/>
        <w:spacing w:after="0" w:afterAutospacing="0" w:line="600" w:lineRule="exact"/>
        <w:ind w:left="0" w:right="0" w:rightChars="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eastAsia="zh-CN"/>
        </w:rPr>
        <w:t>县</w:t>
      </w:r>
      <w:r>
        <w:rPr>
          <w:rFonts w:hint="eastAsia" w:ascii="方正仿宋_GBK" w:hAnsi="方正仿宋_GBK" w:eastAsia="方正仿宋_GBK" w:cs="方正仿宋_GBK"/>
          <w:kern w:val="0"/>
          <w:sz w:val="32"/>
          <w:szCs w:val="32"/>
          <w:shd w:val="clear" w:fill="FFFFFF"/>
        </w:rPr>
        <w:t>财政局</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委托第三方对我</w:t>
      </w:r>
      <w:r>
        <w:rPr>
          <w:rFonts w:hint="eastAsia" w:ascii="方正仿宋_GBK" w:hAnsi="方正仿宋_GBK" w:eastAsia="方正仿宋_GBK" w:cs="方正仿宋_GBK"/>
          <w:kern w:val="0"/>
          <w:sz w:val="32"/>
          <w:szCs w:val="32"/>
          <w:shd w:val="clear" w:fill="FFFFFF"/>
          <w:lang w:eastAsia="zh-CN"/>
        </w:rPr>
        <w:t>单位开展绩效评价。</w:t>
      </w:r>
    </w:p>
    <w:p w14:paraId="76854DCE">
      <w:pPr>
        <w:pStyle w:val="20"/>
        <w:keepNext w:val="0"/>
        <w:keepLines w:val="0"/>
        <w:pageBreakBefore w:val="0"/>
        <w:widowControl/>
        <w:kinsoku/>
        <w:wordWrap/>
        <w:overflowPunct/>
        <w:topLinePunct w:val="0"/>
        <w:autoSpaceDE w:val="0"/>
        <w:autoSpaceDN/>
        <w:bidi w:val="0"/>
        <w:adjustRightInd/>
        <w:snapToGrid/>
        <w:spacing w:after="0" w:afterAutospacing="0" w:line="600" w:lineRule="exact"/>
        <w:ind w:left="0" w:right="0" w:rightChars="0" w:firstLine="640" w:firstLineChars="200"/>
        <w:textAlignment w:val="auto"/>
        <w:rPr>
          <w:rFonts w:hint="eastAsia" w:ascii="方正黑体_GBK" w:hAnsi="方正黑体_GBK" w:eastAsia="方正黑体_GBK" w:cs="方正黑体_GBK"/>
          <w:b w:val="0"/>
          <w:bCs/>
          <w:kern w:val="0"/>
          <w:sz w:val="32"/>
          <w:szCs w:val="32"/>
        </w:rPr>
      </w:pPr>
      <w:r>
        <w:rPr>
          <w:rStyle w:val="14"/>
          <w:rFonts w:hint="eastAsia" w:ascii="方正黑体_GBK" w:hAnsi="方正黑体_GBK" w:eastAsia="方正黑体_GBK" w:cs="方正黑体_GBK"/>
          <w:b w:val="0"/>
          <w:bCs/>
          <w:sz w:val="32"/>
          <w:szCs w:val="32"/>
          <w:shd w:val="clear" w:color="auto" w:fill="FFFFFF"/>
          <w:lang w:val="en-US" w:eastAsia="zh-CN" w:bidi="ar-SA"/>
        </w:rPr>
        <w:t>六、专业名词解释</w:t>
      </w:r>
    </w:p>
    <w:p w14:paraId="0B50E896">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Times New Roman" w:hAnsi="Times New Roman" w:eastAsia="方正仿宋_GBK" w:cs="Times New Roman"/>
          <w:b w:val="0"/>
          <w:bCs w:val="0"/>
          <w:sz w:val="32"/>
          <w:szCs w:val="32"/>
          <w:shd w:val="clear" w:color="auto" w:fill="FFFFFF"/>
          <w:lang w:val="en-US" w:eastAsia="zh-CN" w:bidi="ar-SA"/>
        </w:rPr>
        <w:t>指本年度从本级财政部门取得的财政拨款，包括一般公共预算财政拨款和政府性基金预算财政拨款。</w:t>
      </w:r>
    </w:p>
    <w:p w14:paraId="08EFF1D2">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Times New Roman" w:hAnsi="Times New Roman" w:eastAsia="方正仿宋_GBK" w:cs="Times New Roman"/>
          <w:b w:val="0"/>
          <w:bCs w:val="0"/>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14:paraId="4EE47A97">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Times New Roman" w:hAnsi="Times New Roman" w:eastAsia="方正仿宋_GBK" w:cs="Times New Roman"/>
          <w:b w:val="0"/>
          <w:bCs w:val="0"/>
          <w:sz w:val="32"/>
          <w:szCs w:val="32"/>
          <w:shd w:val="clear" w:color="auto" w:fill="FFFFFF"/>
          <w:lang w:val="en-US" w:eastAsia="zh-CN" w:bidi="ar-SA"/>
        </w:rPr>
        <w:t>指事业单位在专业业务活动及其辅助活动之外开展非独立核算经营活动取得的现金流入。</w:t>
      </w:r>
    </w:p>
    <w:p w14:paraId="247106BC">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Times New Roman" w:hAnsi="Times New Roman" w:eastAsia="方正仿宋_GBK" w:cs="Times New Roman"/>
          <w:b w:val="0"/>
          <w:bCs w:val="0"/>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43F293">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Times New Roman" w:hAnsi="Times New Roman" w:eastAsia="方正仿宋_GBK" w:cs="Times New Roman"/>
          <w:b w:val="0"/>
          <w:bCs w:val="0"/>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3D2EBA83">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Times New Roman" w:hAnsi="Times New Roman" w:eastAsia="方正仿宋_GBK" w:cs="Times New Roman"/>
          <w:b w:val="0"/>
          <w:bCs w:val="0"/>
          <w:sz w:val="32"/>
          <w:szCs w:val="32"/>
          <w:shd w:val="clear" w:color="auto" w:fill="FFFFFF"/>
          <w:lang w:val="en-US" w:eastAsia="zh-CN" w:bidi="ar-SA"/>
        </w:rPr>
        <w:t>指单位上年结转本年使用的基本支出结转、项目支出结转和结余、经营结余。</w:t>
      </w:r>
    </w:p>
    <w:p w14:paraId="4DA890FC">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Times New Roman" w:hAnsi="Times New Roman" w:eastAsia="方正仿宋_GBK" w:cs="Times New Roman"/>
          <w:b w:val="0"/>
          <w:bCs w:val="0"/>
          <w:sz w:val="32"/>
          <w:szCs w:val="32"/>
          <w:shd w:val="clear" w:color="auto" w:fill="FFFFFF"/>
          <w:lang w:val="en-US" w:eastAsia="zh-CN" w:bidi="ar-SA"/>
        </w:rPr>
        <w:t>指单位按照国家有关规定，缴纳所得税、提取专用基金、转入非财政拨款结余等当年结余的分配情况。</w:t>
      </w:r>
    </w:p>
    <w:p w14:paraId="5322E316">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Times New Roman" w:hAnsi="Times New Roman" w:eastAsia="方正仿宋_GBK" w:cs="Times New Roman"/>
          <w:b w:val="0"/>
          <w:bCs w:val="0"/>
          <w:sz w:val="32"/>
          <w:szCs w:val="32"/>
          <w:shd w:val="clear" w:color="auto" w:fill="FFFFFF"/>
          <w:lang w:val="en-US" w:eastAsia="zh-CN" w:bidi="ar-SA"/>
        </w:rPr>
        <w:t>指单位结转下年的基本支出结转、项目支出结转和结余、经营结余。</w:t>
      </w:r>
    </w:p>
    <w:p w14:paraId="1B23069E">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Times New Roman" w:hAnsi="Times New Roman" w:eastAsia="方正仿宋_GBK" w:cs="Times New Roman"/>
          <w:b w:val="0"/>
          <w:bCs w:val="0"/>
          <w:sz w:val="32"/>
          <w:szCs w:val="32"/>
          <w:shd w:val="clear" w:color="auto"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C9337AD">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Times New Roman" w:hAnsi="Times New Roman" w:eastAsia="方正仿宋_GBK" w:cs="Times New Roman"/>
          <w:b w:val="0"/>
          <w:bCs w:val="0"/>
          <w:sz w:val="32"/>
          <w:szCs w:val="32"/>
          <w:shd w:val="clear" w:color="auto" w:fill="FFFFFF"/>
          <w:lang w:val="en-US" w:eastAsia="zh-CN" w:bidi="ar-SA"/>
        </w:rPr>
        <w:t>指在基本支出之外为完成特定行政任务和事业发展目标所发生的支出。</w:t>
      </w:r>
    </w:p>
    <w:p w14:paraId="59BDEBBC">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Times New Roman" w:hAnsi="Times New Roman" w:eastAsia="方正仿宋_GBK" w:cs="Times New Roman"/>
          <w:b w:val="0"/>
          <w:bCs w:val="0"/>
          <w:sz w:val="32"/>
          <w:szCs w:val="32"/>
          <w:shd w:val="clear" w:color="auto" w:fill="FFFFFF"/>
          <w:lang w:val="en-US" w:eastAsia="zh-CN" w:bidi="ar-SA"/>
        </w:rPr>
        <w:t>指事业单位在专业业务活动及其辅助活动之外开展非独立核算经营活动发生的支出。</w:t>
      </w:r>
    </w:p>
    <w:p w14:paraId="638D1A8C">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Times New Roman" w:hAnsi="Times New Roman" w:eastAsia="方正仿宋_GBK" w:cs="Times New Roman"/>
          <w:b w:val="0"/>
          <w:bCs w:val="0"/>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4C581A3">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Times New Roman" w:hAnsi="Times New Roman" w:eastAsia="方正仿宋_GBK" w:cs="Times New Roman"/>
          <w:b w:val="0"/>
          <w:bCs w:val="0"/>
          <w:sz w:val="32"/>
          <w:szCs w:val="32"/>
          <w:shd w:val="clear" w:color="auto"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FD98449">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Times New Roman" w:hAnsi="Times New Roman" w:eastAsia="方正仿宋_GBK" w:cs="Times New Roman"/>
          <w:b w:val="0"/>
          <w:bCs w:val="0"/>
          <w:sz w:val="32"/>
          <w:szCs w:val="32"/>
          <w:shd w:val="clear" w:color="auto" w:fill="FFFFFF"/>
          <w:lang w:val="en-US" w:eastAsia="zh-CN" w:bidi="ar-SA"/>
        </w:rPr>
        <w:t>反映单位开支的在职职工和编制外长期聘用人员的各类劳动报酬，以及为上述人员缴纳的各项社会保险费等。</w:t>
      </w:r>
    </w:p>
    <w:p w14:paraId="2C81E50D">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Times New Roman" w:hAnsi="Times New Roman" w:eastAsia="方正仿宋_GBK" w:cs="Times New Roman"/>
          <w:b w:val="0"/>
          <w:bCs w:val="0"/>
          <w:sz w:val="32"/>
          <w:szCs w:val="32"/>
          <w:shd w:val="clear" w:color="auto" w:fill="FFFFFF"/>
          <w:lang w:val="en-US" w:eastAsia="zh-CN" w:bidi="ar-SA"/>
        </w:rPr>
        <w:t>：反映单位购买商品和服务的支出（不包括用于购置固定资产的支出、战略性和应急储备支出）。</w:t>
      </w:r>
    </w:p>
    <w:p w14:paraId="37527FAE">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Style w:val="14"/>
          <w:rFonts w:hint="eastAsia" w:ascii="方正楷体_GBK" w:hAnsi="方正楷体_GBK" w:eastAsia="方正楷体_GBK" w:cs="方正楷体_GBK"/>
          <w:b w:val="0"/>
          <w:bCs/>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Style w:val="14"/>
          <w:rFonts w:hint="eastAsia" w:ascii="方正仿宋_GBK" w:hAnsi="方正仿宋_GBK" w:eastAsia="方正仿宋_GBK" w:cs="方正仿宋_GBK"/>
          <w:b w:val="0"/>
          <w:bCs/>
          <w:sz w:val="32"/>
          <w:szCs w:val="32"/>
          <w:shd w:val="clear" w:color="auto" w:fill="FFFFFF"/>
          <w:lang w:val="en-US" w:eastAsia="zh-CN" w:bidi="ar-SA"/>
        </w:rPr>
        <w:t>反映用于对个人和家庭的补助支出。</w:t>
      </w:r>
    </w:p>
    <w:p w14:paraId="4D457149">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Times New Roman" w:hAnsi="Times New Roman" w:eastAsia="方正仿宋_GBK" w:cs="Times New Roman"/>
          <w:b w:val="0"/>
          <w:bCs w:val="0"/>
          <w:sz w:val="32"/>
          <w:szCs w:val="32"/>
          <w:shd w:val="clear" w:color="auto" w:fill="FFFFFF"/>
          <w:lang w:val="en-US" w:eastAsia="zh-CN" w:bidi="ar-SA"/>
        </w:rPr>
        <w:t>反映非各级发展和改革部门集中安排的用于购置固定资产、战略性和应急性储备、土地和无形资产，以及构建基础设施、大型修缮和财政支持企业更新改造所发生的支出。</w:t>
      </w:r>
    </w:p>
    <w:p w14:paraId="245A084C">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eastAsia" w:ascii="方正黑体_GBK" w:hAnsi="方正黑体_GBK" w:eastAsia="方正黑体_GBK" w:cs="方正黑体_GBK"/>
          <w:b w:val="0"/>
          <w:bCs/>
          <w:kern w:val="0"/>
          <w:sz w:val="32"/>
          <w:szCs w:val="32"/>
        </w:rPr>
      </w:pPr>
      <w:r>
        <w:rPr>
          <w:rStyle w:val="14"/>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14:paraId="3C7A1064">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本单位决算公开信息反馈和联系方式：</w:t>
      </w:r>
    </w:p>
    <w:p w14:paraId="4595679E">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default" w:ascii="Times New Roman" w:hAnsi="Times New Roman" w:eastAsia="方正仿宋_GBK" w:cs="Times New Roman"/>
          <w:color w:val="000000" w:themeColor="text1"/>
          <w:kern w:val="0"/>
          <w:sz w:val="32"/>
          <w:szCs w:val="32"/>
          <w:highlight w:val="none"/>
          <w:shd w:val="clear" w:fill="FFFFFF"/>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fill="FFFFFF"/>
          <w:lang w:eastAsia="zh-CN"/>
          <w14:textFill>
            <w14:solidFill>
              <w14:schemeClr w14:val="tx1"/>
            </w14:solidFill>
          </w14:textFill>
        </w:rPr>
        <w:t>蔡奉伶</w:t>
      </w:r>
      <w:r>
        <w:rPr>
          <w:rFonts w:hint="default" w:ascii="Times New Roman" w:hAnsi="Times New Roman" w:eastAsia="方正仿宋_GBK" w:cs="Times New Roman"/>
          <w:color w:val="000000" w:themeColor="text1"/>
          <w:kern w:val="0"/>
          <w:sz w:val="32"/>
          <w:szCs w:val="32"/>
          <w:highlight w:val="none"/>
          <w:shd w:val="clear" w:fill="FFFFFF"/>
          <w14:textFill>
            <w14:solidFill>
              <w14:schemeClr w14:val="tx1"/>
            </w14:solidFill>
          </w14:textFill>
        </w:rPr>
        <w:t xml:space="preserve">  023-</w:t>
      </w:r>
      <w:r>
        <w:rPr>
          <w:rFonts w:hint="default" w:ascii="Times New Roman" w:hAnsi="Times New Roman" w:eastAsia="方正仿宋_GBK" w:cs="Times New Roman"/>
          <w:color w:val="000000" w:themeColor="text1"/>
          <w:kern w:val="0"/>
          <w:sz w:val="32"/>
          <w:szCs w:val="32"/>
          <w:highlight w:val="none"/>
          <w:shd w:val="clear" w:fill="FFFFFF"/>
          <w:lang w:val="en-US" w:eastAsia="zh-CN"/>
          <w14:textFill>
            <w14:solidFill>
              <w14:schemeClr w14:val="tx1"/>
            </w14:solidFill>
          </w14:textFill>
        </w:rPr>
        <w:t>70700732</w:t>
      </w:r>
    </w:p>
    <w:p w14:paraId="399531A8">
      <w:pPr>
        <w:rPr>
          <w:rFonts w:hint="default" w:ascii="Times New Roman" w:hAnsi="Times New Roman" w:eastAsia="方正仿宋_GBK" w:cs="Times New Roman"/>
          <w:color w:val="000000" w:themeColor="text1"/>
          <w:kern w:val="0"/>
          <w:sz w:val="32"/>
          <w:szCs w:val="32"/>
          <w:highlight w:val="none"/>
          <w:shd w:val="clear" w:fill="FFFFFF"/>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fill="FFFFFF"/>
          <w:lang w:val="en-US" w:eastAsia="zh-CN"/>
          <w14:textFill>
            <w14:solidFill>
              <w14:schemeClr w14:val="tx1"/>
            </w14:solidFill>
          </w14:textFill>
        </w:rPr>
        <w:br w:type="page"/>
      </w:r>
    </w:p>
    <w:p w14:paraId="58C67FBA">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640" w:firstLineChars="200"/>
        <w:textAlignment w:val="auto"/>
        <w:rPr>
          <w:rFonts w:hint="default" w:ascii="Times New Roman" w:hAnsi="Times New Roman" w:eastAsia="方正仿宋_GBK" w:cs="Times New Roman"/>
          <w:color w:val="000000" w:themeColor="text1"/>
          <w:kern w:val="0"/>
          <w:sz w:val="32"/>
          <w:szCs w:val="32"/>
          <w:highlight w:val="none"/>
          <w:shd w:val="clear" w:fill="FFFFFF"/>
          <w:lang w:val="en-US" w:eastAsia="zh-CN"/>
          <w14:textFill>
            <w14:solidFill>
              <w14:schemeClr w14:val="tx1"/>
            </w14:solidFill>
          </w14:textFill>
        </w:rPr>
        <w:sectPr>
          <w:footerReference r:id="rId3" w:type="default"/>
          <w:pgSz w:w="11915" w:h="16840"/>
          <w:pgMar w:top="1440" w:right="1800" w:bottom="1440" w:left="1800" w:header="851" w:footer="992" w:gutter="0"/>
          <w:pgNumType w:fmt="decimal"/>
          <w:cols w:space="720" w:num="1"/>
          <w:docGrid w:type="lines" w:linePitch="312" w:charSpace="0"/>
        </w:sectPr>
      </w:pPr>
    </w:p>
    <w:tbl>
      <w:tblPr>
        <w:tblStyle w:val="11"/>
        <w:tblpPr w:leftFromText="180" w:rightFromText="180" w:vertAnchor="text" w:horzAnchor="page" w:tblpX="1058" w:tblpY="22"/>
        <w:tblOverlap w:val="never"/>
        <w:tblW w:w="5127" w:type="pct"/>
        <w:tblInd w:w="0" w:type="dxa"/>
        <w:tblLayout w:type="autofit"/>
        <w:tblCellMar>
          <w:top w:w="0" w:type="dxa"/>
          <w:left w:w="0" w:type="dxa"/>
          <w:bottom w:w="0" w:type="dxa"/>
          <w:right w:w="0" w:type="dxa"/>
        </w:tblCellMar>
      </w:tblPr>
      <w:tblGrid>
        <w:gridCol w:w="3919"/>
        <w:gridCol w:w="3247"/>
        <w:gridCol w:w="3689"/>
        <w:gridCol w:w="3488"/>
      </w:tblGrid>
      <w:tr w14:paraId="35BBF27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78F909C">
            <w:pPr>
              <w:keepNext w:val="0"/>
              <w:keepLines w:val="0"/>
              <w:pageBreakBefore w:val="0"/>
              <w:widowControl/>
              <w:kinsoku/>
              <w:overflowPunct/>
              <w:topLinePunct w:val="0"/>
              <w:autoSpaceDE/>
              <w:autoSpaceDN/>
              <w:bidi w:val="0"/>
              <w:adjustRightInd/>
              <w:snapToGrid/>
              <w:spacing w:line="400" w:lineRule="exact"/>
              <w:ind w:left="0" w:right="0" w:rightChars="0" w:firstLine="643" w:firstLineChars="200"/>
              <w:jc w:val="center"/>
              <w:textAlignment w:val="bottom"/>
              <w:rPr>
                <w:rFonts w:hint="default" w:cs="宋体"/>
                <w:b/>
                <w:color w:val="000000"/>
                <w:sz w:val="32"/>
                <w:szCs w:val="32"/>
              </w:rPr>
            </w:pPr>
            <w:r>
              <w:rPr>
                <w:rFonts w:cs="宋体"/>
                <w:b/>
                <w:color w:val="000000"/>
                <w:sz w:val="32"/>
                <w:szCs w:val="32"/>
              </w:rPr>
              <w:t>收入支出决算总表</w:t>
            </w:r>
          </w:p>
        </w:tc>
      </w:tr>
      <w:tr w14:paraId="2E507BB2">
        <w:tblPrEx>
          <w:tblCellMar>
            <w:top w:w="0" w:type="dxa"/>
            <w:left w:w="0" w:type="dxa"/>
            <w:bottom w:w="0" w:type="dxa"/>
            <w:right w:w="0" w:type="dxa"/>
          </w:tblCellMar>
        </w:tblPrEx>
        <w:trPr>
          <w:trHeight w:val="232" w:hRule="atLeast"/>
        </w:trPr>
        <w:tc>
          <w:tcPr>
            <w:tcW w:w="1366" w:type="pct"/>
            <w:tcBorders>
              <w:top w:val="nil"/>
              <w:left w:val="nil"/>
              <w:bottom w:val="nil"/>
              <w:right w:val="nil"/>
            </w:tcBorders>
            <w:shd w:val="clear" w:color="auto" w:fill="auto"/>
            <w:noWrap/>
            <w:tcMar>
              <w:top w:w="15" w:type="dxa"/>
              <w:left w:w="15" w:type="dxa"/>
              <w:right w:w="15" w:type="dxa"/>
            </w:tcMar>
            <w:vAlign w:val="bottom"/>
          </w:tcPr>
          <w:p w14:paraId="2C3FBC57">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ascii="Arial" w:hAnsi="Arial" w:cs="Arial"/>
                <w:color w:val="000000"/>
                <w:sz w:val="20"/>
                <w:szCs w:val="20"/>
              </w:rPr>
            </w:pPr>
          </w:p>
        </w:tc>
        <w:tc>
          <w:tcPr>
            <w:tcW w:w="1132" w:type="pct"/>
            <w:tcBorders>
              <w:top w:val="nil"/>
              <w:left w:val="nil"/>
              <w:bottom w:val="nil"/>
              <w:right w:val="nil"/>
            </w:tcBorders>
            <w:shd w:val="clear" w:color="auto" w:fill="auto"/>
            <w:noWrap/>
            <w:tcMar>
              <w:top w:w="15" w:type="dxa"/>
              <w:left w:w="15" w:type="dxa"/>
              <w:right w:w="15" w:type="dxa"/>
            </w:tcMar>
            <w:vAlign w:val="bottom"/>
          </w:tcPr>
          <w:p w14:paraId="04F25AAD">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jc w:val="right"/>
              <w:rPr>
                <w:rFonts w:hint="default" w:ascii="Arial" w:hAnsi="Arial" w:cs="Arial"/>
                <w:color w:val="000000"/>
                <w:sz w:val="20"/>
                <w:szCs w:val="20"/>
              </w:rPr>
            </w:pPr>
          </w:p>
        </w:tc>
        <w:tc>
          <w:tcPr>
            <w:tcW w:w="1286" w:type="pct"/>
            <w:tcBorders>
              <w:top w:val="nil"/>
              <w:left w:val="nil"/>
              <w:bottom w:val="nil"/>
              <w:right w:val="nil"/>
            </w:tcBorders>
            <w:shd w:val="clear" w:color="auto" w:fill="auto"/>
            <w:noWrap/>
            <w:tcMar>
              <w:top w:w="15" w:type="dxa"/>
              <w:left w:w="15" w:type="dxa"/>
              <w:right w:w="15" w:type="dxa"/>
            </w:tcMar>
            <w:vAlign w:val="bottom"/>
          </w:tcPr>
          <w:p w14:paraId="6A224869">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ascii="Arial" w:hAnsi="Arial" w:cs="Arial"/>
                <w:color w:val="000000"/>
                <w:sz w:val="20"/>
                <w:szCs w:val="20"/>
              </w:rPr>
            </w:pPr>
          </w:p>
        </w:tc>
        <w:tc>
          <w:tcPr>
            <w:tcW w:w="1214" w:type="pct"/>
            <w:tcBorders>
              <w:top w:val="nil"/>
              <w:left w:val="nil"/>
              <w:bottom w:val="nil"/>
              <w:right w:val="nil"/>
            </w:tcBorders>
            <w:shd w:val="clear" w:color="auto" w:fill="auto"/>
            <w:noWrap/>
            <w:tcMar>
              <w:top w:w="15" w:type="dxa"/>
              <w:left w:w="15" w:type="dxa"/>
              <w:right w:w="15" w:type="dxa"/>
            </w:tcMar>
            <w:vAlign w:val="bottom"/>
          </w:tcPr>
          <w:p w14:paraId="076BA475">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25D4397">
        <w:tblPrEx>
          <w:tblCellMar>
            <w:top w:w="0" w:type="dxa"/>
            <w:left w:w="0" w:type="dxa"/>
            <w:bottom w:w="0" w:type="dxa"/>
            <w:right w:w="0" w:type="dxa"/>
          </w:tblCellMar>
        </w:tblPrEx>
        <w:trPr>
          <w:trHeight w:val="232" w:hRule="atLeast"/>
        </w:trPr>
        <w:tc>
          <w:tcPr>
            <w:tcW w:w="2498" w:type="pct"/>
            <w:gridSpan w:val="2"/>
            <w:tcBorders>
              <w:top w:val="nil"/>
              <w:left w:val="nil"/>
              <w:bottom w:val="nil"/>
              <w:right w:val="nil"/>
            </w:tcBorders>
            <w:shd w:val="clear" w:color="auto" w:fill="auto"/>
            <w:noWrap/>
            <w:tcMar>
              <w:top w:w="15" w:type="dxa"/>
              <w:left w:w="15" w:type="dxa"/>
              <w:right w:w="15" w:type="dxa"/>
            </w:tcMar>
            <w:vAlign w:val="bottom"/>
          </w:tcPr>
          <w:p w14:paraId="69365A35">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textAlignment w:val="auto"/>
              <w:rPr>
                <w:rFonts w:hint="default" w:ascii="Arial" w:hAnsi="Arial" w:cs="Arial"/>
                <w:color w:val="000000"/>
                <w:sz w:val="22"/>
                <w:szCs w:val="22"/>
              </w:rPr>
            </w:pPr>
            <w:r>
              <w:rPr>
                <w:rFonts w:cs="宋体"/>
                <w:sz w:val="20"/>
                <w:szCs w:val="20"/>
              </w:rPr>
              <w:t>单位：</w:t>
            </w:r>
            <w:r>
              <w:rPr>
                <w:sz w:val="20"/>
                <w:u w:color="auto"/>
              </w:rPr>
              <w:t>丰都县交通运输综合行政执法支队</w:t>
            </w:r>
          </w:p>
        </w:tc>
        <w:tc>
          <w:tcPr>
            <w:tcW w:w="1286" w:type="pct"/>
            <w:tcBorders>
              <w:top w:val="nil"/>
              <w:left w:val="nil"/>
              <w:bottom w:val="nil"/>
              <w:right w:val="nil"/>
            </w:tcBorders>
            <w:shd w:val="clear" w:color="auto" w:fill="auto"/>
            <w:noWrap/>
            <w:tcMar>
              <w:top w:w="15" w:type="dxa"/>
              <w:left w:w="15" w:type="dxa"/>
              <w:right w:w="15" w:type="dxa"/>
            </w:tcMar>
            <w:vAlign w:val="bottom"/>
          </w:tcPr>
          <w:p w14:paraId="5EC32D62">
            <w:pPr>
              <w:keepNext w:val="0"/>
              <w:keepLines w:val="0"/>
              <w:pageBreakBefore w:val="0"/>
              <w:widowControl/>
              <w:kinsoku/>
              <w:overflowPunct/>
              <w:topLinePunct w:val="0"/>
              <w:autoSpaceDE/>
              <w:autoSpaceDN/>
              <w:bidi w:val="0"/>
              <w:adjustRightInd/>
              <w:snapToGrid/>
              <w:spacing w:line="400" w:lineRule="exact"/>
              <w:ind w:left="0" w:right="0" w:rightChars="0" w:firstLine="440" w:firstLineChars="200"/>
              <w:rPr>
                <w:rFonts w:hint="default" w:ascii="Arial" w:hAnsi="Arial" w:cs="Arial"/>
                <w:color w:val="000000"/>
                <w:sz w:val="22"/>
                <w:szCs w:val="22"/>
              </w:rPr>
            </w:pPr>
          </w:p>
        </w:tc>
        <w:tc>
          <w:tcPr>
            <w:tcW w:w="1214" w:type="pct"/>
            <w:tcBorders>
              <w:top w:val="nil"/>
              <w:left w:val="nil"/>
              <w:bottom w:val="nil"/>
              <w:right w:val="nil"/>
            </w:tcBorders>
            <w:shd w:val="clear" w:color="auto" w:fill="auto"/>
            <w:noWrap/>
            <w:tcMar>
              <w:top w:w="15" w:type="dxa"/>
              <w:left w:w="15" w:type="dxa"/>
              <w:right w:w="15" w:type="dxa"/>
            </w:tcMar>
            <w:vAlign w:val="bottom"/>
          </w:tcPr>
          <w:p w14:paraId="55E70A0B">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47CEE6">
        <w:tblPrEx>
          <w:tblCellMar>
            <w:top w:w="0" w:type="dxa"/>
            <w:left w:w="0" w:type="dxa"/>
            <w:bottom w:w="0" w:type="dxa"/>
            <w:right w:w="0" w:type="dxa"/>
          </w:tblCellMar>
        </w:tblPrEx>
        <w:trPr>
          <w:trHeight w:val="243" w:hRule="atLeast"/>
        </w:trPr>
        <w:tc>
          <w:tcPr>
            <w:tcW w:w="24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CB0A">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收入</w:t>
            </w:r>
          </w:p>
        </w:tc>
        <w:tc>
          <w:tcPr>
            <w:tcW w:w="2501"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820CF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支出</w:t>
            </w:r>
          </w:p>
        </w:tc>
      </w:tr>
      <w:tr w14:paraId="68134178">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FD7D">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D0C1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决算数</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2DD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功能分类科目</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39875">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决算数</w:t>
            </w:r>
          </w:p>
        </w:tc>
      </w:tr>
      <w:tr w14:paraId="5A75D2CF">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5E99">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一、一般公共预算财政拨款收入</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43E92">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1,569.17</w:t>
            </w: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F5136">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一、一般公共服务支出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FA9AC">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3D0E8D">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63D7">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二、政府性基金预算财政拨款收入</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F82F6">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85AAA">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二、外交支出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5243A">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2FC9FC">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54E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91FA0">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B19A1">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三、国防支出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CB777">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05C694">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47D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四、上级补助收入</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FEC3E">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8B41E">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四、公共安全支出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3B4E8">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9B7A13">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7689">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五、事业收入</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54FE8">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45466">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五、教育支出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53939">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8218CC">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3FEA">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六、经营收入</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1568E">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13D99">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六、科学技术支出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C6ED">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8A580F">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61C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七、附属单位上缴收入</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89FA5">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2EE7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七、文化旅游体育与传媒支出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9D3D8">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E592AE">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3AD7">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八、其他收入</w:t>
            </w:r>
          </w:p>
        </w:tc>
        <w:tc>
          <w:tcPr>
            <w:tcW w:w="1132" w:type="pct"/>
            <w:tcBorders>
              <w:top w:val="nil"/>
              <w:left w:val="nil"/>
              <w:bottom w:val="nil"/>
              <w:right w:val="single" w:color="000000" w:sz="4" w:space="0"/>
            </w:tcBorders>
            <w:shd w:val="clear" w:color="auto" w:fill="auto"/>
            <w:noWrap/>
            <w:tcMar>
              <w:top w:w="15" w:type="dxa"/>
              <w:left w:w="15" w:type="dxa"/>
              <w:right w:w="15" w:type="dxa"/>
            </w:tcMar>
            <w:vAlign w:val="center"/>
          </w:tcPr>
          <w:p w14:paraId="60E640C2">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0F8E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八、社会保障和就业支出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8795">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170.42</w:t>
            </w:r>
            <w:r>
              <w:rPr>
                <w:rFonts w:ascii="Times New Roman" w:hAnsi="Times New Roman"/>
                <w:color w:val="000000"/>
                <w:sz w:val="20"/>
                <w:u w:color="auto"/>
              </w:rPr>
              <w:t xml:space="preserve"> </w:t>
            </w:r>
          </w:p>
        </w:tc>
      </w:tr>
      <w:tr w14:paraId="7C4B5020">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3CBF">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1AB8B">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42993">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九、卫生健康支出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EF727">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47.85</w:t>
            </w:r>
            <w:r>
              <w:rPr>
                <w:rFonts w:ascii="Times New Roman" w:hAnsi="Times New Roman"/>
                <w:color w:val="000000"/>
                <w:sz w:val="20"/>
                <w:u w:color="auto"/>
              </w:rPr>
              <w:t xml:space="preserve"> </w:t>
            </w:r>
          </w:p>
        </w:tc>
      </w:tr>
      <w:tr w14:paraId="422E153D">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4D17">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820DB1">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0C1E8">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十、节能环保支出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DB2E5">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D7A225">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C12C">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B122EE">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0E31C">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十一、城乡社区支出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D9EA4">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E16A68">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1267">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89041C">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26988">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十二、农林水支出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19576">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F00319">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952E">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381D">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2958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十三、交通运输支出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FD2EF">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1,307.74</w:t>
            </w:r>
            <w:r>
              <w:rPr>
                <w:rFonts w:ascii="Times New Roman" w:hAnsi="Times New Roman"/>
                <w:color w:val="000000"/>
                <w:sz w:val="20"/>
                <w:u w:color="auto"/>
              </w:rPr>
              <w:t xml:space="preserve"> </w:t>
            </w:r>
          </w:p>
        </w:tc>
      </w:tr>
      <w:tr w14:paraId="623425F0">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958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13539">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0D023">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十四、资源勘探工业信息等支出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6BD7E">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EA41B9">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77C2">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6325">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829AA">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十五、商业服务业等支出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DAD8A">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A3CFBA">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3087">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0183D">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F8F8C">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十六、金融支出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15567">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BE59F4">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9F4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4FB16">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44DF8">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十七、援助其他地区支出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40B22">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607BA8">
        <w:tblPrEx>
          <w:tblCellMar>
            <w:top w:w="0" w:type="dxa"/>
            <w:left w:w="0" w:type="dxa"/>
            <w:bottom w:w="0" w:type="dxa"/>
            <w:right w:w="0" w:type="dxa"/>
          </w:tblCellMar>
        </w:tblPrEx>
        <w:trPr>
          <w:trHeight w:val="90"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774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4BA6A">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A5D71">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十八、自然资源海洋气象等支出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B28EA">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F56440">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0DA9">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DFD41">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30E5C">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十九、住房保障支出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7CC3">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r>
      <w:tr w14:paraId="664388E3">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B24D">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7810">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C83E1">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二十、粮油物资储备支出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30E7A">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4B5453">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C113">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79FE6">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42DB9">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二十一、国有资本经营预算支出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A96D0">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A3E2CF">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FC49">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ED537">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5AE7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二十二、灾害防治及应急管理支出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01061">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CA10DF">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06C6">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D8985">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0B7AF">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二十三、其他支出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D4463">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9B369F">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BA0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6E021">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D48FF">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二十四、债务还本支出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AA0D0">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AE3B55">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9763">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94D74">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1BAC5">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二十五、债务付息支出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2B957">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B67A27">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A1D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rPr>
                <w:rFonts w:hint="default" w:cs="宋体"/>
                <w:b/>
                <w:bCs/>
                <w:color w:val="000000"/>
                <w:sz w:val="20"/>
                <w:szCs w:val="20"/>
              </w:rPr>
            </w:pP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EAB18">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9B838">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二十六、抗疫特别国债安排的支出</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5DF7">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DB5D12">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762F">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bCs/>
                <w:color w:val="000000"/>
                <w:sz w:val="20"/>
                <w:szCs w:val="20"/>
              </w:rPr>
            </w:pPr>
            <w:r>
              <w:rPr>
                <w:rFonts w:cs="宋体"/>
                <w:b/>
                <w:bCs/>
                <w:color w:val="000000"/>
                <w:sz w:val="20"/>
                <w:szCs w:val="20"/>
              </w:rPr>
              <w:t>本年收入合计</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E1BA">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1,569.17</w:t>
            </w: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421BA">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bCs/>
                <w:color w:val="000000"/>
                <w:sz w:val="20"/>
                <w:szCs w:val="20"/>
              </w:rPr>
            </w:pPr>
            <w:r>
              <w:rPr>
                <w:rFonts w:cs="宋体"/>
                <w:b/>
                <w:bCs/>
                <w:color w:val="000000"/>
                <w:sz w:val="20"/>
                <w:szCs w:val="20"/>
              </w:rPr>
              <w:t>本年支出合计</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9285C">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1,569.17</w:t>
            </w:r>
            <w:r>
              <w:rPr>
                <w:rFonts w:ascii="Times New Roman" w:hAnsi="Times New Roman"/>
                <w:color w:val="000000"/>
                <w:sz w:val="20"/>
                <w:u w:color="auto"/>
              </w:rPr>
              <w:t xml:space="preserve"> </w:t>
            </w:r>
          </w:p>
        </w:tc>
      </w:tr>
      <w:tr w14:paraId="4FC78091">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6BAD">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使用非财政拨款结余（含专用结余）</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FFCA9">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A12F">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结余分配</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C4DF7">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0BDFAC">
        <w:tblPrEx>
          <w:tblCellMar>
            <w:top w:w="0" w:type="dxa"/>
            <w:left w:w="0" w:type="dxa"/>
            <w:bottom w:w="0" w:type="dxa"/>
            <w:right w:w="0" w:type="dxa"/>
          </w:tblCellMar>
        </w:tblPrEx>
        <w:trPr>
          <w:trHeight w:val="24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7C2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年初结转和结余</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FB134">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E9032">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textAlignment w:val="center"/>
              <w:rPr>
                <w:rFonts w:hint="default" w:cs="宋体"/>
                <w:b/>
                <w:bCs/>
                <w:color w:val="000000"/>
                <w:sz w:val="20"/>
                <w:szCs w:val="20"/>
              </w:rPr>
            </w:pPr>
            <w:r>
              <w:rPr>
                <w:rFonts w:cs="宋体"/>
                <w:b/>
                <w:bCs/>
                <w:color w:val="000000"/>
                <w:sz w:val="20"/>
                <w:szCs w:val="20"/>
              </w:rPr>
              <w:t>年末结转和结余</w:t>
            </w:r>
          </w:p>
        </w:tc>
        <w:tc>
          <w:tcPr>
            <w:tcW w:w="121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19A76D7">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7831A6">
        <w:tblPrEx>
          <w:tblCellMar>
            <w:top w:w="0" w:type="dxa"/>
            <w:left w:w="0" w:type="dxa"/>
            <w:bottom w:w="0" w:type="dxa"/>
            <w:right w:w="0" w:type="dxa"/>
          </w:tblCellMar>
        </w:tblPrEx>
        <w:trPr>
          <w:trHeight w:val="253" w:hRule="atLeast"/>
        </w:trPr>
        <w:tc>
          <w:tcPr>
            <w:tcW w:w="13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B5AF">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4C22">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1,569.17</w:t>
            </w:r>
            <w:r>
              <w:rPr>
                <w:rFonts w:ascii="Times New Roman" w:hAnsi="Times New Roman"/>
                <w:color w:val="000000"/>
                <w:sz w:val="20"/>
                <w:u w:color="auto"/>
              </w:rPr>
              <w:t xml:space="preserve"> </w:t>
            </w:r>
          </w:p>
        </w:tc>
        <w:tc>
          <w:tcPr>
            <w:tcW w:w="1286"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191FE6C">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12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0481A">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1,569.17</w:t>
            </w:r>
            <w:r>
              <w:rPr>
                <w:rFonts w:ascii="Times New Roman" w:hAnsi="Times New Roman"/>
                <w:color w:val="000000"/>
                <w:sz w:val="20"/>
                <w:u w:color="auto"/>
              </w:rPr>
              <w:t xml:space="preserve"> </w:t>
            </w:r>
          </w:p>
        </w:tc>
      </w:tr>
    </w:tbl>
    <w:p w14:paraId="04E9A44D">
      <w:pPr>
        <w:keepNext w:val="0"/>
        <w:keepLines w:val="0"/>
        <w:pageBreakBefore w:val="0"/>
        <w:widowControl/>
        <w:kinsoku/>
        <w:overflowPunct/>
        <w:topLinePunct w:val="0"/>
        <w:autoSpaceDE/>
        <w:autoSpaceDN/>
        <w:bidi w:val="0"/>
        <w:adjustRightInd/>
        <w:snapToGrid/>
        <w:spacing w:line="400" w:lineRule="exact"/>
        <w:ind w:right="0" w:rightChars="0"/>
        <w:rPr>
          <w:rFonts w:cs="宋体"/>
          <w:sz w:val="20"/>
          <w:szCs w:val="20"/>
        </w:rPr>
      </w:pPr>
    </w:p>
    <w:p w14:paraId="26F75A89">
      <w:pPr>
        <w:keepNext w:val="0"/>
        <w:keepLines w:val="0"/>
        <w:pageBreakBefore w:val="0"/>
        <w:widowControl/>
        <w:kinsoku/>
        <w:overflowPunct/>
        <w:topLinePunct w:val="0"/>
        <w:autoSpaceDE/>
        <w:autoSpaceDN/>
        <w:bidi w:val="0"/>
        <w:adjustRightInd/>
        <w:snapToGrid/>
        <w:spacing w:line="400" w:lineRule="exact"/>
        <w:ind w:right="0" w:rightChars="0"/>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1"/>
        <w:tblW w:w="5059" w:type="pct"/>
        <w:tblInd w:w="0" w:type="dxa"/>
        <w:tblLayout w:type="fixed"/>
        <w:tblCellMar>
          <w:top w:w="0" w:type="dxa"/>
          <w:left w:w="0" w:type="dxa"/>
          <w:bottom w:w="0" w:type="dxa"/>
          <w:right w:w="0" w:type="dxa"/>
        </w:tblCellMar>
      </w:tblPr>
      <w:tblGrid>
        <w:gridCol w:w="1305"/>
        <w:gridCol w:w="2665"/>
        <w:gridCol w:w="1444"/>
        <w:gridCol w:w="1325"/>
        <w:gridCol w:w="1147"/>
        <w:gridCol w:w="1313"/>
        <w:gridCol w:w="1332"/>
        <w:gridCol w:w="1183"/>
        <w:gridCol w:w="1232"/>
        <w:gridCol w:w="1207"/>
      </w:tblGrid>
      <w:tr w14:paraId="23F2663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5F05766">
            <w:pPr>
              <w:keepNext w:val="0"/>
              <w:keepLines w:val="0"/>
              <w:pageBreakBefore w:val="0"/>
              <w:widowControl/>
              <w:kinsoku/>
              <w:overflowPunct/>
              <w:topLinePunct w:val="0"/>
              <w:autoSpaceDN/>
              <w:bidi w:val="0"/>
              <w:adjustRightInd/>
              <w:snapToGrid/>
              <w:spacing w:line="400" w:lineRule="exact"/>
              <w:ind w:left="0" w:right="0" w:rightChars="0" w:firstLine="643" w:firstLineChars="200"/>
              <w:jc w:val="center"/>
              <w:textAlignment w:val="bottom"/>
              <w:rPr>
                <w:rFonts w:hint="default" w:cs="宋体"/>
                <w:b/>
                <w:color w:val="000000"/>
                <w:sz w:val="32"/>
                <w:szCs w:val="32"/>
              </w:rPr>
            </w:pPr>
            <w:r>
              <w:rPr>
                <w:rFonts w:cs="宋体"/>
                <w:b/>
                <w:color w:val="000000"/>
                <w:sz w:val="32"/>
                <w:szCs w:val="32"/>
              </w:rPr>
              <w:t>收入决算表</w:t>
            </w:r>
          </w:p>
        </w:tc>
      </w:tr>
      <w:tr w14:paraId="02242F97">
        <w:tblPrEx>
          <w:tblCellMar>
            <w:top w:w="0" w:type="dxa"/>
            <w:left w:w="0" w:type="dxa"/>
            <w:bottom w:w="0" w:type="dxa"/>
            <w:right w:w="0" w:type="dxa"/>
          </w:tblCellMar>
        </w:tblPrEx>
        <w:trPr>
          <w:trHeight w:val="585"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9CC4D62">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textAlignment w:val="auto"/>
              <w:rPr>
                <w:rFonts w:hint="default" w:cs="宋体"/>
                <w:color w:val="000000"/>
                <w:sz w:val="20"/>
                <w:szCs w:val="20"/>
              </w:rPr>
            </w:pPr>
            <w:r>
              <w:rPr>
                <w:rFonts w:cs="宋体"/>
                <w:sz w:val="20"/>
                <w:szCs w:val="20"/>
              </w:rPr>
              <w:t>单位：</w:t>
            </w:r>
            <w:r>
              <w:rPr>
                <w:sz w:val="20"/>
                <w:u w:color="auto"/>
              </w:rPr>
              <w:t>丰都县交通运输综合行政执法支队</w:t>
            </w:r>
          </w:p>
        </w:tc>
        <w:tc>
          <w:tcPr>
            <w:tcW w:w="467" w:type="pct"/>
            <w:tcBorders>
              <w:top w:val="nil"/>
              <w:left w:val="nil"/>
              <w:bottom w:val="nil"/>
              <w:right w:val="nil"/>
            </w:tcBorders>
            <w:shd w:val="clear" w:color="auto" w:fill="auto"/>
            <w:noWrap/>
            <w:tcMar>
              <w:top w:w="15" w:type="dxa"/>
              <w:left w:w="15" w:type="dxa"/>
              <w:right w:w="15" w:type="dxa"/>
            </w:tcMar>
            <w:vAlign w:val="bottom"/>
          </w:tcPr>
          <w:p w14:paraId="1E779673">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17490E3">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5A277B8">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691B539">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3AF0405">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9A312E0">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383674E">
            <w:pPr>
              <w:keepNext w:val="0"/>
              <w:keepLines w:val="0"/>
              <w:pageBreakBefore w:val="0"/>
              <w:widowControl/>
              <w:kinsoku/>
              <w:wordWrap/>
              <w:overflowPunct/>
              <w:topLinePunct w:val="0"/>
              <w:autoSpaceDE/>
              <w:autoSpaceDN/>
              <w:bidi w:val="0"/>
              <w:adjustRightInd/>
              <w:snapToGrid/>
              <w:spacing w:line="400" w:lineRule="exact"/>
              <w:ind w:right="0" w:rightChars="0" w:firstLine="200" w:firstLineChars="100"/>
              <w:jc w:val="both"/>
              <w:textAlignment w:val="bottom"/>
              <w:rPr>
                <w:rFonts w:hint="default" w:cs="宋体"/>
                <w:color w:val="000000"/>
                <w:sz w:val="20"/>
                <w:szCs w:val="20"/>
                <w:highlight w:val="none"/>
              </w:rPr>
            </w:pPr>
            <w:r>
              <w:rPr>
                <w:rFonts w:cs="宋体"/>
                <w:color w:val="000000" w:themeColor="text1"/>
                <w:sz w:val="20"/>
                <w:szCs w:val="20"/>
                <w:highlight w:val="none"/>
                <w14:textFill>
                  <w14:solidFill>
                    <w14:schemeClr w14:val="tx1"/>
                  </w14:solidFill>
                </w14:textFill>
              </w:rPr>
              <w:t>公开</w:t>
            </w:r>
            <w:r>
              <w:rPr>
                <w:rFonts w:hint="default" w:ascii="Times New Roman" w:hAnsi="Times New Roman" w:cs="Times New Roman"/>
                <w:color w:val="000000" w:themeColor="text1"/>
                <w:sz w:val="20"/>
                <w:szCs w:val="20"/>
                <w:highlight w:val="none"/>
                <w14:textFill>
                  <w14:solidFill>
                    <w14:schemeClr w14:val="tx1"/>
                  </w14:solidFill>
                </w14:textFill>
              </w:rPr>
              <w:t>0</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2</w:t>
            </w:r>
            <w:r>
              <w:rPr>
                <w:rFonts w:cs="宋体"/>
                <w:color w:val="000000" w:themeColor="text1"/>
                <w:sz w:val="20"/>
                <w:szCs w:val="20"/>
                <w:highlight w:val="none"/>
                <w14:textFill>
                  <w14:solidFill>
                    <w14:schemeClr w14:val="tx1"/>
                  </w14:solidFill>
                </w14:textFill>
              </w:rPr>
              <w:t>表</w:t>
            </w:r>
          </w:p>
        </w:tc>
      </w:tr>
      <w:tr w14:paraId="0601F478">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E3C57E6">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09526B1">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7280BA0">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FB783B2">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E2CA459">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0AF52EB">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9971539">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E9FE069">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center"/>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EB76BA">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6C76521">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864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36DE4">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62E7B">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41C38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8D26C">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899DD">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0A5B">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其他收入</w:t>
            </w:r>
          </w:p>
        </w:tc>
      </w:tr>
      <w:tr w14:paraId="1DFEF8E8">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CC36">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B04692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06F1D">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1730">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A134E">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16725">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F521F">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5ED4F">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21449">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EA1C0">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3C606ABE">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CD97">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23D8758">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A6300">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5940">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6E71D">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529C">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140C5">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30148">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256A5">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0B05">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2711CA0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5A6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411515">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22ED">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6E39">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792C3">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7C40C">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10A3A">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06CA">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90B2F">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70DB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26CAD1B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813E">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D36AF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B009">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AA2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E50C">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F5903">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508B6">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082A7">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06467">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B7F7">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66854EEF">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3EFE">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153C6">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1,569.17</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801FE">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1,569.17</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E0FEA">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013A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731B4">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ABAB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BE2E6">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697A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FC1542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3B2A">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444E3">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8461">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5956">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592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C67B">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11A9">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769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156E">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B938">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D8A8A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D3FB">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FD5D5">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39E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356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0216">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F05A">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058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830D">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4A3A">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92C6">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5E44D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EDCD">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DB872">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977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0C8E">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6B6B">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6D0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F7A1">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EE2D">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E2D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A58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4761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20CD">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44813">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38E9">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B870">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D3FE">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20F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5A2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DB0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CB7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4687">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E462E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E9C2">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BD7E1">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03D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49E0">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EFC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F71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8C3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6BB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D399">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951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FE296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9F3F">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04C1A">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A0B1">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B691">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7B0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01B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2B5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6C6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9AE0">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E48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7828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3538">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32327">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EF7B">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3D76">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7FCA">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F5DD">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8F1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0311">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FC10">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6EB0">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A521C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D190">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54831">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13E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EBD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EE1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356D">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805A">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97D3">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460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73D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CF77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2E74">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19E47">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156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91A8">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5B4D">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DEC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791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EF50">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BEEE">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F5D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EE49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D1C8">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16C75">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4047">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891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941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C76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CD7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74D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F4D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20B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1B497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2987">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184F2">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7F13">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982B">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96F1">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273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EF9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6640">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459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5768">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CEF47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59D4">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085A4">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FC43">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0BC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5E7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A579">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3B2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E34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AB7B">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9616">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7BD76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A913">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4635D">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公路养护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9A2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B4E8">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56B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BC40">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C38E">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70D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51F5">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3EA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A965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28BD">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52651">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EFA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DF7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05D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981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257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180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818E">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50E7">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2D47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51CB">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2140112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A30B3">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公路运输管理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5D60">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687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1117">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6A4B">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6A7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0C3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846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405B">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7BC35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D369">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756AE">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5CEB">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716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C36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03BA">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B8D9">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EEE8">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637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C620">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DFADD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1269">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D6A0">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E0E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15A3">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6F86">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C52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9E4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2DE0">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600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0C6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30CE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F210">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0AA07">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67F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647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6D35">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E31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A5D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F5D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D6E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19F8">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61AF456">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CEE1A6A">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sz w:val="20"/>
          <w:szCs w:val="20"/>
        </w:rPr>
      </w:pPr>
      <w:r>
        <w:rPr>
          <w:rFonts w:cs="宋体"/>
          <w:sz w:val="20"/>
          <w:szCs w:val="20"/>
        </w:rPr>
        <w:br w:type="page"/>
      </w:r>
    </w:p>
    <w:tbl>
      <w:tblPr>
        <w:tblStyle w:val="11"/>
        <w:tblW w:w="5000" w:type="pct"/>
        <w:tblInd w:w="0" w:type="dxa"/>
        <w:tblLayout w:type="fixed"/>
        <w:tblCellMar>
          <w:top w:w="0" w:type="dxa"/>
          <w:left w:w="0" w:type="dxa"/>
          <w:bottom w:w="0" w:type="dxa"/>
          <w:right w:w="0" w:type="dxa"/>
        </w:tblCellMar>
      </w:tblPr>
      <w:tblGrid>
        <w:gridCol w:w="1180"/>
        <w:gridCol w:w="3288"/>
        <w:gridCol w:w="1681"/>
        <w:gridCol w:w="1611"/>
        <w:gridCol w:w="1483"/>
        <w:gridCol w:w="1421"/>
        <w:gridCol w:w="1545"/>
        <w:gridCol w:w="1779"/>
      </w:tblGrid>
      <w:tr w14:paraId="5645F77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C0F0524">
            <w:pPr>
              <w:keepNext w:val="0"/>
              <w:keepLines w:val="0"/>
              <w:pageBreakBefore w:val="0"/>
              <w:widowControl/>
              <w:kinsoku/>
              <w:overflowPunct/>
              <w:topLinePunct w:val="0"/>
              <w:autoSpaceDN/>
              <w:bidi w:val="0"/>
              <w:adjustRightInd/>
              <w:snapToGrid/>
              <w:spacing w:line="400" w:lineRule="exact"/>
              <w:ind w:left="0" w:right="0" w:rightChars="0" w:firstLine="643" w:firstLineChars="200"/>
              <w:jc w:val="center"/>
              <w:textAlignment w:val="bottom"/>
              <w:rPr>
                <w:rFonts w:hint="default" w:cs="宋体"/>
                <w:b/>
                <w:color w:val="000000"/>
                <w:sz w:val="32"/>
                <w:szCs w:val="32"/>
              </w:rPr>
            </w:pPr>
            <w:r>
              <w:rPr>
                <w:rFonts w:cs="宋体"/>
                <w:b/>
                <w:color w:val="000000"/>
                <w:sz w:val="32"/>
                <w:szCs w:val="32"/>
              </w:rPr>
              <w:t>支出决算表</w:t>
            </w:r>
          </w:p>
        </w:tc>
      </w:tr>
      <w:tr w14:paraId="2DB5B7EE">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D0CD7A4">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丰都县交通运输综合行政执法支队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E5BC8F5">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2558538">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EB83AB1">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1098177">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1D0CB4B">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AFC7AA3">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23383873">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C28BA59">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6F4370B">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0E86AF1">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3E0B268">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9391C2C">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63A7E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4426E7">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8235">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942B">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5DD0D">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F8C41">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F1DC">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D078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对附属单位补助支出</w:t>
            </w:r>
          </w:p>
        </w:tc>
      </w:tr>
      <w:tr w14:paraId="51D9F02C">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691F">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3469A5">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E5160">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8317A">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FCA8">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F3810">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74A43">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08DBE">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6C04B3B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9EF8">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FC54A28">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08B10">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0C8C">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89EA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E0893">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C9BD3">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9401">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75BFC3F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90EB">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43804A">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019D7">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704AF">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8261">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D3007">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8F4CE">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0D24">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66A70B3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0B91">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FDF5FC">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99278">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0766">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E4303">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D19E7">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E075">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7076B">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4CBB28E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66B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26500">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1,569.17</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20093">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1,054.37</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44D2A">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514.81</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CAA84">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C24E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4864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9AE55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F495">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1E2D6">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FC78">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612B">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A0BE">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ED46">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7C6B">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C79B">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5C14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1E54">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BFD0C">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AEB0">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68E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4988">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33D4">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5CC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5DA9">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BA0A0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70A0">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69BF9">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24FD">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ED5E">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2D3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D5C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D8ED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A16E">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6FE5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AF9C">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594DA">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89F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AF95">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A44B">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F8B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7AF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4FF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C591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26AF">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B2734">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2AB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994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41E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B7C5">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8AF1">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1038">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B7E9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EEAC">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C6042">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FBE9">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7C7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CB7D">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3B5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2DCB">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C21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4C1C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74F2">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F7B8F">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3FF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7181">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239A">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76DD">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2AE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3333">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90C8C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917A">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34FD3">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C36E">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688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19B8">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233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118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DD4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E431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746A">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DD57D">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D54B">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A1D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092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55B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01F0">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4AF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F6C4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5923">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5CF18">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DE5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6A6D">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B600">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60E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A6D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E00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6039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CBEA">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C2E33">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54E1">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6FC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07A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514.81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7BB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0679">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BFA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B921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2017">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75B12">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B40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51DE">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CFA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514.81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615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020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3E78">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5CFF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6A03">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1DF82">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4A9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D72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1DE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CDD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9507">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5DB0">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7A05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E010">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EBBB6">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2ED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265E">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6BD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5B2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2899">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11C5">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FE324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855A">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2140112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3AE75">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公路运输管理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EA18">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5B87">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792.93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E0C5">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224.81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0C6B">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F274">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944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C2F95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2972">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896B2">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3B48">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260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9C4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C651">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FE2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DCEB">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723A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C622">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1C119">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15E6">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1E5E">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DFF3">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7F11">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9250">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D433">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D1EF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E977">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296D7">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AEE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93D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4ED5">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891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2F1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9AA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DECED88">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26B7F0B">
      <w:pPr>
        <w:keepNext w:val="0"/>
        <w:keepLines w:val="0"/>
        <w:pageBreakBefore w:val="0"/>
        <w:widowControl/>
        <w:kinsoku/>
        <w:overflowPunct/>
        <w:topLinePunct w:val="0"/>
        <w:autoSpaceDN/>
        <w:bidi w:val="0"/>
        <w:adjustRightInd/>
        <w:snapToGrid/>
        <w:spacing w:line="400" w:lineRule="exact"/>
        <w:ind w:left="0" w:right="0" w:rightChars="0" w:firstLine="420" w:firstLineChars="200"/>
        <w:rPr>
          <w:rFonts w:hint="default" w:cs="宋体"/>
          <w:sz w:val="21"/>
          <w:szCs w:val="21"/>
        </w:rPr>
      </w:pPr>
      <w:r>
        <w:rPr>
          <w:rFonts w:cs="宋体"/>
          <w:sz w:val="21"/>
          <w:szCs w:val="21"/>
        </w:rPr>
        <w:br w:type="page"/>
      </w:r>
    </w:p>
    <w:p w14:paraId="596D64B2">
      <w:pPr>
        <w:keepNext w:val="0"/>
        <w:keepLines w:val="0"/>
        <w:pageBreakBefore w:val="0"/>
        <w:widowControl/>
        <w:kinsoku/>
        <w:overflowPunct/>
        <w:topLinePunct w:val="0"/>
        <w:autoSpaceDN/>
        <w:bidi w:val="0"/>
        <w:adjustRightInd/>
        <w:snapToGrid/>
        <w:spacing w:line="400" w:lineRule="exact"/>
        <w:ind w:left="0" w:right="0" w:rightChars="0" w:firstLine="420" w:firstLineChars="200"/>
        <w:rPr>
          <w:rFonts w:hint="default" w:cs="宋体"/>
          <w:sz w:val="21"/>
          <w:szCs w:val="21"/>
        </w:rPr>
      </w:pPr>
    </w:p>
    <w:tbl>
      <w:tblPr>
        <w:tblStyle w:val="11"/>
        <w:tblW w:w="4790" w:type="pct"/>
        <w:tblInd w:w="0" w:type="dxa"/>
        <w:tblLayout w:type="autofit"/>
        <w:tblCellMar>
          <w:top w:w="0" w:type="dxa"/>
          <w:left w:w="0" w:type="dxa"/>
          <w:bottom w:w="0" w:type="dxa"/>
          <w:right w:w="0" w:type="dxa"/>
        </w:tblCellMar>
      </w:tblPr>
      <w:tblGrid>
        <w:gridCol w:w="3040"/>
        <w:gridCol w:w="1258"/>
        <w:gridCol w:w="3221"/>
        <w:gridCol w:w="1416"/>
        <w:gridCol w:w="1417"/>
        <w:gridCol w:w="1417"/>
        <w:gridCol w:w="1632"/>
      </w:tblGrid>
      <w:tr w14:paraId="6BD6F64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50FBA44">
            <w:pPr>
              <w:keepNext w:val="0"/>
              <w:keepLines w:val="0"/>
              <w:pageBreakBefore w:val="0"/>
              <w:widowControl/>
              <w:kinsoku/>
              <w:overflowPunct/>
              <w:topLinePunct w:val="0"/>
              <w:autoSpaceDE/>
              <w:autoSpaceDN/>
              <w:bidi w:val="0"/>
              <w:adjustRightInd/>
              <w:snapToGrid/>
              <w:spacing w:line="360" w:lineRule="exact"/>
              <w:ind w:left="0" w:right="0" w:rightChars="0" w:firstLine="643" w:firstLineChars="200"/>
              <w:jc w:val="center"/>
              <w:textAlignment w:val="bottom"/>
              <w:rPr>
                <w:rFonts w:hint="default" w:cs="宋体"/>
                <w:b/>
                <w:color w:val="000000"/>
                <w:sz w:val="32"/>
                <w:szCs w:val="32"/>
              </w:rPr>
            </w:pPr>
            <w:r>
              <w:rPr>
                <w:rFonts w:cs="宋体"/>
                <w:b/>
                <w:color w:val="000000"/>
                <w:sz w:val="32"/>
                <w:szCs w:val="32"/>
              </w:rPr>
              <w:t>财政拨款收入支出决算总表</w:t>
            </w:r>
          </w:p>
        </w:tc>
      </w:tr>
      <w:tr w14:paraId="08F4ACF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F8078CA">
            <w:pPr>
              <w:keepNext w:val="0"/>
              <w:keepLines w:val="0"/>
              <w:pageBreakBefore w:val="0"/>
              <w:widowControl/>
              <w:kinsoku/>
              <w:wordWrap/>
              <w:overflowPunct/>
              <w:topLinePunct w:val="0"/>
              <w:autoSpaceDE/>
              <w:autoSpaceDN/>
              <w:bidi w:val="0"/>
              <w:adjustRightInd/>
              <w:snapToGrid/>
              <w:spacing w:line="360" w:lineRule="exact"/>
              <w:ind w:left="0" w:right="0" w:rightChars="0" w:firstLine="400" w:firstLineChars="200"/>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丰都县交通运输综合行政执法支队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5BB0ED46">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0E5F51">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445E61">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0BC7FDD">
            <w:pPr>
              <w:keepNext w:val="0"/>
              <w:keepLines w:val="0"/>
              <w:pageBreakBefore w:val="0"/>
              <w:widowControl/>
              <w:kinsoku/>
              <w:wordWrap/>
              <w:overflowPunct/>
              <w:topLinePunct w:val="0"/>
              <w:autoSpaceDE/>
              <w:autoSpaceDN/>
              <w:bidi w:val="0"/>
              <w:adjustRightInd/>
              <w:snapToGrid/>
              <w:spacing w:line="36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AA8A8D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1D0A3CB">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69188A">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63A28D">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FA6577">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D5B2F2F">
            <w:pPr>
              <w:keepNext w:val="0"/>
              <w:keepLines w:val="0"/>
              <w:pageBreakBefore w:val="0"/>
              <w:widowControl/>
              <w:kinsoku/>
              <w:wordWrap/>
              <w:overflowPunct/>
              <w:topLinePunct w:val="0"/>
              <w:autoSpaceDE/>
              <w:autoSpaceDN/>
              <w:bidi w:val="0"/>
              <w:adjustRightInd/>
              <w:snapToGrid/>
              <w:spacing w:line="36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64472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4300">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71DD">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支     出</w:t>
            </w:r>
          </w:p>
        </w:tc>
      </w:tr>
      <w:tr w14:paraId="0235AAB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18D4">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319DC">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02DC8">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4279F">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决算数</w:t>
            </w:r>
          </w:p>
        </w:tc>
      </w:tr>
      <w:tr w14:paraId="060F424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7A87">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47AF">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56D4E">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AFF1">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A9A3E">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1E83">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B409C">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国有资本经营预算财政拨款</w:t>
            </w:r>
          </w:p>
        </w:tc>
      </w:tr>
      <w:tr w14:paraId="1C180D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2794">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EF5F">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1,569.17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0876">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7AD0">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EC91">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EFE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B21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ECA9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CD52">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34A7">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75C8">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963D">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EA1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F050">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518F">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FAD1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32C5">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8FC6">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ADB9">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B233">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A30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0256">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B04A">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C766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9AA6">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B60599">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67CF">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F99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9EA2">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13D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D68C">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A77E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35EDE">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FDCA2">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B7BC">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4B3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4153">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F6D7">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4471">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04B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2249">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3012FA">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5A1B">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6C67">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DD60">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6146">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0214">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E243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0FCD">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2FB2A">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39AD">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740A">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34A7">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A37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EEB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2FF5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05F3">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B9ABA0">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BD50">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ABF6">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49E2">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6F8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60E2">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184D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CEF3">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6F79C8">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0AD0">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F4EA">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36A3">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299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76D6">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E2F8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C4A9">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3765">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558C8">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1B0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5B2D">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0DEE">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CAED">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BF12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64B9">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D1CA">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F92D">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F267">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DB65">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3142">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2446">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9522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0DB7">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2843">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7572">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EBEF">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F9C4">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ED5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971C">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A5D1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AC2E">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B756">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7D8F">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D575">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1,307.74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F46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1,307.74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601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A495">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52D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3F87">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25FC">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EC7B">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FBA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BE54">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C3B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0FB3">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EC5D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1A74">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13B9">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01F5">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0365">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FE8C">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7366">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FB67">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FD67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FAFC">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C78C">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40F7">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B69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890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5944">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EF5E">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4198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D1CF">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9B0E">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811F">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AF27">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1BA0">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1E8C">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D938">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65F9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6E3E">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A271">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1C8E">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C54A">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D7E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6EF8">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4B6C">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F5E3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0A61">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0A5A">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D6B3">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C11D">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77DD">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9EB0">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31F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0AEA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417D">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3FA8">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2ED7">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7A57">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8303">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C267">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822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4ACF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8BE4">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D768">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A4CB">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433E">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1805">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4451">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A4D4">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1C61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8722">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C135">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FE54">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3772">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05DD">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046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63E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7D7D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799C">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1117">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FCE3">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45A1">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62C8">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0DF2">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9A2F">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2A43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AF8014">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B812">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754B">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87E6">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DE86">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AB6C">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ECAF">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9CA1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64E7D0">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97FF">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D85B">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BAD8">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1048">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70B7">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DF58">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5646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A69CE0">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94FB">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385E">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FBA1">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A05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CC3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61A3">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9395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D913">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6CE1">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1,569.17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22783">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66F6">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1,569.17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E2F4">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1,569.17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E4FD">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B45D">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840D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9CD8">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8540">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AC7A">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D53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7AA3">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0161">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22B4">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176A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0A94">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3A2B">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0FB20">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A1F5F">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412943">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9066E4">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C66387">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rPr>
                <w:rFonts w:hint="default" w:ascii="Times New Roman" w:hAnsi="Times New Roman"/>
                <w:color w:val="000000"/>
                <w:sz w:val="18"/>
                <w:szCs w:val="18"/>
              </w:rPr>
            </w:pPr>
          </w:p>
        </w:tc>
      </w:tr>
      <w:tr w14:paraId="27B10B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7014">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2844">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07D0">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2C36">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9880">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90D5">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EF3B">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r>
      <w:tr w14:paraId="22EFD9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92E6">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700A">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BF2B">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5D3C">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1FEA">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94C6">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8DBA">
            <w:pPr>
              <w:keepNext w:val="0"/>
              <w:keepLines w:val="0"/>
              <w:pageBreakBefore w:val="0"/>
              <w:widowControl/>
              <w:kinsoku/>
              <w:overflowPunct/>
              <w:topLinePunct w:val="0"/>
              <w:autoSpaceDE/>
              <w:autoSpaceDN/>
              <w:bidi w:val="0"/>
              <w:adjustRightInd/>
              <w:snapToGrid/>
              <w:spacing w:line="360" w:lineRule="exact"/>
              <w:ind w:left="0" w:right="0" w:rightChars="0" w:firstLine="360" w:firstLineChars="200"/>
              <w:jc w:val="right"/>
              <w:rPr>
                <w:rFonts w:hint="default" w:ascii="Times New Roman" w:hAnsi="Times New Roman"/>
                <w:color w:val="000000"/>
                <w:sz w:val="18"/>
                <w:szCs w:val="18"/>
              </w:rPr>
            </w:pPr>
          </w:p>
        </w:tc>
      </w:tr>
      <w:tr w14:paraId="6986CC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E8FA">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23C4">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1,569.17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947A">
            <w:pPr>
              <w:keepNext w:val="0"/>
              <w:keepLines w:val="0"/>
              <w:pageBreakBefore w:val="0"/>
              <w:widowControl/>
              <w:kinsoku/>
              <w:overflowPunct/>
              <w:topLinePunct w:val="0"/>
              <w:autoSpaceDE/>
              <w:autoSpaceDN/>
              <w:bidi w:val="0"/>
              <w:adjustRightInd/>
              <w:snapToGrid/>
              <w:spacing w:line="36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79B7">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1,569.17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0E0D">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1,569.17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92B9">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2975">
            <w:pPr>
              <w:keepNext w:val="0"/>
              <w:keepLines w:val="0"/>
              <w:pageBreakBefore w:val="0"/>
              <w:widowControl/>
              <w:kinsoku/>
              <w:wordWrap w:val="0"/>
              <w:overflowPunct/>
              <w:topLinePunct w:val="0"/>
              <w:autoSpaceDE/>
              <w:autoSpaceDN/>
              <w:bidi w:val="0"/>
              <w:adjustRightInd/>
              <w:snapToGrid/>
              <w:spacing w:line="36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7BE370F">
      <w:pPr>
        <w:keepNext w:val="0"/>
        <w:keepLines w:val="0"/>
        <w:pageBreakBefore w:val="0"/>
        <w:widowControl/>
        <w:kinsoku/>
        <w:overflowPunct/>
        <w:topLinePunct w:val="0"/>
        <w:autoSpaceDE/>
        <w:autoSpaceDN/>
        <w:bidi w:val="0"/>
        <w:adjustRightInd/>
        <w:snapToGrid/>
        <w:spacing w:line="360" w:lineRule="exact"/>
        <w:ind w:left="0" w:right="0" w:rightChars="0" w:firstLine="400" w:firstLineChars="2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191"/>
        <w:gridCol w:w="3718"/>
        <w:gridCol w:w="3018"/>
        <w:gridCol w:w="3010"/>
        <w:gridCol w:w="3050"/>
      </w:tblGrid>
      <w:tr w14:paraId="1FE4D20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69B2295">
            <w:pPr>
              <w:keepNext w:val="0"/>
              <w:keepLines w:val="0"/>
              <w:pageBreakBefore w:val="0"/>
              <w:widowControl/>
              <w:kinsoku/>
              <w:overflowPunct/>
              <w:topLinePunct w:val="0"/>
              <w:autoSpaceDN/>
              <w:bidi w:val="0"/>
              <w:adjustRightInd/>
              <w:snapToGrid/>
              <w:spacing w:line="400" w:lineRule="exact"/>
              <w:ind w:left="0" w:right="0" w:rightChars="0" w:firstLine="643" w:firstLineChars="20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4169D10">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25E66E24">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丰都县交通运输综合行政执法支队</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CE69D0D">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900AED8">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1FC96C7E">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A7F67C6">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6971C21">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0378084">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891122">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A820">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16E713">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本年支出</w:t>
            </w:r>
          </w:p>
        </w:tc>
      </w:tr>
      <w:tr w14:paraId="2E0C6CB8">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D7D56">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65B75">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9C74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0C03E">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1A735">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项目支出</w:t>
            </w:r>
          </w:p>
        </w:tc>
      </w:tr>
      <w:tr w14:paraId="5F05517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F8C8">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9AF46">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DFDF7">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BE72E">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FB3C5">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3193CE7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ED61">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BEDF3">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68652">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A9096">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8CFF0">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60521FB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58874">
            <w:pPr>
              <w:keepNext w:val="0"/>
              <w:keepLines w:val="0"/>
              <w:pageBreakBefore w:val="0"/>
              <w:widowControl/>
              <w:kinsoku/>
              <w:overflowPunct/>
              <w:topLinePunct w:val="0"/>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EB62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1,569.17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8569">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1,054.37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D5536">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514.81</w:t>
            </w:r>
            <w:r>
              <w:rPr>
                <w:rFonts w:ascii="Times New Roman" w:hAnsi="Times New Roman"/>
                <w:b/>
                <w:color w:val="000000"/>
                <w:sz w:val="20"/>
                <w:u w:color="auto"/>
              </w:rPr>
              <w:t xml:space="preserve"> </w:t>
            </w:r>
          </w:p>
        </w:tc>
      </w:tr>
      <w:tr w14:paraId="6FBBBB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3DDE">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290CA">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7588E">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3CA00">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0061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B37F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EA1F">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9C09A">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59FB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69580">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F786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8834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0481">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05F7F">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699D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4B7F9">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53E29">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B5F1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09A3">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5A6A">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7455E">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CAB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9C885">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D359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BA47">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2058">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E518">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AB357">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517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1D65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4339">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269EB">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790C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76CFE">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90EB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AD7E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07CA">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B9234">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70304">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F89E4">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8DFB9">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03F2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E39B">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73338">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B1273">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94797">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D5B7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B347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D037">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BB452">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3545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3170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30.54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AF1DD">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AC57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378C">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9B9">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ABC2A">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48E58">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0543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F9BA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5F57">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E3F6B">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41AFF">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1,307.74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85A83">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B2F0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514.81</w:t>
            </w:r>
            <w:r>
              <w:rPr>
                <w:rFonts w:ascii="Times New Roman" w:hAnsi="Times New Roman"/>
                <w:b/>
                <w:color w:val="000000"/>
                <w:sz w:val="20"/>
                <w:u w:color="auto"/>
              </w:rPr>
              <w:t xml:space="preserve"> </w:t>
            </w:r>
          </w:p>
        </w:tc>
      </w:tr>
      <w:tr w14:paraId="2F07A8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8536">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0AFCC">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E18B1">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1,307.74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75D2C">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DBD9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514.81</w:t>
            </w:r>
            <w:r>
              <w:rPr>
                <w:rFonts w:ascii="Times New Roman" w:hAnsi="Times New Roman"/>
                <w:b/>
                <w:color w:val="000000"/>
                <w:sz w:val="20"/>
                <w:u w:color="auto"/>
              </w:rPr>
              <w:t xml:space="preserve"> </w:t>
            </w:r>
          </w:p>
        </w:tc>
      </w:tr>
      <w:tr w14:paraId="1BB9BD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9887">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92D18">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70A57">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2E5F5">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B8B26">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r>
      <w:tr w14:paraId="7F9067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A2C2">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F2690">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63C89">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9DF71">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0997F">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90.00</w:t>
            </w:r>
            <w:r>
              <w:rPr>
                <w:rFonts w:ascii="Times New Roman" w:hAnsi="Times New Roman"/>
                <w:color w:val="000000"/>
                <w:sz w:val="20"/>
                <w:u w:color="auto"/>
              </w:rPr>
              <w:t xml:space="preserve"> </w:t>
            </w:r>
          </w:p>
        </w:tc>
      </w:tr>
      <w:tr w14:paraId="467674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EFF9">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2140112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6CECF">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公路运输管理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007B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1,017.74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CE78B">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792.93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A0FF2">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224.81</w:t>
            </w:r>
            <w:r>
              <w:rPr>
                <w:rFonts w:ascii="Times New Roman" w:hAnsi="Times New Roman"/>
                <w:color w:val="000000"/>
                <w:sz w:val="20"/>
                <w:u w:color="auto"/>
              </w:rPr>
              <w:t xml:space="preserve"> </w:t>
            </w:r>
          </w:p>
        </w:tc>
      </w:tr>
      <w:tr w14:paraId="3198CE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665D">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180AA">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E341">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6BE80">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5D7D5">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835B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BBBD">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EEB53">
            <w:pPr>
              <w:keepNext w:val="0"/>
              <w:keepLines w:val="0"/>
              <w:pageBreakBefore w:val="0"/>
              <w:widowControl/>
              <w:kinsoku/>
              <w:overflowPunct/>
              <w:topLinePunct w:val="0"/>
              <w:autoSpaceDN/>
              <w:bidi w:val="0"/>
              <w:adjustRightInd/>
              <w:snapToGrid/>
              <w:spacing w:line="400" w:lineRule="exact"/>
              <w:ind w:left="0" w:right="0" w:rightChars="0" w:firstLine="402" w:firstLineChars="200"/>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3C2CD">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73072">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2D163">
            <w:pPr>
              <w:keepNext w:val="0"/>
              <w:keepLines w:val="0"/>
              <w:pageBreakBefore w:val="0"/>
              <w:widowControl/>
              <w:kinsoku/>
              <w:wordWrap w:val="0"/>
              <w:overflowPunct/>
              <w:topLinePunct w:val="0"/>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E8A9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7024">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7CF28">
            <w:pPr>
              <w:keepNext w:val="0"/>
              <w:keepLines w:val="0"/>
              <w:pageBreakBefore w:val="0"/>
              <w:widowControl/>
              <w:kinsoku/>
              <w:overflowPunct/>
              <w:topLinePunct w:val="0"/>
              <w:autoSpaceDN/>
              <w:bidi w:val="0"/>
              <w:adjustRightInd/>
              <w:snapToGrid/>
              <w:spacing w:line="400" w:lineRule="exact"/>
              <w:ind w:left="0" w:right="0" w:rightChars="0" w:firstLine="400" w:firstLineChars="200"/>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87A6C">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FB709">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CF4E3">
            <w:pPr>
              <w:keepNext w:val="0"/>
              <w:keepLines w:val="0"/>
              <w:pageBreakBefore w:val="0"/>
              <w:widowControl/>
              <w:kinsoku/>
              <w:wordWrap w:val="0"/>
              <w:overflowPunct/>
              <w:topLinePunct w:val="0"/>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6C2C470">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FE4C1AC">
      <w:pPr>
        <w:keepNext w:val="0"/>
        <w:keepLines w:val="0"/>
        <w:pageBreakBefore w:val="0"/>
        <w:widowControl/>
        <w:kinsoku/>
        <w:overflowPunct/>
        <w:topLinePunct w:val="0"/>
        <w:autoSpaceDN/>
        <w:bidi w:val="0"/>
        <w:adjustRightInd/>
        <w:snapToGrid/>
        <w:spacing w:line="400" w:lineRule="exact"/>
        <w:ind w:left="0" w:right="0" w:rightChars="0" w:firstLine="420" w:firstLineChars="200"/>
        <w:rPr>
          <w:rFonts w:hint="default" w:cs="宋体"/>
          <w:sz w:val="21"/>
          <w:szCs w:val="21"/>
        </w:rPr>
      </w:pPr>
      <w:r>
        <w:rPr>
          <w:rFonts w:cs="宋体"/>
          <w:sz w:val="21"/>
          <w:szCs w:val="21"/>
        </w:rPr>
        <w:br w:type="page"/>
      </w:r>
    </w:p>
    <w:tbl>
      <w:tblPr>
        <w:tblStyle w:val="11"/>
        <w:tblW w:w="4994" w:type="pct"/>
        <w:tblInd w:w="0" w:type="dxa"/>
        <w:tblLayout w:type="fixed"/>
        <w:tblCellMar>
          <w:top w:w="0" w:type="dxa"/>
          <w:left w:w="0" w:type="dxa"/>
          <w:bottom w:w="0" w:type="dxa"/>
          <w:right w:w="0" w:type="dxa"/>
        </w:tblCellMar>
      </w:tblPr>
      <w:tblGrid>
        <w:gridCol w:w="733"/>
        <w:gridCol w:w="2564"/>
        <w:gridCol w:w="1407"/>
        <w:gridCol w:w="797"/>
        <w:gridCol w:w="1855"/>
        <w:gridCol w:w="1294"/>
        <w:gridCol w:w="797"/>
        <w:gridCol w:w="3161"/>
        <w:gridCol w:w="1362"/>
      </w:tblGrid>
      <w:tr w14:paraId="0FF46DE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6E75594">
            <w:pPr>
              <w:keepNext w:val="0"/>
              <w:keepLines w:val="0"/>
              <w:pageBreakBefore w:val="0"/>
              <w:widowControl/>
              <w:kinsoku/>
              <w:wordWrap/>
              <w:overflowPunct/>
              <w:topLinePunct w:val="0"/>
              <w:autoSpaceDE/>
              <w:autoSpaceDN/>
              <w:bidi w:val="0"/>
              <w:adjustRightInd/>
              <w:snapToGrid/>
              <w:spacing w:line="400" w:lineRule="exact"/>
              <w:ind w:left="0" w:right="0" w:rightChars="0" w:firstLine="643" w:firstLineChars="20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3C276BA">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31632B5">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丰都县交通运输综合行政执法支队</w:t>
            </w:r>
          </w:p>
        </w:tc>
        <w:tc>
          <w:tcPr>
            <w:tcW w:w="463" w:type="pct"/>
            <w:tcBorders>
              <w:top w:val="nil"/>
              <w:left w:val="nil"/>
              <w:bottom w:val="nil"/>
              <w:right w:val="nil"/>
            </w:tcBorders>
            <w:shd w:val="clear" w:color="auto" w:fill="auto"/>
            <w:noWrap/>
            <w:tcMar>
              <w:top w:w="15" w:type="dxa"/>
              <w:left w:w="15" w:type="dxa"/>
              <w:right w:w="15" w:type="dxa"/>
            </w:tcMar>
            <w:vAlign w:val="bottom"/>
          </w:tcPr>
          <w:p w14:paraId="3EEAF4D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7B8728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8B28E5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A57AB2A">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327DED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67FEFA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97E1F9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0999F8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66F565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C95A1DE">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CBA8BB">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8A1E">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08F44B">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公用经费</w:t>
            </w:r>
          </w:p>
        </w:tc>
      </w:tr>
      <w:tr w14:paraId="0BBB0E16">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A1463">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D96BF">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06C2B">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123A">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CE878">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6C268">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F75E">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F2A4E">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61712">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金额</w:t>
            </w:r>
          </w:p>
        </w:tc>
      </w:tr>
      <w:tr w14:paraId="74CFAAF1">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BF3D8">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1737B">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14C36">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F4BDE">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58E8A">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8924D">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CCE04">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49FF6">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85750">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rPr>
                <w:rFonts w:hint="default" w:cs="宋体"/>
                <w:b/>
                <w:color w:val="000000"/>
                <w:sz w:val="18"/>
                <w:szCs w:val="18"/>
              </w:rPr>
            </w:pPr>
          </w:p>
        </w:tc>
      </w:tr>
      <w:tr w14:paraId="1A2636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37A2">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0AF8">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B48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857.37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68B4">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2D53">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DDC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FA11">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B436">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BC5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u w:color="auto"/>
              </w:rPr>
              <w:t xml:space="preserve"> </w:t>
            </w:r>
          </w:p>
        </w:tc>
      </w:tr>
      <w:tr w14:paraId="20FAFF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F86C">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A93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E49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06DC">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BAB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DD5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443B">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186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房屋建筑物</w:t>
            </w:r>
            <w:bookmarkStart w:id="0" w:name="_GoBack"/>
            <w:r>
              <w:rPr>
                <w:rFonts w:cs="宋体"/>
                <w:color w:val="000000"/>
                <w:sz w:val="18"/>
                <w:szCs w:val="18"/>
              </w:rPr>
              <w:t>购建</w:t>
            </w:r>
            <w:bookmarkEnd w:id="0"/>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266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D34B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7F6C">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EC7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374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0085">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FFC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0D1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D1D8">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13A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FE7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u w:color="auto"/>
              </w:rPr>
              <w:t xml:space="preserve"> </w:t>
            </w:r>
          </w:p>
        </w:tc>
      </w:tr>
      <w:tr w14:paraId="1F3229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B972">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C23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F44C">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B87B">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BAC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F6F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320A">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05A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062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5A77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0C12">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50C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BE4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E377">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6F6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353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344D">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98C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6E0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AD91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1C2D">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8E8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AF1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0A90">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BBF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F25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37A0">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FFD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0C7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B0B3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928C">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F13C">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80C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0EC7">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141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CC7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698F">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006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EF9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C3BD1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B4C1">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810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068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CA08">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CAF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B16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9681">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65BC">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BA4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5D5D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3000">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7E1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E04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B92A">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BE3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65F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205F">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C66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8D1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AA56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3D67">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CBD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D0F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68E9">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8F5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C27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26D9">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D03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4EF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523C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6259">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9B8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8D2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9F68">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AB2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B1F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26E7">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691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914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9BDD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7F8A">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E07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101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1CFA">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0A0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270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BBC8">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0AB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2D6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9CB1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914A">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81F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EE5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838A">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1E0C">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5BA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F9A1">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940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279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43DA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8E74">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A49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B98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BA88">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E88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D67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ADC3">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40C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B2D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0035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6F4B">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B5E5">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437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8DAE">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86D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DFA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28B7">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690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C14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E8B7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98BF">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FF2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979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D825">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B4B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FCD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B331">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CCB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61A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95C5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74F7">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ABD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452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90D5">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8CE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4D4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D2FE">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755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4BC0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F02B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4E63">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D81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4CB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1746">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6D3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0DE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52D8">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B64E">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54A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0373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CBB3">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F93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94D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94DA">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F0D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D02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BDAE">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C88C">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693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687E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A19B">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0FBC">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AF9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DF52">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275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8C1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2D36">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D29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9EF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01AC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410F">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D9B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580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EE8B">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5C1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73F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A673">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131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856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249E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093B">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D52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336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91AF">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871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3C2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783C">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4E2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5D4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2909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804C">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9A9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A4D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A41B">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D84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14C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29F4">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374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693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5321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084D">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C54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0A0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A0C7">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928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C80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DA23">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6D2C">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645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CE0AA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E782">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890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ECD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A0B6">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B97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C0D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DCC4">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B8D2">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92D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DD5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9AB5">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C21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F6B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0601">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7EF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D93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F748">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DEB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B1D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D5CF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0671">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3A1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802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130C">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5F6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F29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8DF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853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291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C27D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F6F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F74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D4967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C3A2">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ED9A">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4C8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4495">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C49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B49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45C6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B95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9F5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063A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301D">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702E">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988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F138">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8B6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FC2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9E25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AB1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1F5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5E27C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9C94">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714C">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9E1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8FD8">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0BE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A33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5A62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262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2D4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5C66B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59FB">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9AC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2AC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45B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8FF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487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rPr>
                <w:rFonts w:hint="default" w:ascii="Times New Roman" w:hAnsi="Times New Roman"/>
                <w:color w:val="000000"/>
                <w:sz w:val="18"/>
                <w:szCs w:val="18"/>
              </w:rPr>
            </w:pPr>
          </w:p>
        </w:tc>
      </w:tr>
      <w:tr w14:paraId="346BBB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AF7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001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3390C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F779">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EE0D">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A72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59E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6C8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E08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rPr>
                <w:rFonts w:hint="default" w:ascii="Times New Roman" w:hAnsi="Times New Roman"/>
                <w:color w:val="000000"/>
                <w:sz w:val="18"/>
                <w:szCs w:val="18"/>
              </w:rPr>
            </w:pPr>
          </w:p>
        </w:tc>
      </w:tr>
      <w:tr w14:paraId="6B44D094">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2C6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715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01B03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E827">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DF20">
            <w:pPr>
              <w:keepNext w:val="0"/>
              <w:keepLines w:val="0"/>
              <w:pageBreakBefore w:val="0"/>
              <w:widowControl/>
              <w:kinsoku/>
              <w:wordWrap/>
              <w:overflowPunct/>
              <w:topLinePunct w:val="0"/>
              <w:autoSpaceDE/>
              <w:autoSpaceDN/>
              <w:bidi w:val="0"/>
              <w:adjustRightInd/>
              <w:snapToGrid/>
              <w:spacing w:line="400" w:lineRule="exact"/>
              <w:ind w:right="0" w:rightChars="0"/>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9B7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A6F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A1F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FF4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rPr>
                <w:rFonts w:hint="default" w:ascii="Times New Roman" w:hAnsi="Times New Roman"/>
                <w:color w:val="000000"/>
                <w:sz w:val="18"/>
                <w:szCs w:val="18"/>
              </w:rPr>
            </w:pPr>
          </w:p>
        </w:tc>
      </w:tr>
      <w:tr w14:paraId="1DE2D726">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E2C9">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88815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907.41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77F68">
            <w:pPr>
              <w:keepNext w:val="0"/>
              <w:keepLines w:val="0"/>
              <w:pageBreakBefore w:val="0"/>
              <w:widowControl/>
              <w:kinsoku/>
              <w:wordWrap/>
              <w:overflowPunct/>
              <w:topLinePunct w:val="0"/>
              <w:autoSpaceDE/>
              <w:autoSpaceDN/>
              <w:bidi w:val="0"/>
              <w:adjustRightInd/>
              <w:snapToGrid/>
              <w:spacing w:line="400" w:lineRule="exact"/>
              <w:ind w:left="0" w:right="0" w:rightChars="0" w:firstLine="361" w:firstLineChars="200"/>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6CFC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146.96</w:t>
            </w:r>
            <w:r>
              <w:rPr>
                <w:rFonts w:ascii="Times New Roman" w:hAnsi="Times New Roman"/>
                <w:color w:val="000000"/>
                <w:sz w:val="18"/>
                <w:u w:color="auto"/>
              </w:rPr>
              <w:t xml:space="preserve"> </w:t>
            </w:r>
          </w:p>
        </w:tc>
      </w:tr>
    </w:tbl>
    <w:p w14:paraId="5574A8AD">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205"/>
        <w:gridCol w:w="3281"/>
        <w:gridCol w:w="1553"/>
        <w:gridCol w:w="1553"/>
        <w:gridCol w:w="1553"/>
        <w:gridCol w:w="1553"/>
        <w:gridCol w:w="1611"/>
        <w:gridCol w:w="1679"/>
      </w:tblGrid>
      <w:tr w14:paraId="20D9357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ABA2C0F">
            <w:pPr>
              <w:keepNext w:val="0"/>
              <w:keepLines w:val="0"/>
              <w:pageBreakBefore w:val="0"/>
              <w:widowControl/>
              <w:kinsoku/>
              <w:overflowPunct/>
              <w:topLinePunct w:val="0"/>
              <w:autoSpaceDE/>
              <w:autoSpaceDN/>
              <w:bidi w:val="0"/>
              <w:adjustRightInd/>
              <w:snapToGrid/>
              <w:spacing w:line="400" w:lineRule="exact"/>
              <w:ind w:left="0" w:right="0" w:rightChars="0" w:firstLine="643" w:firstLineChars="20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CC669A6">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8073A22">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丰都县交通运输综合行政执法支队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5EF3914C">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2563DD">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2A4320">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93DA2B6">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F5FD02B">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C1093E6">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094A8CA">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84C558">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195C4E">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EEF91E">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7807837">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7B77050">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66965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8F9B5">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933922">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74421">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BC3117">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C392">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年末结转和结余</w:t>
            </w:r>
          </w:p>
        </w:tc>
      </w:tr>
      <w:tr w14:paraId="268C8F2A">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B072E">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A7845">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A892D1">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E900">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A3CD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66455">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DF598">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4F373">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4C61F90B">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9CF62">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0318">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1CB2E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17499">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D0BD3">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35FB7">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BDDE0">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F6E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12F4B4E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A17A">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7B16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E1AEF5">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36497">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6DE9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D97AC">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76596">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A7F32">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35E90893">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5FC4D">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B76EE">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2E1D1">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DAE39">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14C05">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8F22D">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D4731">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BBFA09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4464">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2A27B">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05610">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DC815">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8F5CF">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F8335">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5FFF6">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0D77F">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1D1AA10">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17AB437">
      <w:pPr>
        <w:keepNext w:val="0"/>
        <w:keepLines w:val="0"/>
        <w:pageBreakBefore w:val="0"/>
        <w:widowControl/>
        <w:kinsoku/>
        <w:overflowPunct/>
        <w:topLinePunct w:val="0"/>
        <w:autoSpaceDE/>
        <w:autoSpaceDN/>
        <w:bidi w:val="0"/>
        <w:adjustRightInd/>
        <w:snapToGrid/>
        <w:spacing w:line="400" w:lineRule="exact"/>
        <w:ind w:left="0" w:right="0" w:rightChars="0" w:firstLine="420" w:firstLineChars="200"/>
        <w:rPr>
          <w:rFonts w:hint="default" w:cs="宋体"/>
          <w:sz w:val="21"/>
          <w:szCs w:val="21"/>
        </w:rPr>
      </w:pP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180"/>
        <w:gridCol w:w="3301"/>
        <w:gridCol w:w="2988"/>
        <w:gridCol w:w="173"/>
        <w:gridCol w:w="3161"/>
        <w:gridCol w:w="79"/>
        <w:gridCol w:w="3105"/>
      </w:tblGrid>
      <w:tr w14:paraId="4CD16E8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EE14713">
            <w:pPr>
              <w:keepNext w:val="0"/>
              <w:keepLines w:val="0"/>
              <w:pageBreakBefore w:val="0"/>
              <w:widowControl/>
              <w:kinsoku/>
              <w:overflowPunct/>
              <w:topLinePunct w:val="0"/>
              <w:autoSpaceDE/>
              <w:autoSpaceDN/>
              <w:bidi w:val="0"/>
              <w:adjustRightInd/>
              <w:snapToGrid/>
              <w:spacing w:line="400" w:lineRule="exact"/>
              <w:ind w:left="0" w:right="0" w:rightChars="0" w:firstLine="643" w:firstLineChars="20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BB6ACF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1675F02">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丰都县交通运输综合行政执法支队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E170205">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D4D5FCA">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03B475D">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7827F91">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1D64E72">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DBCB654">
            <w:pPr>
              <w:keepNext w:val="0"/>
              <w:keepLines w:val="0"/>
              <w:pageBreakBefore w:val="0"/>
              <w:widowControl/>
              <w:kinsoku/>
              <w:wordWrap/>
              <w:overflowPunct/>
              <w:topLinePunct w:val="0"/>
              <w:autoSpaceDE/>
              <w:autoSpaceDN/>
              <w:bidi w:val="0"/>
              <w:adjustRightInd/>
              <w:snapToGrid/>
              <w:spacing w:line="400" w:lineRule="exact"/>
              <w:ind w:left="0" w:right="0" w:rightChars="0"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ED44EB">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D0F30E">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912DFF">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bottom"/>
              <w:rPr>
                <w:rFonts w:hint="default" w:cs="宋体"/>
                <w:b/>
                <w:color w:val="000000"/>
                <w:sz w:val="20"/>
                <w:szCs w:val="20"/>
              </w:rPr>
            </w:pPr>
            <w:r>
              <w:rPr>
                <w:rFonts w:cs="宋体"/>
                <w:b/>
                <w:color w:val="000000"/>
                <w:sz w:val="20"/>
                <w:szCs w:val="20"/>
              </w:rPr>
              <w:t>本年支出</w:t>
            </w:r>
          </w:p>
        </w:tc>
      </w:tr>
      <w:tr w14:paraId="51C0231A">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27E98">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3C2A1">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02B6">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4FBBE">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157D2">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项目支出</w:t>
            </w:r>
          </w:p>
        </w:tc>
      </w:tr>
      <w:tr w14:paraId="54B72218">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930F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7AA28">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44323">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3FFC0">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BEE0E">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1B1BC40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D9257">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F7663">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0D46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EC836">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EB813">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666F19B5">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483FA">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F7F03">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54F1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BDCE3">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5C334">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rPr>
                <w:rFonts w:hint="default" w:cs="宋体"/>
                <w:b/>
                <w:color w:val="000000"/>
                <w:sz w:val="20"/>
                <w:szCs w:val="20"/>
              </w:rPr>
            </w:pPr>
          </w:p>
        </w:tc>
      </w:tr>
      <w:tr w14:paraId="4819F7DD">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B577B">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F19C5">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D6452">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37B1E">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4A370F5">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F173">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21456">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85CE">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A5498">
            <w:pPr>
              <w:keepNext w:val="0"/>
              <w:keepLines w:val="0"/>
              <w:pageBreakBefore w:val="0"/>
              <w:widowControl/>
              <w:kinsoku/>
              <w:overflowPunct/>
              <w:topLinePunct w:val="0"/>
              <w:autoSpaceDE/>
              <w:autoSpaceDN/>
              <w:bidi w:val="0"/>
              <w:adjustRightInd/>
              <w:snapToGrid/>
              <w:spacing w:line="400" w:lineRule="exact"/>
              <w:ind w:left="0" w:right="0" w:rightChars="0" w:firstLine="402" w:firstLineChars="200"/>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1C2B1">
            <w:pPr>
              <w:keepNext w:val="0"/>
              <w:keepLines w:val="0"/>
              <w:pageBreakBefore w:val="0"/>
              <w:widowControl/>
              <w:kinsoku/>
              <w:wordWrap w:val="0"/>
              <w:overflowPunct/>
              <w:topLinePunct w:val="0"/>
              <w:autoSpaceDE/>
              <w:autoSpaceDN/>
              <w:bidi w:val="0"/>
              <w:adjustRightInd/>
              <w:snapToGrid/>
              <w:spacing w:line="400" w:lineRule="exact"/>
              <w:ind w:left="0" w:right="0" w:rightChars="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95E5B85">
      <w:pPr>
        <w:keepNext w:val="0"/>
        <w:keepLines w:val="0"/>
        <w:pageBreakBefore w:val="0"/>
        <w:widowControl/>
        <w:kinsoku/>
        <w:overflowPunct/>
        <w:topLinePunct w:val="0"/>
        <w:autoSpaceDE/>
        <w:autoSpaceDN/>
        <w:bidi w:val="0"/>
        <w:adjustRightInd/>
        <w:snapToGrid/>
        <w:spacing w:line="400" w:lineRule="exact"/>
        <w:ind w:left="0" w:right="0" w:rightChars="0" w:firstLine="400" w:firstLineChars="20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82CD708">
      <w:pPr>
        <w:keepNext w:val="0"/>
        <w:keepLines w:val="0"/>
        <w:pageBreakBefore w:val="0"/>
        <w:widowControl/>
        <w:kinsoku/>
        <w:overflowPunct/>
        <w:topLinePunct w:val="0"/>
        <w:autoSpaceDE/>
        <w:autoSpaceDN/>
        <w:bidi w:val="0"/>
        <w:adjustRightInd/>
        <w:snapToGrid/>
        <w:spacing w:line="400" w:lineRule="exact"/>
        <w:ind w:left="0" w:right="0" w:rightChars="0" w:firstLine="420" w:firstLineChars="200"/>
        <w:rPr>
          <w:rFonts w:hint="default" w:cs="宋体"/>
          <w:sz w:val="21"/>
          <w:szCs w:val="21"/>
        </w:rPr>
      </w:pPr>
      <w:r>
        <w:rPr>
          <w:rFonts w:hint="default" w:cs="宋体"/>
          <w:sz w:val="21"/>
          <w:szCs w:val="21"/>
        </w:rPr>
        <w:br w:type="page"/>
      </w:r>
    </w:p>
    <w:tbl>
      <w:tblPr>
        <w:tblStyle w:val="11"/>
        <w:tblW w:w="4611" w:type="pct"/>
        <w:tblInd w:w="0" w:type="dxa"/>
        <w:tblLayout w:type="fixed"/>
        <w:tblCellMar>
          <w:top w:w="0" w:type="dxa"/>
          <w:left w:w="170" w:type="dxa"/>
          <w:bottom w:w="0" w:type="dxa"/>
          <w:right w:w="170" w:type="dxa"/>
        </w:tblCellMar>
      </w:tblPr>
      <w:tblGrid>
        <w:gridCol w:w="2902"/>
        <w:gridCol w:w="2206"/>
        <w:gridCol w:w="2168"/>
        <w:gridCol w:w="3354"/>
        <w:gridCol w:w="2270"/>
      </w:tblGrid>
      <w:tr w14:paraId="4D07D3C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BB40A6D">
            <w:pPr>
              <w:keepNext w:val="0"/>
              <w:keepLines w:val="0"/>
              <w:pageBreakBefore w:val="0"/>
              <w:widowControl/>
              <w:kinsoku/>
              <w:overflowPunct/>
              <w:topLinePunct w:val="0"/>
              <w:autoSpaceDE/>
              <w:autoSpaceDN/>
              <w:bidi w:val="0"/>
              <w:adjustRightInd/>
              <w:snapToGrid/>
              <w:spacing w:line="400" w:lineRule="exact"/>
              <w:ind w:left="0" w:right="0" w:rightChars="0" w:firstLine="643" w:firstLineChars="200"/>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E6109F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A552DF8">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30B045D">
            <w:pPr>
              <w:keepNext w:val="0"/>
              <w:keepLines w:val="0"/>
              <w:pageBreakBefore w:val="0"/>
              <w:widowControl/>
              <w:kinsoku/>
              <w:overflowPunct/>
              <w:topLinePunct w:val="0"/>
              <w:autoSpaceDN/>
              <w:bidi w:val="0"/>
              <w:adjustRightInd/>
              <w:snapToGrid/>
              <w:spacing w:line="400" w:lineRule="exact"/>
              <w:ind w:left="0" w:right="0" w:rightChars="0" w:firstLine="400" w:firstLineChars="200"/>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D3C6B86">
            <w:pPr>
              <w:keepNext w:val="0"/>
              <w:keepLines w:val="0"/>
              <w:pageBreakBefore w:val="0"/>
              <w:widowControl/>
              <w:kinsoku/>
              <w:overflowPunct/>
              <w:topLinePunct w:val="0"/>
              <w:autoSpaceDN/>
              <w:bidi w:val="0"/>
              <w:adjustRightInd/>
              <w:snapToGrid/>
              <w:spacing w:line="400" w:lineRule="exact"/>
              <w:ind w:left="0" w:right="0" w:rightChars="0" w:firstLine="400" w:firstLineChars="200"/>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99F9B68">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EC651AF">
            <w:pPr>
              <w:keepNext w:val="0"/>
              <w:keepLines w:val="0"/>
              <w:pageBreakBefore w:val="0"/>
              <w:widowControl/>
              <w:kinsoku/>
              <w:overflowPunct/>
              <w:topLinePunct w:val="0"/>
              <w:autoSpaceDN/>
              <w:bidi w:val="0"/>
              <w:adjustRightInd/>
              <w:snapToGrid/>
              <w:spacing w:line="400" w:lineRule="exact"/>
              <w:ind w:left="0" w:right="0" w:rightChars="0" w:firstLine="400" w:firstLineChars="200"/>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6B1E4E8">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22AD1DB">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丰都县交通运输综合行政执法支队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CAF46F0">
            <w:pPr>
              <w:keepNext w:val="0"/>
              <w:keepLines w:val="0"/>
              <w:pageBreakBefore w:val="0"/>
              <w:widowControl/>
              <w:kinsoku/>
              <w:overflowPunct/>
              <w:topLinePunct w:val="0"/>
              <w:autoSpaceDN/>
              <w:bidi w:val="0"/>
              <w:adjustRightInd/>
              <w:snapToGrid/>
              <w:spacing w:line="400" w:lineRule="exact"/>
              <w:ind w:left="0" w:right="0" w:rightChars="0" w:firstLine="400" w:firstLineChars="200"/>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B2300D2">
            <w:pPr>
              <w:keepNext w:val="0"/>
              <w:keepLines w:val="0"/>
              <w:pageBreakBefore w:val="0"/>
              <w:widowControl/>
              <w:kinsoku/>
              <w:overflowPunct/>
              <w:topLinePunct w:val="0"/>
              <w:autoSpaceDN/>
              <w:bidi w:val="0"/>
              <w:adjustRightInd/>
              <w:snapToGrid/>
              <w:spacing w:line="400" w:lineRule="exact"/>
              <w:ind w:left="0" w:right="0" w:rightChars="0" w:firstLine="400" w:firstLineChars="200"/>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C5C0911">
            <w:pPr>
              <w:keepNext w:val="0"/>
              <w:keepLines w:val="0"/>
              <w:pageBreakBefore w:val="0"/>
              <w:widowControl/>
              <w:kinsoku/>
              <w:overflowPunct/>
              <w:topLinePunct w:val="0"/>
              <w:autoSpaceDN/>
              <w:bidi w:val="0"/>
              <w:adjustRightInd/>
              <w:snapToGrid/>
              <w:spacing w:line="400" w:lineRule="exact"/>
              <w:ind w:left="0" w:right="0" w:rightChars="0" w:firstLine="400" w:firstLineChars="200"/>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6344B6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43FB4">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C5C6F1">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F9915">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A947B">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D4D02">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jc w:val="center"/>
              <w:textAlignment w:val="center"/>
              <w:rPr>
                <w:rFonts w:hint="default" w:cs="宋体"/>
                <w:b/>
                <w:color w:val="000000"/>
                <w:kern w:val="2"/>
                <w:sz w:val="16"/>
                <w:szCs w:val="16"/>
              </w:rPr>
            </w:pPr>
            <w:r>
              <w:rPr>
                <w:rFonts w:cs="宋体"/>
                <w:b/>
                <w:color w:val="000000"/>
                <w:kern w:val="2"/>
                <w:sz w:val="16"/>
                <w:szCs w:val="16"/>
              </w:rPr>
              <w:t>决算数</w:t>
            </w:r>
          </w:p>
        </w:tc>
      </w:tr>
      <w:tr w14:paraId="6E016C9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FCE94">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88E1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9A28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AF5CC">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B71A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C767B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4980A">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9B6D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30.49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C8232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30.49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EE3A7">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BB343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D76C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F7650">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8631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E018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EF121">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621B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6C73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E1C0A">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64D9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29.70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6FF2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1C70D">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6D4E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071F6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8ECF9">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08844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21F42">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F4A540">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3665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w:t>
            </w:r>
            <w:r>
              <w:rPr>
                <w:rFonts w:ascii="Times New Roman" w:hAnsi="Times New Roman"/>
                <w:color w:val="000000"/>
                <w:sz w:val="18"/>
                <w:u w:color="auto"/>
              </w:rPr>
              <w:t xml:space="preserve"> </w:t>
            </w:r>
          </w:p>
        </w:tc>
      </w:tr>
      <w:tr w14:paraId="196A8C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662DB">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0313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29.70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A638B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777FE">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BF65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93A2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7FE4A">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5F5CB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20E2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B9F1F">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E11EC">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09AD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CE945">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2A0F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AC72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6F6D8">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9395F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8F99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CDD7E">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E8CF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8528C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DA2EA0">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6823E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430E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9A636">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81EE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53AF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D8076">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11DA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0E9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2E563">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D235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4A1D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A2460">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1EB58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w:t>
            </w:r>
            <w:r>
              <w:rPr>
                <w:rFonts w:ascii="Times New Roman" w:hAnsi="Times New Roman"/>
                <w:color w:val="000000"/>
                <w:sz w:val="18"/>
                <w:u w:color="auto"/>
              </w:rPr>
              <w:t xml:space="preserve"> </w:t>
            </w:r>
          </w:p>
        </w:tc>
      </w:tr>
      <w:tr w14:paraId="41FE3E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01A64">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4F2E1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20E9D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D7D94">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4DCF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8124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58FA5">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BBD6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D95D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FBA78">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A986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8E03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AE94F">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09BB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05653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F3564">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44CFF">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186CF3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27B8AA">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56AE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9D429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FED74">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4642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1B5DD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307DA">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6EC38">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532AB9">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60C11">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39E2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5CE9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209FA">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856B0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A8B7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8AA4B">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051B1">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C027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6000F">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2887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23834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F0ADC0">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01C37">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57EA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6DBA5">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C2BFD">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5B45D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A5246">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6BBE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BA29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752AB">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81F9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26F34">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D11EB">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3592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A0871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D12FE">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2A54E">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B40BB5">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E9FE6">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F6A16">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E3267F">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DE77B">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638A3">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B375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E8731">
            <w:pPr>
              <w:keepNext w:val="0"/>
              <w:keepLines w:val="0"/>
              <w:pageBreakBefore w:val="0"/>
              <w:widowControl/>
              <w:kinsoku/>
              <w:wordWrap/>
              <w:overflowPunct/>
              <w:topLinePunct w:val="0"/>
              <w:autoSpaceDE/>
              <w:autoSpaceDN/>
              <w:bidi w:val="0"/>
              <w:adjustRightInd/>
              <w:snapToGrid/>
              <w:spacing w:line="400" w:lineRule="exact"/>
              <w:ind w:left="0" w:right="0" w:rightChars="0" w:firstLine="320" w:firstLineChars="200"/>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196EEB">
            <w:pPr>
              <w:keepNext w:val="0"/>
              <w:keepLines w:val="0"/>
              <w:pageBreakBefore w:val="0"/>
              <w:widowControl/>
              <w:kinsoku/>
              <w:wordWrap/>
              <w:overflowPunct/>
              <w:topLinePunct w:val="0"/>
              <w:autoSpaceDE/>
              <w:autoSpaceDN/>
              <w:bidi w:val="0"/>
              <w:adjustRightInd/>
              <w:snapToGrid/>
              <w:spacing w:line="400" w:lineRule="exact"/>
              <w:ind w:left="0" w:right="0" w:rightChars="0" w:firstLine="320" w:firstLineChars="200"/>
              <w:jc w:val="right"/>
              <w:rPr>
                <w:rFonts w:hint="default" w:cs="宋体"/>
                <w:color w:val="000000"/>
                <w:kern w:val="2"/>
                <w:sz w:val="16"/>
                <w:szCs w:val="16"/>
              </w:rPr>
            </w:pPr>
          </w:p>
        </w:tc>
      </w:tr>
      <w:tr w14:paraId="5307EB1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DD8E0">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148E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1F530">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B76A">
            <w:pPr>
              <w:keepNext w:val="0"/>
              <w:keepLines w:val="0"/>
              <w:pageBreakBefore w:val="0"/>
              <w:widowControl/>
              <w:kinsoku/>
              <w:wordWrap/>
              <w:overflowPunct/>
              <w:topLinePunct w:val="0"/>
              <w:autoSpaceDE/>
              <w:autoSpaceDN/>
              <w:bidi w:val="0"/>
              <w:adjustRightInd/>
              <w:snapToGrid/>
              <w:spacing w:line="400" w:lineRule="exact"/>
              <w:ind w:left="0" w:right="0" w:rightChars="0" w:firstLine="320" w:firstLineChars="200"/>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863C5">
            <w:pPr>
              <w:keepNext w:val="0"/>
              <w:keepLines w:val="0"/>
              <w:pageBreakBefore w:val="0"/>
              <w:widowControl/>
              <w:kinsoku/>
              <w:wordWrap/>
              <w:overflowPunct/>
              <w:topLinePunct w:val="0"/>
              <w:autoSpaceDE/>
              <w:autoSpaceDN/>
              <w:bidi w:val="0"/>
              <w:adjustRightInd/>
              <w:snapToGrid/>
              <w:spacing w:line="400" w:lineRule="exact"/>
              <w:ind w:left="0" w:right="0" w:rightChars="0" w:firstLine="320" w:firstLineChars="200"/>
              <w:jc w:val="right"/>
              <w:rPr>
                <w:rFonts w:hint="default" w:cs="宋体"/>
                <w:color w:val="000000"/>
                <w:kern w:val="2"/>
                <w:sz w:val="16"/>
                <w:szCs w:val="16"/>
              </w:rPr>
            </w:pPr>
          </w:p>
        </w:tc>
      </w:tr>
      <w:tr w14:paraId="235D0B0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02359">
            <w:pPr>
              <w:keepNext w:val="0"/>
              <w:keepLines w:val="0"/>
              <w:pageBreakBefore w:val="0"/>
              <w:widowControl/>
              <w:kinsoku/>
              <w:wordWrap/>
              <w:overflowPunct/>
              <w:topLinePunct w:val="0"/>
              <w:autoSpaceDE/>
              <w:autoSpaceDN/>
              <w:bidi w:val="0"/>
              <w:adjustRightInd/>
              <w:snapToGrid/>
              <w:spacing w:line="400" w:lineRule="exact"/>
              <w:ind w:left="0" w:right="0" w:rightChars="0" w:firstLine="321" w:firstLineChars="200"/>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07F1B">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D1C9A">
            <w:pPr>
              <w:keepNext w:val="0"/>
              <w:keepLines w:val="0"/>
              <w:pageBreakBefore w:val="0"/>
              <w:widowControl/>
              <w:kinsoku/>
              <w:wordWrap/>
              <w:overflowPunct/>
              <w:topLinePunct w:val="0"/>
              <w:autoSpaceDE/>
              <w:autoSpaceDN/>
              <w:bidi w:val="0"/>
              <w:adjustRightInd/>
              <w:snapToGrid/>
              <w:spacing w:line="400" w:lineRule="exact"/>
              <w:ind w:left="0" w:right="0" w:rightChars="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69.53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95DD5">
            <w:pPr>
              <w:keepNext w:val="0"/>
              <w:keepLines w:val="0"/>
              <w:pageBreakBefore w:val="0"/>
              <w:widowControl/>
              <w:kinsoku/>
              <w:wordWrap/>
              <w:overflowPunct/>
              <w:topLinePunct w:val="0"/>
              <w:autoSpaceDE/>
              <w:autoSpaceDN/>
              <w:bidi w:val="0"/>
              <w:adjustRightInd/>
              <w:snapToGrid/>
              <w:spacing w:line="400" w:lineRule="exact"/>
              <w:ind w:left="0" w:right="0" w:rightChars="0" w:firstLine="320" w:firstLineChars="200"/>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640D9">
            <w:pPr>
              <w:keepNext w:val="0"/>
              <w:keepLines w:val="0"/>
              <w:pageBreakBefore w:val="0"/>
              <w:widowControl/>
              <w:kinsoku/>
              <w:wordWrap/>
              <w:overflowPunct/>
              <w:topLinePunct w:val="0"/>
              <w:autoSpaceDE/>
              <w:autoSpaceDN/>
              <w:bidi w:val="0"/>
              <w:adjustRightInd/>
              <w:snapToGrid/>
              <w:spacing w:line="400" w:lineRule="exact"/>
              <w:ind w:left="0" w:right="0" w:rightChars="0" w:firstLine="320" w:firstLineChars="200"/>
              <w:jc w:val="right"/>
              <w:rPr>
                <w:rFonts w:hint="default" w:cs="宋体"/>
                <w:color w:val="000000"/>
                <w:sz w:val="16"/>
                <w:szCs w:val="16"/>
              </w:rPr>
            </w:pPr>
          </w:p>
        </w:tc>
      </w:tr>
    </w:tbl>
    <w:p w14:paraId="7A23FE90">
      <w:pPr>
        <w:keepNext w:val="0"/>
        <w:keepLines w:val="0"/>
        <w:pageBreakBefore w:val="0"/>
        <w:widowControl/>
        <w:kinsoku/>
        <w:overflowPunct/>
        <w:topLinePunct w:val="0"/>
        <w:autoSpaceDN/>
        <w:bidi w:val="0"/>
        <w:adjustRightInd/>
        <w:snapToGrid/>
        <w:spacing w:line="400" w:lineRule="exact"/>
        <w:ind w:left="0" w:right="0" w:rightChars="0" w:firstLine="360" w:firstLineChars="200"/>
        <w:rPr>
          <w:rFonts w:hint="default" w:ascii="方正仿宋_GBK" w:hAnsi="方正仿宋_GBK" w:eastAsia="方正仿宋_GBK" w:cs="方正仿宋_GBK"/>
          <w:color w:val="FF0000"/>
          <w:sz w:val="32"/>
          <w:szCs w:val="32"/>
          <w:shd w:val="clear" w:color="auto" w:fill="FFFFFF"/>
          <w:lang w:val="en-US" w:eastAsia="zh-CN" w:bidi="ar-SA"/>
        </w:rPr>
        <w:sectPr>
          <w:footerReference r:id="rId4" w:type="default"/>
          <w:pgSz w:w="16838" w:h="11917" w:orient="landscape"/>
          <w:pgMar w:top="1803" w:right="1440" w:bottom="1803" w:left="1440" w:header="850" w:footer="992" w:gutter="0"/>
          <w:pgNumType w:fmt="decimal"/>
          <w:cols w:space="0" w:num="1"/>
          <w:rtlGutter w:val="0"/>
          <w:docGrid w:type="lines" w:linePitch="332" w:charSpace="0"/>
        </w:sect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14:paraId="4C6906A0">
      <w:pPr>
        <w:keepNext w:val="0"/>
        <w:keepLines w:val="0"/>
        <w:pageBreakBefore w:val="0"/>
        <w:widowControl/>
        <w:kinsoku/>
        <w:overflowPunct/>
        <w:topLinePunct w:val="0"/>
        <w:autoSpaceDN/>
        <w:bidi w:val="0"/>
        <w:adjustRightInd/>
        <w:snapToGrid/>
        <w:spacing w:line="400" w:lineRule="exact"/>
        <w:ind w:right="0" w:rightChars="0"/>
        <w:rPr>
          <w:rFonts w:hint="default"/>
          <w:sz w:val="18"/>
          <w:szCs w:val="18"/>
        </w:rPr>
      </w:pPr>
    </w:p>
    <w:sectPr>
      <w:headerReference r:id="rId5" w:type="default"/>
      <w:footerReference r:id="rId6" w:type="default"/>
      <w:pgSz w:w="16838" w:h="11917" w:orient="landscape"/>
      <w:pgMar w:top="1803" w:right="1440" w:bottom="1803" w:left="1440" w:header="850" w:footer="992"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3E73">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572461">
                          <w:pPr>
                            <w:pStyle w:val="6"/>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10</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5572461">
                    <w:pPr>
                      <w:pStyle w:val="6"/>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10</w:t>
                    </w:r>
                    <w:r>
                      <w:rPr>
                        <w:rFonts w:hint="default"/>
                        <w:sz w:val="28"/>
                        <w:szCs w:val="28"/>
                      </w:rPr>
                      <w:fldChar w:fldCharType="end"/>
                    </w:r>
                    <w:r>
                      <w:rPr>
                        <w:rFonts w:hint="default"/>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CFE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043995">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41043995">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EBF73">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D5A1C3">
                          <w:pPr>
                            <w:pStyle w:val="6"/>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15</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1D5A1C3">
                    <w:pPr>
                      <w:pStyle w:val="6"/>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15</w:t>
                    </w:r>
                    <w:r>
                      <w:rPr>
                        <w:rFonts w:hint="default"/>
                      </w:rPr>
                      <w:fldChar w:fldCharType="end"/>
                    </w:r>
                    <w:r>
                      <w:rPr>
                        <w:rFonts w:hint="default"/>
                      </w:rP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C7544B9">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C7544B9">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44E5B">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144FD"/>
    <w:multiLevelType w:val="singleLevel"/>
    <w:tmpl w:val="B40144FD"/>
    <w:lvl w:ilvl="0" w:tentative="0">
      <w:start w:val="1"/>
      <w:numFmt w:val="decimal"/>
      <w:lvlText w:val="%1."/>
      <w:lvlJc w:val="left"/>
      <w:pPr>
        <w:tabs>
          <w:tab w:val="left" w:pos="312"/>
        </w:tabs>
      </w:pPr>
    </w:lvl>
  </w:abstractNum>
  <w:abstractNum w:abstractNumId="1">
    <w:nsid w:val="1984FC9C"/>
    <w:multiLevelType w:val="singleLevel"/>
    <w:tmpl w:val="1984FC9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mQ2YjVhOGY5YjVkMmI5ZThiYzgwZGJiMzE2MWIifQ=="/>
  </w:docVars>
  <w:rsids>
    <w:rsidRoot w:val="00B03CCD"/>
    <w:rsid w:val="000239C6"/>
    <w:rsid w:val="000E5CAE"/>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1A37F6"/>
    <w:rsid w:val="01474EBF"/>
    <w:rsid w:val="01F3521E"/>
    <w:rsid w:val="03B87EA0"/>
    <w:rsid w:val="03CC5D27"/>
    <w:rsid w:val="03E3214F"/>
    <w:rsid w:val="044C50BA"/>
    <w:rsid w:val="04B833D3"/>
    <w:rsid w:val="05BC6D49"/>
    <w:rsid w:val="06194FF1"/>
    <w:rsid w:val="06A2550B"/>
    <w:rsid w:val="06F80EE2"/>
    <w:rsid w:val="07001CCA"/>
    <w:rsid w:val="075678DB"/>
    <w:rsid w:val="077B465F"/>
    <w:rsid w:val="07866B35"/>
    <w:rsid w:val="079D7CC7"/>
    <w:rsid w:val="08051BCA"/>
    <w:rsid w:val="086C12F4"/>
    <w:rsid w:val="08705944"/>
    <w:rsid w:val="08BA052C"/>
    <w:rsid w:val="08DB07BA"/>
    <w:rsid w:val="0969353F"/>
    <w:rsid w:val="098305D0"/>
    <w:rsid w:val="09B1218B"/>
    <w:rsid w:val="0A3317EA"/>
    <w:rsid w:val="0A5C4B69"/>
    <w:rsid w:val="0A86124A"/>
    <w:rsid w:val="0A8F1E17"/>
    <w:rsid w:val="0AAC73B7"/>
    <w:rsid w:val="0AB54CC0"/>
    <w:rsid w:val="0B877631"/>
    <w:rsid w:val="0B9335CE"/>
    <w:rsid w:val="0BF2311A"/>
    <w:rsid w:val="0C7927C4"/>
    <w:rsid w:val="0C9B098C"/>
    <w:rsid w:val="0D673E11"/>
    <w:rsid w:val="0DDA54E4"/>
    <w:rsid w:val="0DE87C01"/>
    <w:rsid w:val="0DF74BCD"/>
    <w:rsid w:val="0E3A5F83"/>
    <w:rsid w:val="0F690FAE"/>
    <w:rsid w:val="0F836721"/>
    <w:rsid w:val="0FA25D96"/>
    <w:rsid w:val="104C293D"/>
    <w:rsid w:val="107B59E5"/>
    <w:rsid w:val="10EC0126"/>
    <w:rsid w:val="10F70B9A"/>
    <w:rsid w:val="111445C7"/>
    <w:rsid w:val="114278C6"/>
    <w:rsid w:val="1158083A"/>
    <w:rsid w:val="11643A4B"/>
    <w:rsid w:val="11ED0F98"/>
    <w:rsid w:val="11F03528"/>
    <w:rsid w:val="12C921C4"/>
    <w:rsid w:val="13082AF4"/>
    <w:rsid w:val="13871C70"/>
    <w:rsid w:val="13A71CB4"/>
    <w:rsid w:val="13AF1D43"/>
    <w:rsid w:val="13CE1647"/>
    <w:rsid w:val="13FD55AB"/>
    <w:rsid w:val="140A56D8"/>
    <w:rsid w:val="14200702"/>
    <w:rsid w:val="14370EA1"/>
    <w:rsid w:val="143C4803"/>
    <w:rsid w:val="15A765F4"/>
    <w:rsid w:val="163A6CEE"/>
    <w:rsid w:val="16BC0089"/>
    <w:rsid w:val="16CE6F02"/>
    <w:rsid w:val="173708E3"/>
    <w:rsid w:val="17C374FC"/>
    <w:rsid w:val="182E4AB6"/>
    <w:rsid w:val="189079DC"/>
    <w:rsid w:val="189B0D0B"/>
    <w:rsid w:val="18B43F7C"/>
    <w:rsid w:val="191C433B"/>
    <w:rsid w:val="194A1770"/>
    <w:rsid w:val="19570331"/>
    <w:rsid w:val="19B906A4"/>
    <w:rsid w:val="1A176B5E"/>
    <w:rsid w:val="1B6F15B6"/>
    <w:rsid w:val="1BAA2EDC"/>
    <w:rsid w:val="1C8F7512"/>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C718F8"/>
    <w:rsid w:val="21556F04"/>
    <w:rsid w:val="22302600"/>
    <w:rsid w:val="22403BD3"/>
    <w:rsid w:val="22AD3177"/>
    <w:rsid w:val="235417B6"/>
    <w:rsid w:val="240D25B7"/>
    <w:rsid w:val="24413C57"/>
    <w:rsid w:val="24B92327"/>
    <w:rsid w:val="24C14514"/>
    <w:rsid w:val="2533755C"/>
    <w:rsid w:val="25791755"/>
    <w:rsid w:val="260A11D4"/>
    <w:rsid w:val="26396DF4"/>
    <w:rsid w:val="26887D7C"/>
    <w:rsid w:val="27167136"/>
    <w:rsid w:val="271B442C"/>
    <w:rsid w:val="27B23302"/>
    <w:rsid w:val="27E9569E"/>
    <w:rsid w:val="284657F9"/>
    <w:rsid w:val="29310A5F"/>
    <w:rsid w:val="29397EA9"/>
    <w:rsid w:val="29C37A35"/>
    <w:rsid w:val="29CD6E62"/>
    <w:rsid w:val="2A076083"/>
    <w:rsid w:val="2A550AB2"/>
    <w:rsid w:val="2A73162E"/>
    <w:rsid w:val="2B167953"/>
    <w:rsid w:val="2B200583"/>
    <w:rsid w:val="2B2729C0"/>
    <w:rsid w:val="2B8209DE"/>
    <w:rsid w:val="2B821C91"/>
    <w:rsid w:val="2BF81A22"/>
    <w:rsid w:val="2C636760"/>
    <w:rsid w:val="2C6762A3"/>
    <w:rsid w:val="2CE274DE"/>
    <w:rsid w:val="2D197980"/>
    <w:rsid w:val="2FCA4B37"/>
    <w:rsid w:val="2FD21863"/>
    <w:rsid w:val="2FE029D7"/>
    <w:rsid w:val="2FF06E00"/>
    <w:rsid w:val="30586FEC"/>
    <w:rsid w:val="308F4D23"/>
    <w:rsid w:val="315F0B22"/>
    <w:rsid w:val="31A15828"/>
    <w:rsid w:val="31D84415"/>
    <w:rsid w:val="32285F6F"/>
    <w:rsid w:val="324337FF"/>
    <w:rsid w:val="32770556"/>
    <w:rsid w:val="32940347"/>
    <w:rsid w:val="329C0913"/>
    <w:rsid w:val="32AA0460"/>
    <w:rsid w:val="3337290D"/>
    <w:rsid w:val="33482D6D"/>
    <w:rsid w:val="33B75806"/>
    <w:rsid w:val="33E31118"/>
    <w:rsid w:val="33EF7674"/>
    <w:rsid w:val="342D7BC6"/>
    <w:rsid w:val="34A120D6"/>
    <w:rsid w:val="352930DB"/>
    <w:rsid w:val="35573069"/>
    <w:rsid w:val="355F6038"/>
    <w:rsid w:val="357F67EE"/>
    <w:rsid w:val="358C217E"/>
    <w:rsid w:val="36C9128A"/>
    <w:rsid w:val="37841E99"/>
    <w:rsid w:val="37BF1123"/>
    <w:rsid w:val="383C3F15"/>
    <w:rsid w:val="38BE4696"/>
    <w:rsid w:val="38C509BB"/>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8666B4"/>
    <w:rsid w:val="3CC13740"/>
    <w:rsid w:val="3CEF4259"/>
    <w:rsid w:val="3D083B3A"/>
    <w:rsid w:val="3D2757A1"/>
    <w:rsid w:val="3D3D4FC4"/>
    <w:rsid w:val="3DDF3AB1"/>
    <w:rsid w:val="3E1D0952"/>
    <w:rsid w:val="3E42660A"/>
    <w:rsid w:val="3E7555B1"/>
    <w:rsid w:val="3E787ED9"/>
    <w:rsid w:val="3F012022"/>
    <w:rsid w:val="3F032E93"/>
    <w:rsid w:val="3F0527E5"/>
    <w:rsid w:val="3F4C52C6"/>
    <w:rsid w:val="3F694D83"/>
    <w:rsid w:val="3F885DCC"/>
    <w:rsid w:val="3FCD675E"/>
    <w:rsid w:val="4004000C"/>
    <w:rsid w:val="40760DD1"/>
    <w:rsid w:val="40BD5482"/>
    <w:rsid w:val="410D73A4"/>
    <w:rsid w:val="411B6CE5"/>
    <w:rsid w:val="412070D7"/>
    <w:rsid w:val="41314E40"/>
    <w:rsid w:val="41E0734B"/>
    <w:rsid w:val="425732AF"/>
    <w:rsid w:val="426C1EA8"/>
    <w:rsid w:val="42736402"/>
    <w:rsid w:val="42E86A87"/>
    <w:rsid w:val="43307B09"/>
    <w:rsid w:val="43525542"/>
    <w:rsid w:val="439A3EB9"/>
    <w:rsid w:val="43BB152F"/>
    <w:rsid w:val="44C37687"/>
    <w:rsid w:val="450A544D"/>
    <w:rsid w:val="45A33E32"/>
    <w:rsid w:val="45CB699A"/>
    <w:rsid w:val="46423C66"/>
    <w:rsid w:val="465B470D"/>
    <w:rsid w:val="469D6AD4"/>
    <w:rsid w:val="46EA0933"/>
    <w:rsid w:val="47047F10"/>
    <w:rsid w:val="47114D2E"/>
    <w:rsid w:val="471E6C84"/>
    <w:rsid w:val="4748792B"/>
    <w:rsid w:val="475D719D"/>
    <w:rsid w:val="47674801"/>
    <w:rsid w:val="48225EF7"/>
    <w:rsid w:val="488F422B"/>
    <w:rsid w:val="48E36915"/>
    <w:rsid w:val="48EB6572"/>
    <w:rsid w:val="495C4A24"/>
    <w:rsid w:val="497135DF"/>
    <w:rsid w:val="4A263DF2"/>
    <w:rsid w:val="4A2F278B"/>
    <w:rsid w:val="4A6F6675"/>
    <w:rsid w:val="4AAF6A84"/>
    <w:rsid w:val="4B135857"/>
    <w:rsid w:val="4B7951CB"/>
    <w:rsid w:val="4B7C315C"/>
    <w:rsid w:val="4D1F53CA"/>
    <w:rsid w:val="4DAC4ACA"/>
    <w:rsid w:val="4DAD545E"/>
    <w:rsid w:val="4DBE01D2"/>
    <w:rsid w:val="4E370198"/>
    <w:rsid w:val="4EFD467F"/>
    <w:rsid w:val="4F0C6BA3"/>
    <w:rsid w:val="4F186D58"/>
    <w:rsid w:val="4FFE7F08"/>
    <w:rsid w:val="504B6EAA"/>
    <w:rsid w:val="509627BE"/>
    <w:rsid w:val="50F06B6E"/>
    <w:rsid w:val="51064DCD"/>
    <w:rsid w:val="51D21804"/>
    <w:rsid w:val="5215288B"/>
    <w:rsid w:val="52234D33"/>
    <w:rsid w:val="522F6E0C"/>
    <w:rsid w:val="52463BA1"/>
    <w:rsid w:val="52F163D4"/>
    <w:rsid w:val="531A2DB4"/>
    <w:rsid w:val="538F10DC"/>
    <w:rsid w:val="53C0244D"/>
    <w:rsid w:val="53DD4D4E"/>
    <w:rsid w:val="53E578CE"/>
    <w:rsid w:val="541330F0"/>
    <w:rsid w:val="541F321E"/>
    <w:rsid w:val="54272666"/>
    <w:rsid w:val="543B029D"/>
    <w:rsid w:val="54861779"/>
    <w:rsid w:val="55084A4C"/>
    <w:rsid w:val="552256E1"/>
    <w:rsid w:val="554A79C4"/>
    <w:rsid w:val="554E5773"/>
    <w:rsid w:val="555829E0"/>
    <w:rsid w:val="555A3CBC"/>
    <w:rsid w:val="5582012B"/>
    <w:rsid w:val="558E4E05"/>
    <w:rsid w:val="55BE2E85"/>
    <w:rsid w:val="56530F5D"/>
    <w:rsid w:val="567700D3"/>
    <w:rsid w:val="56920529"/>
    <w:rsid w:val="56EE7C13"/>
    <w:rsid w:val="56FF7E9E"/>
    <w:rsid w:val="578867FC"/>
    <w:rsid w:val="57C641F3"/>
    <w:rsid w:val="5842572D"/>
    <w:rsid w:val="588B0E82"/>
    <w:rsid w:val="5A3B59D6"/>
    <w:rsid w:val="5AD134D8"/>
    <w:rsid w:val="5AF469A8"/>
    <w:rsid w:val="5AF53D56"/>
    <w:rsid w:val="5BF41F67"/>
    <w:rsid w:val="5C263CE4"/>
    <w:rsid w:val="5C5D2777"/>
    <w:rsid w:val="5CF66BF3"/>
    <w:rsid w:val="5D1569C2"/>
    <w:rsid w:val="5D246DCE"/>
    <w:rsid w:val="5D290C69"/>
    <w:rsid w:val="5D810AA5"/>
    <w:rsid w:val="5DA80C2C"/>
    <w:rsid w:val="5DD31752"/>
    <w:rsid w:val="5F011E9E"/>
    <w:rsid w:val="5F2D4A41"/>
    <w:rsid w:val="60666A9F"/>
    <w:rsid w:val="60C74F6C"/>
    <w:rsid w:val="61015958"/>
    <w:rsid w:val="61025A59"/>
    <w:rsid w:val="613D5BBC"/>
    <w:rsid w:val="61533B2A"/>
    <w:rsid w:val="61536C39"/>
    <w:rsid w:val="62944DD7"/>
    <w:rsid w:val="6319381F"/>
    <w:rsid w:val="63C25DC5"/>
    <w:rsid w:val="63C62057"/>
    <w:rsid w:val="64571EF5"/>
    <w:rsid w:val="648A4343"/>
    <w:rsid w:val="64FB113D"/>
    <w:rsid w:val="650B7FDD"/>
    <w:rsid w:val="656152C6"/>
    <w:rsid w:val="6587477F"/>
    <w:rsid w:val="658C3A08"/>
    <w:rsid w:val="65C031CA"/>
    <w:rsid w:val="65CE6852"/>
    <w:rsid w:val="66267C04"/>
    <w:rsid w:val="663F505A"/>
    <w:rsid w:val="666C2D2F"/>
    <w:rsid w:val="66AF5D7C"/>
    <w:rsid w:val="66EE5541"/>
    <w:rsid w:val="67924660"/>
    <w:rsid w:val="68407834"/>
    <w:rsid w:val="68562B6D"/>
    <w:rsid w:val="6883293E"/>
    <w:rsid w:val="688412AD"/>
    <w:rsid w:val="68EB1B71"/>
    <w:rsid w:val="696C0310"/>
    <w:rsid w:val="698A4804"/>
    <w:rsid w:val="6A56738A"/>
    <w:rsid w:val="6A6C7940"/>
    <w:rsid w:val="6A8B6AC0"/>
    <w:rsid w:val="6A9F1565"/>
    <w:rsid w:val="6AAD2300"/>
    <w:rsid w:val="6ADA2A27"/>
    <w:rsid w:val="6B2E2358"/>
    <w:rsid w:val="6B474EF5"/>
    <w:rsid w:val="6BC938E5"/>
    <w:rsid w:val="6C0A5AC5"/>
    <w:rsid w:val="6C560CAE"/>
    <w:rsid w:val="6C576495"/>
    <w:rsid w:val="6CB377B3"/>
    <w:rsid w:val="6D0D4104"/>
    <w:rsid w:val="6D903FF5"/>
    <w:rsid w:val="6DA955B8"/>
    <w:rsid w:val="6DE346AB"/>
    <w:rsid w:val="6DE5391A"/>
    <w:rsid w:val="6E14501E"/>
    <w:rsid w:val="6E641B01"/>
    <w:rsid w:val="6EFD1324"/>
    <w:rsid w:val="6F5A53AC"/>
    <w:rsid w:val="6FAC003D"/>
    <w:rsid w:val="6FD926BF"/>
    <w:rsid w:val="6FE55E12"/>
    <w:rsid w:val="6FFB2E76"/>
    <w:rsid w:val="70143B2C"/>
    <w:rsid w:val="708F6F7F"/>
    <w:rsid w:val="70D94BD3"/>
    <w:rsid w:val="71574775"/>
    <w:rsid w:val="716F0EE9"/>
    <w:rsid w:val="717806B0"/>
    <w:rsid w:val="71C34D91"/>
    <w:rsid w:val="72DB435C"/>
    <w:rsid w:val="72E2613A"/>
    <w:rsid w:val="72F771F4"/>
    <w:rsid w:val="737547B1"/>
    <w:rsid w:val="73934AD2"/>
    <w:rsid w:val="73CF7F06"/>
    <w:rsid w:val="742F3DC1"/>
    <w:rsid w:val="750837F0"/>
    <w:rsid w:val="754758CF"/>
    <w:rsid w:val="75595ECD"/>
    <w:rsid w:val="764F62AB"/>
    <w:rsid w:val="765C45EC"/>
    <w:rsid w:val="768A7619"/>
    <w:rsid w:val="76BD23AB"/>
    <w:rsid w:val="77166B54"/>
    <w:rsid w:val="772E1EBA"/>
    <w:rsid w:val="773A3CEC"/>
    <w:rsid w:val="77BA3622"/>
    <w:rsid w:val="781926BC"/>
    <w:rsid w:val="796D60A4"/>
    <w:rsid w:val="79A031D5"/>
    <w:rsid w:val="79AB4A88"/>
    <w:rsid w:val="79B47FDF"/>
    <w:rsid w:val="79E569A9"/>
    <w:rsid w:val="7A1525F7"/>
    <w:rsid w:val="7AF54551"/>
    <w:rsid w:val="7B3F680F"/>
    <w:rsid w:val="7B420052"/>
    <w:rsid w:val="7BD06A28"/>
    <w:rsid w:val="7C3A7C0B"/>
    <w:rsid w:val="7C5248E4"/>
    <w:rsid w:val="7C566698"/>
    <w:rsid w:val="7C5866A3"/>
    <w:rsid w:val="7C96744B"/>
    <w:rsid w:val="7D2C4A4A"/>
    <w:rsid w:val="7D7406BB"/>
    <w:rsid w:val="7DE94331"/>
    <w:rsid w:val="7EAF4D29"/>
    <w:rsid w:val="7EB51E7E"/>
    <w:rsid w:val="7F446A19"/>
    <w:rsid w:val="7F7452B9"/>
    <w:rsid w:val="7FBB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footnote text"/>
    <w:basedOn w:val="1"/>
    <w:next w:val="4"/>
    <w:autoRedefine/>
    <w:semiHidden/>
    <w:qFormat/>
    <w:uiPriority w:val="0"/>
    <w:pPr>
      <w:snapToGrid w:val="0"/>
      <w:jc w:val="left"/>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3"/>
    <w:autoRedefine/>
    <w:qFormat/>
    <w:uiPriority w:val="0"/>
    <w:rPr>
      <w:rFonts w:hint="default" w:ascii="Wingdings" w:hAnsi="Wingdings" w:cs="Wingdings"/>
      <w:b/>
      <w:bCs/>
    </w:rPr>
  </w:style>
  <w:style w:type="paragraph" w:customStyle="1" w:styleId="18">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5"/>
    <w:autoRedefine/>
    <w:qFormat/>
    <w:uiPriority w:val="0"/>
    <w:rPr>
      <w:rFonts w:ascii="宋体" w:hAnsi="宋体"/>
      <w:sz w:val="18"/>
      <w:szCs w:val="18"/>
    </w:rPr>
  </w:style>
  <w:style w:type="paragraph" w:customStyle="1" w:styleId="20">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1">
    <w:name w:val="p0"/>
    <w:basedOn w:val="1"/>
    <w:autoRedefine/>
    <w:qFormat/>
    <w:uiPriority w:val="0"/>
    <w:pPr>
      <w:widowControl/>
      <w:jc w:val="left"/>
    </w:pPr>
    <w:rPr>
      <w:rFonts w:ascii="宋体" w:hAnsi="宋体" w:cs="宋体"/>
      <w:kern w:val="0"/>
      <w:sz w:val="24"/>
    </w:rPr>
  </w:style>
  <w:style w:type="paragraph" w:customStyle="1" w:styleId="22">
    <w:name w:val="Body text|1"/>
    <w:basedOn w:val="1"/>
    <w:autoRedefine/>
    <w:qFormat/>
    <w:uiPriority w:val="0"/>
    <w:pPr>
      <w:spacing w:line="449"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9895</Words>
  <Characters>12673</Characters>
  <Lines>186</Lines>
  <Paragraphs>52</Paragraphs>
  <TotalTime>21</TotalTime>
  <ScaleCrop>false</ScaleCrop>
  <LinksUpToDate>false</LinksUpToDate>
  <CharactersWithSpaces>13727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崔不吹</cp:lastModifiedBy>
  <dcterms:modified xsi:type="dcterms:W3CDTF">2025-09-15T08:30:25Z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75C70E189C9746E49107AD96566B1D98_13</vt:lpwstr>
  </property>
  <property fmtid="{D5CDD505-2E9C-101B-9397-08002B2CF9AE}" pid="4" name="KSOTemplateDocerSaveRecord">
    <vt:lpwstr>eyJoZGlkIjoiZjU2NWM2MTMwOTNhYzdjYWNiZjJmMDYyMTg5NzNkODciLCJ1c2VySWQiOiI2NDc4MTk1NzUifQ==</vt:lpwstr>
  </property>
</Properties>
</file>