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丰都县不动产登记中心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15"/>
        <w:autoSpaceDE w:val="0"/>
        <w:autoSpaceDN/>
        <w:spacing w:before="0" w:beforeAutospacing="0"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1.</w:t>
      </w:r>
      <w:r>
        <w:rPr>
          <w:rFonts w:hint="eastAsia" w:ascii="方正仿宋_GBK" w:hAnsi="方正仿宋_GBK" w:eastAsia="方正仿宋_GBK" w:cs="方正仿宋_GBK"/>
          <w:color w:val="000000"/>
          <w:sz w:val="32"/>
          <w:szCs w:val="32"/>
          <w:lang w:eastAsia="zh-CN"/>
        </w:rPr>
        <w:t>负责贯彻国家有关不动产登记的法律法规和规章以及相关的政策咨询工作；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2.</w:t>
      </w:r>
      <w:r>
        <w:rPr>
          <w:rFonts w:hint="eastAsia" w:ascii="方正仿宋_GBK" w:hAnsi="方正仿宋_GBK" w:eastAsia="方正仿宋_GBK" w:cs="方正仿宋_GBK"/>
          <w:color w:val="000000"/>
          <w:sz w:val="32"/>
          <w:szCs w:val="32"/>
          <w:lang w:eastAsia="zh-CN"/>
        </w:rPr>
        <w:t>负责土地登记（包括农村土地承包经营权）、房屋登记、林地登记等不动产交易登记和登记权属纠纷调处工作；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3.</w:t>
      </w:r>
      <w:r>
        <w:rPr>
          <w:rFonts w:hint="eastAsia" w:ascii="方正仿宋_GBK" w:hAnsi="方正仿宋_GBK" w:eastAsia="方正仿宋_GBK" w:cs="方正仿宋_GBK"/>
          <w:color w:val="000000"/>
          <w:sz w:val="32"/>
          <w:szCs w:val="32"/>
          <w:lang w:eastAsia="zh-CN"/>
        </w:rPr>
        <w:t>负责不动产登记档案的整理、保管和利用工作；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4.</w:t>
      </w:r>
      <w:r>
        <w:rPr>
          <w:rFonts w:hint="eastAsia" w:ascii="方正仿宋_GBK" w:hAnsi="方正仿宋_GBK" w:eastAsia="方正仿宋_GBK" w:cs="方正仿宋_GBK"/>
          <w:color w:val="000000"/>
          <w:sz w:val="32"/>
          <w:szCs w:val="32"/>
          <w:lang w:eastAsia="zh-CN"/>
        </w:rPr>
        <w:t>负责农村产权流转交易信息收集、分析、发布及交易、鉴证工作；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5.</w:t>
      </w:r>
      <w:r>
        <w:rPr>
          <w:rFonts w:hint="eastAsia" w:ascii="方正仿宋_GBK" w:hAnsi="方正仿宋_GBK" w:eastAsia="方正仿宋_GBK" w:cs="方正仿宋_GBK"/>
          <w:color w:val="000000"/>
          <w:sz w:val="32"/>
          <w:szCs w:val="32"/>
          <w:lang w:eastAsia="zh-CN"/>
        </w:rPr>
        <w:t>负责引导和支持评估、担保、经纪、策划等中介机构和相关金融机构为农村产权流转交易提供配套服务；</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6.</w:t>
      </w:r>
      <w:r>
        <w:rPr>
          <w:rFonts w:hint="eastAsia" w:ascii="方正仿宋_GBK" w:hAnsi="方正仿宋_GBK" w:eastAsia="方正仿宋_GBK" w:cs="方正仿宋_GBK"/>
          <w:color w:val="000000"/>
          <w:sz w:val="32"/>
          <w:szCs w:val="32"/>
          <w:lang w:eastAsia="zh-CN"/>
        </w:rPr>
        <w:t>负责不动产租赁、抵押、商品房预售、楼盘管理以及房地产市场监管等工作。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以上具体职责任务均属基本公益服务。</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根据上述职责，</w:t>
      </w:r>
      <w:r>
        <w:rPr>
          <w:rFonts w:hint="eastAsia" w:ascii="方正仿宋_GBK" w:hAnsi="方正仿宋_GBK" w:eastAsia="方正仿宋_GBK" w:cs="方正仿宋_GBK"/>
          <w:sz w:val="32"/>
          <w:szCs w:val="32"/>
          <w:lang w:eastAsia="zh-CN"/>
        </w:rPr>
        <w:t>丰都县不动产登记中心（</w:t>
      </w:r>
      <w:r>
        <w:rPr>
          <w:rFonts w:hint="eastAsia" w:ascii="方正仿宋_GBK" w:hAnsi="方正仿宋_GBK" w:eastAsia="方正仿宋_GBK" w:cs="方正仿宋_GBK"/>
          <w:color w:val="000000"/>
          <w:sz w:val="32"/>
          <w:szCs w:val="32"/>
          <w:lang w:eastAsia="zh-CN"/>
        </w:rPr>
        <w:t>丰都县农村产权流转交易中心）设</w:t>
      </w:r>
      <w:r>
        <w:rPr>
          <w:rFonts w:hint="eastAsia" w:ascii="方正仿宋_GBK" w:hAnsi="方正仿宋_GBK" w:eastAsia="方正仿宋_GBK" w:cs="方正仿宋_GBK"/>
          <w:color w:val="000000"/>
          <w:sz w:val="32"/>
          <w:szCs w:val="32"/>
          <w:lang w:val="en-US"/>
        </w:rPr>
        <w:t>4</w:t>
      </w:r>
      <w:r>
        <w:rPr>
          <w:rFonts w:hint="eastAsia" w:ascii="方正仿宋_GBK" w:hAnsi="方正仿宋_GBK" w:eastAsia="方正仿宋_GBK" w:cs="方正仿宋_GBK"/>
          <w:color w:val="000000"/>
          <w:sz w:val="32"/>
          <w:szCs w:val="32"/>
          <w:lang w:eastAsia="zh-CN"/>
        </w:rPr>
        <w:t>个内设机构：</w:t>
      </w:r>
    </w:p>
    <w:p>
      <w:pPr>
        <w:autoSpaceDE w:val="0"/>
        <w:autoSpaceDN/>
        <w:spacing w:line="594" w:lineRule="exact"/>
        <w:ind w:left="0" w:firstLine="640" w:firstLineChars="20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sz w:val="32"/>
          <w:szCs w:val="32"/>
          <w:lang w:eastAsia="zh-CN"/>
        </w:rPr>
        <w:t>（一）综合科</w:t>
      </w:r>
      <w:r>
        <w:rPr>
          <w:rFonts w:hint="eastAsia" w:ascii="方正仿宋_GBK" w:hAnsi="方正仿宋_GBK" w:eastAsia="方正仿宋_GBK" w:cs="方正仿宋_GBK"/>
          <w:sz w:val="32"/>
          <w:szCs w:val="32"/>
          <w:lang w:eastAsia="zh-CN"/>
        </w:rPr>
        <w:t>（信息档案科）。</w:t>
      </w:r>
    </w:p>
    <w:p>
      <w:pPr>
        <w:autoSpaceDE w:val="0"/>
        <w:autoSpaceDN/>
        <w:spacing w:line="594" w:lineRule="exact"/>
        <w:ind w:left="730" w:leftChars="304"/>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负责综合协调、日常事务工作；负责文电、会务、机要、</w:t>
      </w:r>
    </w:p>
    <w:p>
      <w:pPr>
        <w:autoSpaceDE w:val="0"/>
        <w:autoSpaceDN/>
        <w:spacing w:line="594" w:lineRule="exact"/>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sz w:val="32"/>
          <w:szCs w:val="32"/>
          <w:lang w:eastAsia="zh-CN"/>
        </w:rPr>
        <w:t>财务等机关日常运转工作；承担信息、保密、安全、接待、新闻宣传、政务公开、综合治理、</w:t>
      </w:r>
      <w:r>
        <w:rPr>
          <w:rStyle w:val="20"/>
          <w:rFonts w:hint="eastAsia" w:ascii="方正仿宋_GBK" w:hAnsi="方正仿宋_GBK" w:eastAsia="方正仿宋_GBK" w:cs="方正仿宋_GBK"/>
          <w:color w:val="000000"/>
          <w:sz w:val="32"/>
          <w:szCs w:val="32"/>
          <w:lang w:eastAsia="zh-CN"/>
        </w:rPr>
        <w:t>后勤服务</w:t>
      </w:r>
      <w:r>
        <w:rPr>
          <w:rFonts w:hint="eastAsia" w:ascii="方正仿宋_GBK" w:hAnsi="方正仿宋_GBK" w:eastAsia="方正仿宋_GBK" w:cs="方正仿宋_GBK"/>
          <w:sz w:val="32"/>
          <w:szCs w:val="32"/>
          <w:lang w:eastAsia="zh-CN"/>
        </w:rPr>
        <w:t>等工作；</w:t>
      </w:r>
      <w:r>
        <w:rPr>
          <w:rStyle w:val="20"/>
          <w:rFonts w:hint="eastAsia" w:ascii="方正仿宋_GBK" w:hAnsi="方正仿宋_GBK" w:eastAsia="方正仿宋_GBK" w:cs="方正仿宋_GBK"/>
          <w:color w:val="000000"/>
          <w:sz w:val="32"/>
          <w:szCs w:val="32"/>
          <w:lang w:eastAsia="zh-CN"/>
        </w:rPr>
        <w:t>负责做好印章管理工作；负责管理空白证书或证明；负责干部人事、机构编制、队伍建设、工会、党建等工作；负责督查、督办交办事项；负责登记公告的发布工作。负责不动产基础数据库的建设、地房籍信息系统的维护、历史数据的补录、登记公告发布工作；</w:t>
      </w:r>
      <w:r>
        <w:rPr>
          <w:rFonts w:hint="eastAsia" w:ascii="方正仿宋_GBK" w:hAnsi="方正仿宋_GBK" w:eastAsia="方正仿宋_GBK" w:cs="方正仿宋_GBK"/>
          <w:sz w:val="32"/>
          <w:szCs w:val="32"/>
          <w:lang w:eastAsia="zh-CN"/>
        </w:rPr>
        <w:t>负责不动产登记数据统计、分析工作；负责楼盘管理工作；</w:t>
      </w:r>
      <w:r>
        <w:rPr>
          <w:rFonts w:hint="eastAsia" w:ascii="方正仿宋_GBK" w:hAnsi="方正仿宋_GBK" w:eastAsia="方正仿宋_GBK" w:cs="方正仿宋_GBK"/>
          <w:color w:val="000000"/>
          <w:sz w:val="32"/>
          <w:szCs w:val="32"/>
          <w:lang w:eastAsia="zh-CN"/>
        </w:rPr>
        <w:t>负责农村产权流转交易信息收集、分析、发布、反馈及本级数据库的管理和维护，负责与市级交易平台的互联互通和电子化交易平台的管理和维护；</w:t>
      </w:r>
      <w:r>
        <w:rPr>
          <w:rStyle w:val="20"/>
          <w:rFonts w:hint="eastAsia" w:ascii="方正仿宋_GBK" w:hAnsi="方正仿宋_GBK" w:eastAsia="方正仿宋_GBK" w:cs="方正仿宋_GBK"/>
          <w:color w:val="000000"/>
          <w:sz w:val="32"/>
          <w:szCs w:val="32"/>
          <w:lang w:eastAsia="zh-CN"/>
        </w:rPr>
        <w:t>负责各类不动产登记及农村产权流转交易档案的整理、装订、入库以及档案数字化处理工作；负责档案管理和利用工作。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（二）登记业务科。</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Style w:val="20"/>
          <w:rFonts w:hint="eastAsia" w:ascii="方正仿宋_GBK" w:hAnsi="方正仿宋_GBK" w:eastAsia="方正仿宋_GBK" w:cs="方正仿宋_GBK"/>
          <w:color w:val="000000"/>
          <w:sz w:val="32"/>
          <w:szCs w:val="32"/>
          <w:lang w:eastAsia="zh-CN"/>
        </w:rPr>
        <w:t>负责接待不动产交易和权属登记政策的咨询解答；负责不动产交易和权属登记的受理、审核工作；负责各类不动产登记业务的</w:t>
      </w:r>
      <w:r>
        <w:rPr>
          <w:rFonts w:hint="eastAsia" w:ascii="方正仿宋_GBK" w:hAnsi="方正仿宋_GBK" w:eastAsia="方正仿宋_GBK" w:cs="方正仿宋_GBK"/>
          <w:sz w:val="32"/>
          <w:szCs w:val="32"/>
          <w:lang w:eastAsia="zh-CN"/>
        </w:rPr>
        <w:t>缮证、发证等工作；负责各类登记业务的收费和查验税票等工作；</w:t>
      </w:r>
      <w:r>
        <w:rPr>
          <w:rStyle w:val="20"/>
          <w:rFonts w:hint="eastAsia" w:ascii="方正仿宋_GBK" w:hAnsi="方正仿宋_GBK" w:eastAsia="方正仿宋_GBK" w:cs="方正仿宋_GBK"/>
          <w:color w:val="000000"/>
          <w:sz w:val="32"/>
          <w:szCs w:val="32"/>
          <w:lang w:eastAsia="zh-CN"/>
        </w:rPr>
        <w:t>负责司法查封、司法注销和行政限制的受理等工作。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（三）权属调查科。</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sz w:val="32"/>
          <w:szCs w:val="32"/>
          <w:lang w:eastAsia="zh-CN"/>
        </w:rPr>
        <w:t>负责不动产交易和权属登记的现场核实和权属调查工作；</w:t>
      </w:r>
      <w:r>
        <w:rPr>
          <w:rStyle w:val="20"/>
          <w:rFonts w:hint="eastAsia" w:ascii="方正仿宋_GBK" w:hAnsi="方正仿宋_GBK" w:eastAsia="方正仿宋_GBK" w:cs="方正仿宋_GBK"/>
          <w:color w:val="000000"/>
          <w:sz w:val="32"/>
          <w:szCs w:val="32"/>
          <w:lang w:eastAsia="zh-CN"/>
        </w:rPr>
        <w:t>负责涉及</w:t>
      </w:r>
      <w:r>
        <w:rPr>
          <w:rFonts w:hint="eastAsia" w:ascii="方正仿宋_GBK" w:hAnsi="方正仿宋_GBK" w:eastAsia="方正仿宋_GBK" w:cs="方正仿宋_GBK"/>
          <w:sz w:val="32"/>
          <w:szCs w:val="32"/>
          <w:lang w:eastAsia="zh-CN"/>
        </w:rPr>
        <w:t>不动产交易和权属登记的</w:t>
      </w:r>
      <w:r>
        <w:rPr>
          <w:rStyle w:val="20"/>
          <w:rFonts w:hint="eastAsia" w:ascii="方正仿宋_GBK" w:hAnsi="方正仿宋_GBK" w:eastAsia="方正仿宋_GBK" w:cs="方正仿宋_GBK"/>
          <w:color w:val="000000"/>
          <w:sz w:val="32"/>
          <w:szCs w:val="32"/>
          <w:lang w:eastAsia="zh-CN"/>
        </w:rPr>
        <w:t>来信来访的接待、调查、回复处理等工作；负责不动产交易权属登记业务疑难件的接待、调查、处理；负责承办涉及的行政诉讼、行政复议等法律事务工作；负责地籍、土地房屋测绘成果管理以及房地产市场监管工作；负责涉及不动产登记和农村产权流转交易中的纠纷调处等工作。</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（四）流转交易科。</w:t>
      </w:r>
    </w:p>
    <w:p>
      <w:pPr>
        <w:autoSpaceDE w:val="0"/>
        <w:autoSpaceDN/>
        <w:spacing w:line="594" w:lineRule="exact"/>
        <w:ind w:left="0" w:firstLine="640" w:firstLineChars="200"/>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eastAsia="zh-CN"/>
        </w:rPr>
        <w:t>负责农村产权流转交易、鉴证工作；引导和支持评估、担保、</w:t>
      </w:r>
      <w:r>
        <w:rPr>
          <w:rFonts w:hint="eastAsia" w:ascii="方正仿宋_GBK" w:hAnsi="方正仿宋_GBK" w:eastAsia="方正仿宋_GBK" w:cs="方正仿宋_GBK"/>
          <w:color w:val="000000"/>
          <w:spacing w:val="-6"/>
          <w:sz w:val="32"/>
          <w:szCs w:val="32"/>
          <w:lang w:eastAsia="zh-CN"/>
        </w:rPr>
        <w:t>经纪、策划等中介机构和相关金融机构为农村产权流转交易提供价值评估、招商引资、投资咨询、融资担保、项目包装等配套服务</w:t>
      </w:r>
      <w:r>
        <w:rPr>
          <w:rStyle w:val="20"/>
          <w:rFonts w:hint="eastAsia" w:ascii="方正仿宋_GBK" w:hAnsi="方正仿宋_GBK" w:eastAsia="方正仿宋_GBK" w:cs="方正仿宋_GBK"/>
          <w:color w:val="000000"/>
          <w:spacing w:val="-6"/>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430.01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收、支与2023年度相比，减少4.07万元，下降0.9%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highlight w:val="none"/>
        </w:rPr>
        <w:t>财政预算经费项目</w:t>
      </w:r>
      <w:r>
        <w:rPr>
          <w:rFonts w:hint="eastAsia" w:ascii="方正仿宋_GBK" w:hAnsi="方正仿宋_GBK" w:eastAsia="方正仿宋_GBK" w:cs="方正仿宋_GBK"/>
          <w:color w:val="auto"/>
          <w:sz w:val="32"/>
          <w:szCs w:val="32"/>
          <w:highlight w:val="none"/>
          <w:lang w:val="en-US" w:eastAsia="zh-CN"/>
        </w:rPr>
        <w:t>金额</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及人员调出</w:t>
      </w:r>
      <w:r>
        <w:rPr>
          <w:rFonts w:hint="eastAsia" w:ascii="方正仿宋_GBK" w:hAnsi="方正仿宋_GBK" w:eastAsia="方正仿宋_GBK" w:cs="方正仿宋_GBK"/>
          <w:color w:val="auto"/>
          <w:sz w:val="32"/>
          <w:szCs w:val="32"/>
          <w:highlight w:val="none"/>
        </w:rPr>
        <w:t>收入</w:t>
      </w:r>
      <w:r>
        <w:rPr>
          <w:rFonts w:hint="eastAsia" w:ascii="方正仿宋_GBK" w:hAnsi="方正仿宋_GBK" w:eastAsia="方正仿宋_GBK" w:cs="方正仿宋_GBK"/>
          <w:color w:val="auto"/>
          <w:sz w:val="32"/>
          <w:szCs w:val="32"/>
          <w:highlight w:val="none"/>
          <w:lang w:eastAsia="zh-CN"/>
        </w:rPr>
        <w:t>支出</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426.33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与2023年度相比，增加66.67万元，增长18.5%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eastAsia="zh-CN"/>
        </w:rPr>
        <w:t>财政拨款不动产登记运行项目增加</w:t>
      </w:r>
      <w:r>
        <w:rPr>
          <w:rFonts w:hint="eastAsia" w:ascii="方正仿宋_GBK" w:hAnsi="方正仿宋_GBK" w:eastAsia="方正仿宋_GBK" w:cs="方正仿宋_GBK"/>
          <w:sz w:val="32"/>
          <w:szCs w:val="32"/>
          <w:lang w:val="en-US" w:eastAsia="zh-CN"/>
        </w:rPr>
        <w:t>66.67万元所以收入增加。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426.33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3.68</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430.01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与2023年度相比，减少4.07万元，下降0.9%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highlight w:val="none"/>
        </w:rPr>
        <w:t>财政预算经费项目</w:t>
      </w:r>
      <w:r>
        <w:rPr>
          <w:rFonts w:hint="eastAsia" w:ascii="方正仿宋_GBK" w:hAnsi="方正仿宋_GBK" w:eastAsia="方正仿宋_GBK" w:cs="方正仿宋_GBK"/>
          <w:color w:val="auto"/>
          <w:sz w:val="32"/>
          <w:szCs w:val="32"/>
          <w:highlight w:val="none"/>
          <w:lang w:val="en-US" w:eastAsia="zh-CN"/>
        </w:rPr>
        <w:t>金额</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及人员调出支出</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w:t>
      </w:r>
      <w:r>
        <w:rPr>
          <w:rFonts w:ascii="方正仿宋_GBK" w:hAnsi="方正仿宋_GBK" w:eastAsia="方正仿宋_GBK" w:cs="方正仿宋_GBK"/>
          <w:sz w:val="32"/>
          <w:szCs w:val="32"/>
          <w:highlight w:val="none"/>
          <w:shd w:val="clear" w:color="auto" w:fill="FFFFFF"/>
        </w:rPr>
        <w:t>其中：基本支</w:t>
      </w:r>
      <w:r>
        <w:rPr>
          <w:rFonts w:ascii="方正仿宋_GBK" w:hAnsi="方正仿宋_GBK" w:eastAsia="方正仿宋_GBK" w:cs="方正仿宋_GBK"/>
          <w:sz w:val="32"/>
          <w:szCs w:val="32"/>
          <w:shd w:val="clear" w:color="auto" w:fill="FFFFFF"/>
        </w:rPr>
        <w:t>出</w:t>
      </w:r>
      <w:r>
        <w:rPr>
          <w:rFonts w:hint="default" w:ascii="Times New Roman" w:hAnsi="Times New Roman" w:eastAsia="方正仿宋_GBK"/>
          <w:sz w:val="32"/>
          <w:szCs w:val="32"/>
          <w:shd w:val="clear" w:color="auto" w:fill="FFFFFF"/>
        </w:rPr>
        <w:t>348.67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81.34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426.33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财政拨款收、支总计各减少7.75万元，下降1.8%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highlight w:val="none"/>
        </w:rPr>
        <w:t>财政预算经费项目</w:t>
      </w:r>
      <w:r>
        <w:rPr>
          <w:rFonts w:hint="eastAsia" w:ascii="方正仿宋_GBK" w:hAnsi="方正仿宋_GBK" w:eastAsia="方正仿宋_GBK" w:cs="方正仿宋_GBK"/>
          <w:color w:val="auto"/>
          <w:sz w:val="32"/>
          <w:szCs w:val="32"/>
          <w:highlight w:val="none"/>
          <w:lang w:val="en-US" w:eastAsia="zh-CN"/>
        </w:rPr>
        <w:t>金额</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及人员调出</w:t>
      </w:r>
      <w:r>
        <w:rPr>
          <w:rFonts w:hint="eastAsia" w:ascii="方正仿宋_GBK" w:hAnsi="方正仿宋_GBK" w:eastAsia="方正仿宋_GBK" w:cs="方正仿宋_GBK"/>
          <w:color w:val="auto"/>
          <w:sz w:val="32"/>
          <w:szCs w:val="32"/>
          <w:highlight w:val="none"/>
        </w:rPr>
        <w:t>收入</w:t>
      </w:r>
      <w:r>
        <w:rPr>
          <w:rFonts w:hint="eastAsia" w:ascii="方正仿宋_GBK" w:hAnsi="方正仿宋_GBK" w:eastAsia="方正仿宋_GBK" w:cs="方正仿宋_GBK"/>
          <w:color w:val="auto"/>
          <w:sz w:val="32"/>
          <w:szCs w:val="32"/>
          <w:highlight w:val="none"/>
          <w:lang w:eastAsia="zh-CN"/>
        </w:rPr>
        <w:t>支出</w:t>
      </w:r>
      <w:r>
        <w:rPr>
          <w:rFonts w:hint="eastAsia" w:ascii="方正仿宋_GBK" w:hAnsi="方正仿宋_GBK" w:eastAsia="方正仿宋_GBK" w:cs="方正仿宋_GBK"/>
          <w:color w:val="auto"/>
          <w:sz w:val="32"/>
          <w:szCs w:val="32"/>
          <w:highlight w:val="none"/>
        </w:rPr>
        <w:t>减少</w:t>
      </w:r>
      <w:r>
        <w:rPr>
          <w:rFonts w:hint="eastAsia" w:ascii="方正仿宋_GBK" w:hAnsi="方正仿宋_GBK" w:eastAsia="方正仿宋_GBK" w:cs="方正仿宋_GBK"/>
          <w:color w:val="auto"/>
          <w:sz w:val="32"/>
          <w:szCs w:val="32"/>
          <w:highlight w:val="none"/>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426.33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与2023年度相比，增加66.67万元，增长18.5%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eastAsia="zh-CN"/>
        </w:rPr>
        <w:t>财政拨款不动产登记运行项目收入增加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较年初预算数增加45.54万元，增长12.0%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人员变动工资调标预算增加，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426.33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与2023年度相比，减少7.75万元，下降1.8%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人员调出支出减少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较年初预算数增加45.54万元，增长12.0%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人员变动工资调标预算增加。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38.45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较年初预算数增加5.75万元，增长17.6%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社保缴费基数调整支出增加。</w:t>
      </w:r>
    </w:p>
    <w:p>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12.36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较年初预算数减少0.30万元，下降2.4%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人员调出支出减少。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363.75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较年初预算数增加42.60万元，增长13.3%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eastAsia="zh-CN"/>
        </w:rPr>
        <w:t>财政拨款不动产登记运行项目增加支出增加。</w:t>
      </w:r>
    </w:p>
    <w:p>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较年初预算数减少2.51万元，下降17.6%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人员调出支出减少。</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本年度无结转结余。</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344.99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255.04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与2023年度相比，减少19.54万元，下降7.1%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人员调出费用减少。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绩效工资、基本工资，住房公积金，社会保障等支出</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89.95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与2023年度相比，增加47.78万元，增长113.3%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聘用人员及驻村工作经费调至基本支出，所以基本支出较上年增加。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办公费，差旅费水电费及聘用人员劳务费等</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2024年度无政府性基金。</w:t>
      </w:r>
    </w:p>
    <w:p>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2024年度无</w:t>
      </w:r>
      <w:r>
        <w:rPr>
          <w:rStyle w:val="21"/>
          <w:rFonts w:hint="eastAsia" w:ascii="方正仿宋_GBK" w:hAnsi="方正仿宋_GBK" w:eastAsia="方正仿宋_GBK" w:cs="方正仿宋_GBK"/>
          <w:b w:val="0"/>
          <w:sz w:val="32"/>
          <w:szCs w:val="32"/>
          <w:shd w:val="clear" w:fill="FFFFFF"/>
          <w:lang w:eastAsia="zh-CN"/>
        </w:rPr>
        <w:t>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Fonts w:ascii="方正仿宋_GBK" w:hAnsi="方正仿宋_GBK" w:eastAsia="方正仿宋_GBK" w:cs="方正仿宋_GBK"/>
          <w:color w:val="FF0000"/>
          <w:sz w:val="32"/>
          <w:szCs w:val="32"/>
          <w:shd w:val="clear" w:color="auto" w:fill="FFFFFF"/>
        </w:rPr>
        <w:t>.</w:t>
      </w: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较年初预算数减少0.47万元，下降13.8%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厉行节约减少预算。</w:t>
      </w:r>
      <w:r>
        <w:rPr>
          <w:rFonts w:hint="default" w:ascii="Times New Roman" w:hAnsi="Times New Roman" w:eastAsia="方正仿宋_GBK"/>
          <w:sz w:val="32"/>
          <w:szCs w:val="32"/>
          <w:shd w:val="clear" w:color="auto" w:fill="FFFFFF"/>
        </w:rPr>
        <w:t>较上年支出数减少0.20万元，下降6.4%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厉行节约减少预算支出。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因公出国（境）费用。较上年支出数无增减，主要原因是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下降100.00%，主要原因是</w:t>
      </w:r>
      <w:r>
        <w:rPr>
          <w:rFonts w:hint="eastAsia" w:ascii="方正仿宋_GBK" w:hAnsi="方正仿宋_GBK" w:eastAsia="方正仿宋_GBK" w:cs="方正仿宋_GBK"/>
          <w:color w:val="auto"/>
          <w:sz w:val="32"/>
          <w:szCs w:val="32"/>
          <w:shd w:val="clear" w:color="auto" w:fill="FFFFFF"/>
          <w:lang w:eastAsia="zh-CN"/>
        </w:rPr>
        <w:t>本年度未发生公务车购置费用。</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下乡不动产登记上门服务、林权权属调差及</w:t>
      </w:r>
      <w:r>
        <w:rPr>
          <w:rFonts w:hint="eastAsia" w:ascii="方正仿宋_GBK" w:hAnsi="方正仿宋_GBK" w:eastAsia="方正仿宋_GBK" w:cs="方正仿宋_GBK"/>
          <w:sz w:val="32"/>
          <w:szCs w:val="32"/>
          <w:highlight w:val="none"/>
          <w:shd w:val="clear" w:fill="FFFFFF"/>
          <w:lang w:eastAsia="zh-CN"/>
        </w:rPr>
        <w:t>车辆燃油费修理费日常保养费。</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较上年支出数减少0.43万元，下降13.7%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厉行节约预算减少支出。</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0.23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彭水一行不动产登记业务交流，</w:t>
      </w:r>
      <w:r>
        <w:rPr>
          <w:rFonts w:ascii="方正仿宋_GBK" w:hAnsi="方正仿宋_GBK" w:eastAsia="方正仿宋_GBK" w:cs="方正仿宋_GBK"/>
          <w:color w:val="auto"/>
          <w:sz w:val="32"/>
          <w:szCs w:val="32"/>
          <w:shd w:val="clear" w:color="auto" w:fill="FFFFFF"/>
        </w:rPr>
        <w:t>费</w:t>
      </w:r>
      <w:r>
        <w:rPr>
          <w:rFonts w:ascii="方正仿宋_GBK" w:hAnsi="方正仿宋_GBK" w:eastAsia="方正仿宋_GBK" w:cs="方正仿宋_GBK"/>
          <w:sz w:val="32"/>
          <w:szCs w:val="32"/>
          <w:shd w:val="clear" w:color="auto" w:fill="FFFFFF"/>
        </w:rPr>
        <w:t>用支出</w:t>
      </w:r>
      <w:r>
        <w:rPr>
          <w:rFonts w:hint="default" w:ascii="Times New Roman" w:hAnsi="Times New Roman" w:eastAsia="方正仿宋_GBK"/>
          <w:sz w:val="32"/>
          <w:szCs w:val="32"/>
          <w:shd w:val="clear" w:color="auto" w:fill="FFFFFF"/>
        </w:rPr>
        <w:t>较年初预算数减少0.47万元，下降67.1%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厉行节约预算减少支出。</w:t>
      </w:r>
      <w:r>
        <w:rPr>
          <w:rFonts w:hint="default" w:ascii="Times New Roman" w:hAnsi="Times New Roman" w:eastAsia="方正仿宋_GBK"/>
          <w:sz w:val="32"/>
          <w:szCs w:val="32"/>
          <w:shd w:val="clear" w:color="auto" w:fill="FFFFFF"/>
        </w:rPr>
        <w:t>较上年支出数增加0.23万元，增长100.0%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接待增加支出增加。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86.54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与2023年度相比，增加1.06万元，增长41.7%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业务培训增加费用增加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3.93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与2023年度相比，减少9.13万元，下降69.9%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出差减少费用减少。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5"/>
        <w:autoSpaceDE w:val="0"/>
        <w:autoSpaceDN/>
        <w:spacing w:before="0" w:beforeAutospacing="0" w:line="594" w:lineRule="exact"/>
        <w:ind w:left="0" w:firstLine="640" w:firstLineChars="200"/>
        <w:rPr>
          <w:rFonts w:hint="eastAsia" w:ascii="方正仿宋_GBK" w:hAnsi="方正仿宋_GBK" w:eastAsia="方正仿宋_GBK" w:cs="方正仿宋_GBK"/>
          <w:color w:val="auto"/>
          <w:sz w:val="32"/>
          <w:szCs w:val="32"/>
          <w:highlight w:val="none"/>
          <w:shd w:val="clear" w:fill="FFFFFF"/>
          <w:lang w:val="en-US" w:eastAsia="zh-CN"/>
        </w:rPr>
      </w:pPr>
      <w:r>
        <w:rPr>
          <w:rFonts w:hint="eastAsia" w:ascii="方正仿宋_GBK" w:hAnsi="方正仿宋_GBK" w:eastAsia="方正仿宋_GBK" w:cs="方正仿宋_GBK"/>
          <w:color w:val="auto"/>
          <w:sz w:val="32"/>
          <w:szCs w:val="32"/>
          <w:highlight w:val="none"/>
          <w:shd w:val="clear" w:fill="FFFFFF"/>
          <w:lang w:val="en-US" w:eastAsia="zh-CN"/>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主要</w:t>
      </w:r>
      <w:bookmarkStart w:id="0" w:name="_GoBack"/>
      <w:bookmarkEnd w:id="0"/>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color w:val="auto"/>
          <w:sz w:val="32"/>
          <w:szCs w:val="32"/>
          <w:highlight w:val="none"/>
          <w:shd w:val="clear" w:color="auto" w:fill="FFFFFF"/>
        </w:rPr>
        <w:t>用</w:t>
      </w:r>
      <w:r>
        <w:rPr>
          <w:rFonts w:ascii="方正仿宋_GBK" w:hAnsi="方正仿宋_GBK" w:eastAsia="方正仿宋_GBK" w:cs="方正仿宋_GBK"/>
          <w:sz w:val="32"/>
          <w:szCs w:val="32"/>
          <w:shd w:val="clear" w:color="auto" w:fill="FFFFFF"/>
        </w:rPr>
        <w:t>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w:t>
      </w:r>
      <w:r>
        <w:rPr>
          <w:rFonts w:ascii="方正仿宋_GBK" w:hAnsi="方正仿宋_GBK" w:eastAsia="方正仿宋_GBK" w:cs="方正仿宋_GBK"/>
          <w:sz w:val="32"/>
          <w:szCs w:val="32"/>
          <w:highlight w:val="none"/>
          <w:shd w:val="clear" w:color="auto" w:fill="FFFFFF"/>
        </w:rPr>
        <w:t>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1" w:firstLineChars="4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
          <w:bCs/>
          <w:color w:val="auto"/>
          <w:sz w:val="32"/>
          <w:szCs w:val="32"/>
          <w:highlight w:val="none"/>
          <w:shd w:val="clear" w:color="auto" w:fill="FFFFFF"/>
        </w:rPr>
        <w:t>2</w:t>
      </w:r>
      <w:r>
        <w:rPr>
          <w:rFonts w:ascii="Times New Roman" w:hAnsi="Times New Roman" w:eastAsia="方正仿宋_GBK"/>
          <w:b w:val="0"/>
          <w:bCs w:val="0"/>
          <w:color w:val="auto"/>
          <w:sz w:val="32"/>
          <w:szCs w:val="32"/>
          <w:highlight w:val="none"/>
          <w:shd w:val="clear" w:color="auto" w:fill="FFFFFF"/>
        </w:rPr>
        <w:t>024</w:t>
      </w:r>
      <w:r>
        <w:rPr>
          <w:rFonts w:ascii="方正仿宋_GBK" w:hAnsi="方正仿宋_GBK" w:eastAsia="方正仿宋_GBK" w:cs="方正仿宋_GBK"/>
          <w:b w:val="0"/>
          <w:bCs w:val="0"/>
          <w:color w:val="auto"/>
          <w:sz w:val="32"/>
          <w:szCs w:val="32"/>
          <w:highlight w:val="none"/>
          <w:shd w:val="clear" w:color="auto" w:fill="FFFFFF"/>
        </w:rPr>
        <w:t>年度我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155.89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tbl>
      <w:tblPr>
        <w:tblStyle w:val="10"/>
        <w:tblW w:w="5000" w:type="pct"/>
        <w:tblInd w:w="0" w:type="dxa"/>
        <w:shd w:val="clear" w:color="auto" w:fill="auto"/>
        <w:tblLayout w:type="autofit"/>
        <w:tblCellMar>
          <w:top w:w="0" w:type="dxa"/>
          <w:left w:w="0" w:type="dxa"/>
          <w:bottom w:w="0" w:type="dxa"/>
          <w:right w:w="0" w:type="dxa"/>
        </w:tblCellMar>
      </w:tblPr>
      <w:tblGrid>
        <w:gridCol w:w="1388"/>
        <w:gridCol w:w="815"/>
        <w:gridCol w:w="813"/>
        <w:gridCol w:w="820"/>
        <w:gridCol w:w="594"/>
        <w:gridCol w:w="777"/>
        <w:gridCol w:w="764"/>
        <w:gridCol w:w="592"/>
        <w:gridCol w:w="481"/>
        <w:gridCol w:w="707"/>
        <w:gridCol w:w="594"/>
      </w:tblGrid>
      <w:tr>
        <w:tblPrEx>
          <w:shd w:val="clear" w:color="auto" w:fill="auto"/>
          <w:tblCellMar>
            <w:top w:w="0" w:type="dxa"/>
            <w:left w:w="0" w:type="dxa"/>
            <w:bottom w:w="0" w:type="dxa"/>
            <w:right w:w="0"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编外人员劳务工资支出</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50023024T000004364818</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610-丰都县规划和自然资源局</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006-经建科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李琳</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70708061</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499" w:hRule="atLeast"/>
        </w:trPr>
        <w:tc>
          <w:tcPr>
            <w:tcW w:w="12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499"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2"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负责全县辖区房屋权属登记、林地登记不动产交易登记、农村产权流转交易及不动产交易登记档案整理、保管、利用等工作.保障全县房屋登记工作的正常运转.</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负责全县辖区房屋权属登记、林地登记不动产交易登记、农村产权流转交易及不动产交易登记档案整理、保管、利用等工作.保障全县房屋登记工作的正常运转.</w:t>
            </w:r>
          </w:p>
        </w:tc>
        <w:tc>
          <w:tcPr>
            <w:tcW w:w="121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完成当年全县辖区房屋权属登记、林地登记不动产交易登记、农村产权流转交易及不动产交易登记档案整理、保管、利用等工作.保障全县房屋登记工作的正常运转.</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69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总聘用人员数量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聘用临时人员20人</w:t>
            </w:r>
          </w:p>
        </w:tc>
      </w:tr>
      <w:tr>
        <w:tblPrEx>
          <w:tblCellMar>
            <w:top w:w="0" w:type="dxa"/>
            <w:left w:w="0" w:type="dxa"/>
            <w:bottom w:w="0" w:type="dxa"/>
            <w:right w:w="0" w:type="dxa"/>
          </w:tblCellMar>
        </w:tblPrEx>
        <w:trPr>
          <w:trHeight w:val="69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临聘人员选聘方案制定率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聘用临时人员20人</w:t>
            </w:r>
          </w:p>
        </w:tc>
      </w:tr>
      <w:tr>
        <w:tblPrEx>
          <w:tblCellMar>
            <w:top w:w="0" w:type="dxa"/>
            <w:left w:w="0" w:type="dxa"/>
            <w:bottom w:w="0" w:type="dxa"/>
            <w:right w:w="0" w:type="dxa"/>
          </w:tblCellMar>
        </w:tblPrEx>
        <w:trPr>
          <w:trHeight w:val="525"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补助资金及时发放率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促进全县人才结构发展</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促进全县人才结构发展、增加就业率</w:t>
            </w:r>
          </w:p>
        </w:tc>
      </w:tr>
      <w:tr>
        <w:tblPrEx>
          <w:tblCellMar>
            <w:top w:w="0" w:type="dxa"/>
            <w:left w:w="0" w:type="dxa"/>
            <w:bottom w:w="0" w:type="dxa"/>
            <w:right w:w="0" w:type="dxa"/>
          </w:tblCellMar>
        </w:tblPrEx>
        <w:trPr>
          <w:trHeight w:val="705"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增加就业人口数量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增加全县人口就业率</w:t>
            </w:r>
          </w:p>
        </w:tc>
      </w:tr>
      <w:tr>
        <w:tblPrEx>
          <w:tblCellMar>
            <w:top w:w="0" w:type="dxa"/>
            <w:left w:w="0" w:type="dxa"/>
            <w:bottom w:w="0" w:type="dxa"/>
            <w:right w:w="0" w:type="dxa"/>
          </w:tblCellMar>
        </w:tblPrEx>
        <w:trPr>
          <w:trHeight w:val="499"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tbl>
      <w:tblPr>
        <w:tblStyle w:val="10"/>
        <w:tblW w:w="5000" w:type="pct"/>
        <w:tblInd w:w="0" w:type="dxa"/>
        <w:shd w:val="clear" w:color="auto" w:fill="auto"/>
        <w:tblLayout w:type="autofit"/>
        <w:tblCellMar>
          <w:top w:w="0" w:type="dxa"/>
          <w:left w:w="0" w:type="dxa"/>
          <w:bottom w:w="0" w:type="dxa"/>
          <w:right w:w="0" w:type="dxa"/>
        </w:tblCellMar>
      </w:tblPr>
      <w:tblGrid>
        <w:gridCol w:w="880"/>
        <w:gridCol w:w="875"/>
        <w:gridCol w:w="872"/>
        <w:gridCol w:w="880"/>
        <w:gridCol w:w="637"/>
        <w:gridCol w:w="835"/>
        <w:gridCol w:w="820"/>
        <w:gridCol w:w="634"/>
        <w:gridCol w:w="516"/>
        <w:gridCol w:w="759"/>
        <w:gridCol w:w="637"/>
      </w:tblGrid>
      <w:tr>
        <w:tblPrEx>
          <w:shd w:val="clear" w:color="auto" w:fill="auto"/>
          <w:tblCellMar>
            <w:top w:w="0" w:type="dxa"/>
            <w:left w:w="0" w:type="dxa"/>
            <w:bottom w:w="0" w:type="dxa"/>
            <w:right w:w="0" w:type="dxa"/>
          </w:tblCellMar>
        </w:tblPrEx>
        <w:trPr>
          <w:trHeight w:val="73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不动产登记运行经费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50023024T000004058409</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610-丰都县规划和自然资源局</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006-经建科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李琳</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70708061</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499"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8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4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8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4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8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4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8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4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499" w:hRule="atLeast"/>
        </w:trPr>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77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2" w:hRule="atLeast"/>
        </w:trPr>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全县不动产登记工作、负责县辖区房屋权属登记工作、保障全县房屋登记工作的正常运转、贯彻落实市局对不动产登记工作的专项要求、打造不动产登记标准化窗口、进一步明确农村各类资源和资产的权利归属、进一步明确农村各类资源和资产的权利归属，为乡</w:t>
            </w:r>
            <w:r>
              <w:rPr>
                <w:rFonts w:hint="eastAsia" w:cs="宋体"/>
                <w:i w:val="0"/>
                <w:color w:val="000000"/>
                <w:kern w:val="0"/>
                <w:sz w:val="22"/>
                <w:szCs w:val="22"/>
                <w:u w:val="none"/>
                <w:lang w:val="en-US" w:eastAsia="zh-CN" w:bidi="ar"/>
              </w:rPr>
              <w:t>村</w:t>
            </w:r>
            <w:r>
              <w:rPr>
                <w:rFonts w:hint="eastAsia" w:ascii="宋体" w:hAnsi="宋体" w:eastAsia="宋体" w:cs="宋体"/>
                <w:i w:val="0"/>
                <w:color w:val="000000"/>
                <w:kern w:val="0"/>
                <w:sz w:val="22"/>
                <w:szCs w:val="22"/>
                <w:u w:val="none"/>
                <w:lang w:val="en-US" w:eastAsia="zh-CN" w:bidi="ar"/>
              </w:rPr>
              <w:t>振兴打下基础。</w:t>
            </w:r>
          </w:p>
        </w:tc>
        <w:tc>
          <w:tcPr>
            <w:tcW w:w="177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全县不动产登记工作、负责县辖区房屋权属登记工作、保障全县房屋登记工作的正常运转、贯彻落实市局对不动产登记工作的专项要求、打造不动产登记标准化窗口、进一步明确农村各类资源和资产的权利归属、进一步明确农村各类资源和资产的权利归属，为乡</w:t>
            </w:r>
            <w:r>
              <w:rPr>
                <w:rFonts w:hint="eastAsia" w:cs="宋体"/>
                <w:i w:val="0"/>
                <w:color w:val="000000"/>
                <w:kern w:val="0"/>
                <w:sz w:val="22"/>
                <w:szCs w:val="22"/>
                <w:u w:val="none"/>
                <w:lang w:val="en-US" w:eastAsia="zh-CN" w:bidi="ar"/>
              </w:rPr>
              <w:t>村</w:t>
            </w:r>
            <w:r>
              <w:rPr>
                <w:rFonts w:hint="eastAsia" w:ascii="宋体" w:hAnsi="宋体" w:eastAsia="宋体" w:cs="宋体"/>
                <w:i w:val="0"/>
                <w:color w:val="000000"/>
                <w:kern w:val="0"/>
                <w:sz w:val="22"/>
                <w:szCs w:val="22"/>
                <w:u w:val="none"/>
                <w:lang w:val="en-US" w:eastAsia="zh-CN" w:bidi="ar"/>
              </w:rPr>
              <w:t>振兴打下基础。</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县不动产登记、房屋权属登记工作、保障全县房屋登记工作的正常运转、并贯彻落实市局对不动产登记工作的专项要求、打造不动产登记标准化窗口、进一步明确农村各类资源和资产的权利归属、进一步明确农村各类资源和资产的权利归属。</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不动产登记查询量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不动产登记涉及乡镇个数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不动产登记及查询准确率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房产登记按计划完成率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便民利民确立产权人权利归属</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不动产登记系统运行维护</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项目总投入资金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tbl>
      <w:tblPr>
        <w:tblStyle w:val="10"/>
        <w:tblW w:w="5000" w:type="pct"/>
        <w:tblInd w:w="0" w:type="dxa"/>
        <w:shd w:val="clear" w:color="auto" w:fill="auto"/>
        <w:tblLayout w:type="autofit"/>
        <w:tblCellMar>
          <w:top w:w="0" w:type="dxa"/>
          <w:left w:w="0" w:type="dxa"/>
          <w:bottom w:w="0" w:type="dxa"/>
          <w:right w:w="0" w:type="dxa"/>
        </w:tblCellMar>
      </w:tblPr>
      <w:tblGrid>
        <w:gridCol w:w="1203"/>
        <w:gridCol w:w="843"/>
        <w:gridCol w:w="841"/>
        <w:gridCol w:w="848"/>
        <w:gridCol w:w="615"/>
        <w:gridCol w:w="806"/>
        <w:gridCol w:w="790"/>
        <w:gridCol w:w="554"/>
        <w:gridCol w:w="498"/>
        <w:gridCol w:w="732"/>
        <w:gridCol w:w="615"/>
      </w:tblGrid>
      <w:tr>
        <w:tblPrEx>
          <w:shd w:val="clear" w:color="auto" w:fill="auto"/>
          <w:tblCellMar>
            <w:top w:w="0" w:type="dxa"/>
            <w:left w:w="0" w:type="dxa"/>
            <w:bottom w:w="0" w:type="dxa"/>
            <w:right w:w="0"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创新人才引进安家补助经费</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50023025T000004658421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610-丰都县规划和自然资源局</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006-经建科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胡艳</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70708061</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499" w:hRule="atLeast"/>
        </w:trPr>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48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48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48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499" w:hRule="atLeast"/>
        </w:trPr>
        <w:tc>
          <w:tcPr>
            <w:tcW w:w="204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7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2" w:hRule="atLeast"/>
        </w:trPr>
        <w:tc>
          <w:tcPr>
            <w:tcW w:w="204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丰都县人力资源和社会保障局关于划拨引进创新人才安家补助经费的请示，对2020年综合类创新人才给予4万元/年的安家补助经费，分3年兑现。</w:t>
            </w:r>
          </w:p>
        </w:tc>
        <w:tc>
          <w:tcPr>
            <w:tcW w:w="17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丰都县人力资源和社会保障局关于划拨引进创新人才安家补助经费的请示，对2020年综合类创新人才给予4万元/年的安家补助经费，分3年兑现。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效益：改善了我县干部人才结构，为推动我县经济社会发展提供了人才支撑。</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after="220" w:afterAutospacing="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2024年已按时兑现人才引进补助1人，补助金额1.34万元。 优化了单位干部人才结构，提升单位效能和服务质量，促进我县经济与产业升级，达到全年绩效目标。</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全年补助标准</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创新补助人才满意度</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创新人才满意度</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tbl>
      <w:tblPr>
        <w:tblStyle w:val="10"/>
        <w:tblW w:w="5000" w:type="pct"/>
        <w:tblInd w:w="0" w:type="dxa"/>
        <w:shd w:val="clear" w:color="auto" w:fill="auto"/>
        <w:tblLayout w:type="autofit"/>
        <w:tblCellMar>
          <w:top w:w="0" w:type="dxa"/>
          <w:left w:w="0" w:type="dxa"/>
          <w:bottom w:w="0" w:type="dxa"/>
          <w:right w:w="0" w:type="dxa"/>
        </w:tblCellMar>
      </w:tblPr>
      <w:tblGrid>
        <w:gridCol w:w="1214"/>
        <w:gridCol w:w="842"/>
        <w:gridCol w:w="840"/>
        <w:gridCol w:w="847"/>
        <w:gridCol w:w="614"/>
        <w:gridCol w:w="804"/>
        <w:gridCol w:w="789"/>
        <w:gridCol w:w="553"/>
        <w:gridCol w:w="497"/>
        <w:gridCol w:w="731"/>
        <w:gridCol w:w="614"/>
      </w:tblGrid>
      <w:tr>
        <w:tblPrEx>
          <w:shd w:val="clear" w:color="auto" w:fill="auto"/>
          <w:tblCellMar>
            <w:top w:w="0" w:type="dxa"/>
            <w:left w:w="0" w:type="dxa"/>
            <w:bottom w:w="0" w:type="dxa"/>
            <w:right w:w="0"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登记中心驻乡驻村干部补助</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50023024T000004070869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610-丰都县规划和自然资源局</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006-经建科</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胡艳</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70708061</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499" w:hRule="atLeast"/>
        </w:trPr>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4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4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37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4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25,500.00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499" w:hRule="atLeast"/>
        </w:trPr>
        <w:tc>
          <w:tcPr>
            <w:tcW w:w="204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2325" w:hRule="atLeast"/>
        </w:trPr>
        <w:tc>
          <w:tcPr>
            <w:tcW w:w="204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在乡镇党委、政府领导和指导下，紧紧依靠乡镇党委和村党组织，团结带领党员干部和群众；2、做基层组织建设，实现团队队伍好；3、做精准脱贫攻坚，实现小康建设好；4、做百镇千村建设，实现美丽乡村好；5、做乡村特色项目，实现产业发展好。</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在乡镇党委政府领导和指导下，紧紧依靠乡镇党委和村党组织带领党员干部和群众、做好基层组织工作建设乡村振兴。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产出：下乡驻村1人，到双路镇楠木村开展乡村振兴工作。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益：发展乡村旅游，改善交通、水电等条件，提升乡村教育水平，保护和传承乡村传统文化，提高村民环保意识，推动了产业发展，将春安村建设得更美好。做精准脱贫攻坚，实现小康建设好；4、做百镇千村建设，实现美丽乡村好；5、做乡村特色项目，实现产业发展好。</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1人下乡到双路楠木村驻村开展乡村振兴工作，按规定发放补助。挖掘乡村特色资源，发展特色农业、乡村旅游；改善了交通、水电、通信等条件；助力教育、医疗、文化等公共服务发展；组织支教活动，提升了乡村教育水平；产业发展创造就业岗位，吸引人才回流；开展文明村、文明家庭评选活动，提升了村民文明素养；加强乡村生态保护和修复，提高了村民环保意识；开展技能培训、培训，使许多村民成为种养殖能手。</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每月经费标准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总成本</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乡村振兴建设美好家园</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提高村民环保意识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推动产业发展</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帮扶对象满意度</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p>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highlight w:val="none"/>
          <w:shd w:val="clear" w:fill="FFFFFF"/>
        </w:rPr>
      </w:pPr>
      <w:r>
        <w:rPr>
          <w:rFonts w:hint="eastAsia" w:ascii="楷体" w:hAnsi="楷体" w:eastAsia="楷体" w:cs="楷体"/>
          <w:b/>
          <w:bCs/>
          <w:color w:val="auto"/>
          <w:kern w:val="0"/>
          <w:sz w:val="32"/>
          <w:szCs w:val="32"/>
          <w:highlight w:val="none"/>
          <w:shd w:val="clear" w:fill="FFFFFF"/>
          <w:lang w:val="en-US" w:eastAsia="zh-CN"/>
        </w:rPr>
        <w:t>单位</w:t>
      </w:r>
      <w:r>
        <w:rPr>
          <w:rFonts w:hint="eastAsia" w:ascii="楷体" w:hAnsi="楷体" w:eastAsia="楷体" w:cs="楷体"/>
          <w:b/>
          <w:bCs/>
          <w:color w:val="auto"/>
          <w:kern w:val="0"/>
          <w:sz w:val="32"/>
          <w:szCs w:val="32"/>
          <w:highlight w:val="none"/>
          <w:shd w:val="clear" w:fill="FFFFFF"/>
        </w:rPr>
        <w:t>绩效评价情况</w:t>
      </w:r>
    </w:p>
    <w:p>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1606" w:firstLineChars="500"/>
        <w:jc w:val="left"/>
        <w:textAlignment w:val="auto"/>
        <w:rPr>
          <w:rFonts w:hint="eastAsia" w:ascii="楷体" w:hAnsi="楷体" w:eastAsia="楷体" w:cs="楷体"/>
          <w:b/>
          <w:bCs/>
          <w:color w:val="auto"/>
          <w:kern w:val="0"/>
          <w:sz w:val="32"/>
          <w:szCs w:val="32"/>
          <w:highlight w:val="none"/>
          <w:shd w:val="clear" w:fill="FFFFFF"/>
          <w:lang w:eastAsia="zh-CN"/>
        </w:rPr>
      </w:pPr>
      <w:r>
        <w:rPr>
          <w:rFonts w:hint="eastAsia" w:ascii="楷体" w:hAnsi="楷体" w:eastAsia="楷体" w:cs="楷体"/>
          <w:b/>
          <w:bCs/>
          <w:color w:val="auto"/>
          <w:kern w:val="0"/>
          <w:sz w:val="32"/>
          <w:szCs w:val="32"/>
          <w:highlight w:val="none"/>
          <w:shd w:val="clear" w:fill="FFFFFF"/>
          <w:lang w:val="en-US" w:eastAsia="zh-CN"/>
        </w:rPr>
        <w:t>单位未组织开展绩效评价。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shd w:val="clear" w:fill="FFFFFF"/>
          <w:lang w:eastAsia="zh-CN"/>
        </w:rPr>
      </w:pPr>
      <w:r>
        <w:rPr>
          <w:rFonts w:hint="eastAsia" w:ascii="方正仿宋_GBK" w:hAnsi="方正仿宋_GBK" w:eastAsia="方正仿宋_GBK" w:cs="方正仿宋_GBK"/>
          <w:color w:val="auto"/>
          <w:kern w:val="0"/>
          <w:sz w:val="32"/>
          <w:szCs w:val="32"/>
          <w:highlight w:val="none"/>
          <w:shd w:val="clear" w:fill="FFFFFF"/>
          <w:lang w:val="en-US" w:eastAsia="zh-CN"/>
        </w:rPr>
        <w:t>县财政局未委托第三方对我单位开展绩效评价。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交</w:t>
      </w:r>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color w:val="auto"/>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eastAsia="zh-CN"/>
        </w:rPr>
        <w:t>胡艳</w:t>
      </w:r>
      <w:r>
        <w:rPr>
          <w:rFonts w:hint="eastAsia" w:ascii="方正仿宋_GBK" w:hAnsi="方正仿宋_GBK" w:eastAsia="方正仿宋_GBK" w:cs="方正仿宋_GBK"/>
          <w:color w:val="auto"/>
          <w:kern w:val="0"/>
          <w:sz w:val="32"/>
          <w:szCs w:val="32"/>
          <w:shd w:val="clear" w:fill="FFFFFF"/>
          <w:lang w:val="en-US" w:eastAsia="zh-CN"/>
        </w:rPr>
        <w:t xml:space="preserve">  023-70708061</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丰都县不动产登记中心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丰都县不动产登记中心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426.33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426.33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丰都县不动产登记中心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430.01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348.67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81.34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丰都县不动产登记中心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丰都县不动产登记中心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344.99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丰都县不动产登记中心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255.04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89.95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丰都县不动产登记中心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丰都县不动产登记中心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丰都县不动产登记中心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7640AA"/>
    <w:multiLevelType w:val="singleLevel"/>
    <w:tmpl w:val="D27640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A14026"/>
    <w:rsid w:val="01EB03A8"/>
    <w:rsid w:val="01F3521E"/>
    <w:rsid w:val="02D06700"/>
    <w:rsid w:val="03B87EA0"/>
    <w:rsid w:val="03E3214F"/>
    <w:rsid w:val="042614B1"/>
    <w:rsid w:val="043801CB"/>
    <w:rsid w:val="044C50BA"/>
    <w:rsid w:val="05BC6D49"/>
    <w:rsid w:val="060362D9"/>
    <w:rsid w:val="06194FF1"/>
    <w:rsid w:val="06A2550B"/>
    <w:rsid w:val="06F80EE2"/>
    <w:rsid w:val="07001CCA"/>
    <w:rsid w:val="071A5A06"/>
    <w:rsid w:val="075678DB"/>
    <w:rsid w:val="077B465F"/>
    <w:rsid w:val="079D7CC7"/>
    <w:rsid w:val="08051BCA"/>
    <w:rsid w:val="086C12F4"/>
    <w:rsid w:val="08705944"/>
    <w:rsid w:val="08BA052C"/>
    <w:rsid w:val="08DB07BA"/>
    <w:rsid w:val="0969353F"/>
    <w:rsid w:val="098305D0"/>
    <w:rsid w:val="09B1218B"/>
    <w:rsid w:val="0A3317EA"/>
    <w:rsid w:val="0A5C4B69"/>
    <w:rsid w:val="0A805B9E"/>
    <w:rsid w:val="0A86124A"/>
    <w:rsid w:val="0AB54CC0"/>
    <w:rsid w:val="0B9335CE"/>
    <w:rsid w:val="0BF2311A"/>
    <w:rsid w:val="0C7927C4"/>
    <w:rsid w:val="0C9B098C"/>
    <w:rsid w:val="0CA502F4"/>
    <w:rsid w:val="0D673E11"/>
    <w:rsid w:val="0DDA54E4"/>
    <w:rsid w:val="0E3A5F83"/>
    <w:rsid w:val="0ED44A7E"/>
    <w:rsid w:val="0F7F6343"/>
    <w:rsid w:val="0F836721"/>
    <w:rsid w:val="0FA25D96"/>
    <w:rsid w:val="107B59E5"/>
    <w:rsid w:val="109854A0"/>
    <w:rsid w:val="10EC0126"/>
    <w:rsid w:val="10F70B9A"/>
    <w:rsid w:val="111445C7"/>
    <w:rsid w:val="114278C6"/>
    <w:rsid w:val="1158083A"/>
    <w:rsid w:val="11643A4B"/>
    <w:rsid w:val="11ED0F98"/>
    <w:rsid w:val="11F03528"/>
    <w:rsid w:val="12C921C4"/>
    <w:rsid w:val="13871C70"/>
    <w:rsid w:val="13A71CB4"/>
    <w:rsid w:val="13AF1D43"/>
    <w:rsid w:val="13CE1647"/>
    <w:rsid w:val="13F5684A"/>
    <w:rsid w:val="13FD55AB"/>
    <w:rsid w:val="14200702"/>
    <w:rsid w:val="14370EA1"/>
    <w:rsid w:val="15A310EA"/>
    <w:rsid w:val="163A6CEE"/>
    <w:rsid w:val="173708E3"/>
    <w:rsid w:val="17C374FC"/>
    <w:rsid w:val="182E4AB6"/>
    <w:rsid w:val="189079DC"/>
    <w:rsid w:val="189B0D0B"/>
    <w:rsid w:val="18B43F7C"/>
    <w:rsid w:val="191C433B"/>
    <w:rsid w:val="194A1770"/>
    <w:rsid w:val="19B906A4"/>
    <w:rsid w:val="19B92850"/>
    <w:rsid w:val="19E65864"/>
    <w:rsid w:val="1AD4263E"/>
    <w:rsid w:val="1B6F15B6"/>
    <w:rsid w:val="1BAA2EDC"/>
    <w:rsid w:val="1BE709C0"/>
    <w:rsid w:val="1CA55E64"/>
    <w:rsid w:val="1D014A01"/>
    <w:rsid w:val="1D022362"/>
    <w:rsid w:val="1D0406EB"/>
    <w:rsid w:val="1D1B04B0"/>
    <w:rsid w:val="1DA52501"/>
    <w:rsid w:val="1DBD6767"/>
    <w:rsid w:val="1DC52125"/>
    <w:rsid w:val="1DD26311"/>
    <w:rsid w:val="1E374ACB"/>
    <w:rsid w:val="1ECF0A66"/>
    <w:rsid w:val="1EF67CA4"/>
    <w:rsid w:val="1F020D3A"/>
    <w:rsid w:val="1F2C5189"/>
    <w:rsid w:val="1F4B0B02"/>
    <w:rsid w:val="1F7A4652"/>
    <w:rsid w:val="1FBB35CD"/>
    <w:rsid w:val="1FCD26AF"/>
    <w:rsid w:val="20642787"/>
    <w:rsid w:val="21556F04"/>
    <w:rsid w:val="22403BD3"/>
    <w:rsid w:val="22AD3177"/>
    <w:rsid w:val="22BF5CDB"/>
    <w:rsid w:val="235417B6"/>
    <w:rsid w:val="241622A6"/>
    <w:rsid w:val="24B92327"/>
    <w:rsid w:val="24C14514"/>
    <w:rsid w:val="2533755C"/>
    <w:rsid w:val="25791755"/>
    <w:rsid w:val="26396DF4"/>
    <w:rsid w:val="26603EFF"/>
    <w:rsid w:val="26B41883"/>
    <w:rsid w:val="27167136"/>
    <w:rsid w:val="271B442C"/>
    <w:rsid w:val="2777697D"/>
    <w:rsid w:val="27B23302"/>
    <w:rsid w:val="29310A5F"/>
    <w:rsid w:val="29C37A35"/>
    <w:rsid w:val="29FB1396"/>
    <w:rsid w:val="2A076083"/>
    <w:rsid w:val="2A0D66DD"/>
    <w:rsid w:val="2A73162E"/>
    <w:rsid w:val="2B167953"/>
    <w:rsid w:val="2B200583"/>
    <w:rsid w:val="2B2729C0"/>
    <w:rsid w:val="2B8209DE"/>
    <w:rsid w:val="2B821C91"/>
    <w:rsid w:val="2BF81A22"/>
    <w:rsid w:val="2C636760"/>
    <w:rsid w:val="2C6762A3"/>
    <w:rsid w:val="2DF02AA1"/>
    <w:rsid w:val="2F754B98"/>
    <w:rsid w:val="2FCA4B37"/>
    <w:rsid w:val="2FE029D7"/>
    <w:rsid w:val="2FF06E00"/>
    <w:rsid w:val="30586FEC"/>
    <w:rsid w:val="307E3415"/>
    <w:rsid w:val="315F0B22"/>
    <w:rsid w:val="31A15828"/>
    <w:rsid w:val="31D84415"/>
    <w:rsid w:val="32285F6F"/>
    <w:rsid w:val="32770556"/>
    <w:rsid w:val="329C0913"/>
    <w:rsid w:val="32AA0460"/>
    <w:rsid w:val="3337290D"/>
    <w:rsid w:val="33E31118"/>
    <w:rsid w:val="33EF7674"/>
    <w:rsid w:val="342D7BC6"/>
    <w:rsid w:val="34643BC6"/>
    <w:rsid w:val="352930DB"/>
    <w:rsid w:val="35414D4C"/>
    <w:rsid w:val="35573069"/>
    <w:rsid w:val="355F6038"/>
    <w:rsid w:val="358C217E"/>
    <w:rsid w:val="36210CB7"/>
    <w:rsid w:val="3684713A"/>
    <w:rsid w:val="36C9128A"/>
    <w:rsid w:val="36E12C9B"/>
    <w:rsid w:val="370B0743"/>
    <w:rsid w:val="374E4F8B"/>
    <w:rsid w:val="37841E99"/>
    <w:rsid w:val="37BF1123"/>
    <w:rsid w:val="383C3F15"/>
    <w:rsid w:val="384D7479"/>
    <w:rsid w:val="38BE4696"/>
    <w:rsid w:val="3939115E"/>
    <w:rsid w:val="39B82A39"/>
    <w:rsid w:val="39C42CA8"/>
    <w:rsid w:val="39DC4FD6"/>
    <w:rsid w:val="39F03D7A"/>
    <w:rsid w:val="39F33306"/>
    <w:rsid w:val="3A2C1C67"/>
    <w:rsid w:val="3A6A77C9"/>
    <w:rsid w:val="3AB364DE"/>
    <w:rsid w:val="3ADD7F09"/>
    <w:rsid w:val="3B1705E5"/>
    <w:rsid w:val="3B18334B"/>
    <w:rsid w:val="3B36794F"/>
    <w:rsid w:val="3B6F6EE0"/>
    <w:rsid w:val="3C566AD6"/>
    <w:rsid w:val="3C594871"/>
    <w:rsid w:val="3C6A5B02"/>
    <w:rsid w:val="3CCA404E"/>
    <w:rsid w:val="3D083B3A"/>
    <w:rsid w:val="3D1B25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4406DE"/>
    <w:rsid w:val="439A3EB9"/>
    <w:rsid w:val="43AA6925"/>
    <w:rsid w:val="43BB152F"/>
    <w:rsid w:val="43BB7651"/>
    <w:rsid w:val="43F61B9C"/>
    <w:rsid w:val="44C37687"/>
    <w:rsid w:val="45CB699A"/>
    <w:rsid w:val="46423C66"/>
    <w:rsid w:val="465B470D"/>
    <w:rsid w:val="4688653F"/>
    <w:rsid w:val="469D6AD4"/>
    <w:rsid w:val="471E6C84"/>
    <w:rsid w:val="4748792B"/>
    <w:rsid w:val="475D719D"/>
    <w:rsid w:val="475F7AF7"/>
    <w:rsid w:val="47674801"/>
    <w:rsid w:val="48225EF7"/>
    <w:rsid w:val="488F422B"/>
    <w:rsid w:val="48E36915"/>
    <w:rsid w:val="48EB6572"/>
    <w:rsid w:val="495C4A24"/>
    <w:rsid w:val="497135DF"/>
    <w:rsid w:val="4A263DF2"/>
    <w:rsid w:val="4A2F278B"/>
    <w:rsid w:val="4A6B78E2"/>
    <w:rsid w:val="4A6F6675"/>
    <w:rsid w:val="4AEE5460"/>
    <w:rsid w:val="4B135857"/>
    <w:rsid w:val="4B7951CB"/>
    <w:rsid w:val="4B7C315C"/>
    <w:rsid w:val="4BE17463"/>
    <w:rsid w:val="4D080B70"/>
    <w:rsid w:val="4D1F53CA"/>
    <w:rsid w:val="4DAC4ACA"/>
    <w:rsid w:val="4DBE01D2"/>
    <w:rsid w:val="4E5F401F"/>
    <w:rsid w:val="4EFD467F"/>
    <w:rsid w:val="4F0C6BA3"/>
    <w:rsid w:val="4F186D58"/>
    <w:rsid w:val="4FFE7F08"/>
    <w:rsid w:val="504B6EAA"/>
    <w:rsid w:val="50544E42"/>
    <w:rsid w:val="50F06B6E"/>
    <w:rsid w:val="51064DCD"/>
    <w:rsid w:val="51D21804"/>
    <w:rsid w:val="52234D33"/>
    <w:rsid w:val="522F6E0C"/>
    <w:rsid w:val="52463BA1"/>
    <w:rsid w:val="52F163D4"/>
    <w:rsid w:val="531A2DB4"/>
    <w:rsid w:val="53C0244D"/>
    <w:rsid w:val="53DD4D4E"/>
    <w:rsid w:val="53E578CE"/>
    <w:rsid w:val="53F368BA"/>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AF69CE"/>
    <w:rsid w:val="5842572D"/>
    <w:rsid w:val="58F2405B"/>
    <w:rsid w:val="58F612B3"/>
    <w:rsid w:val="5A3B59D6"/>
    <w:rsid w:val="5ACF4A4D"/>
    <w:rsid w:val="5AD134D8"/>
    <w:rsid w:val="5BF41F67"/>
    <w:rsid w:val="5BF66FB0"/>
    <w:rsid w:val="5C263CE4"/>
    <w:rsid w:val="5C5D2777"/>
    <w:rsid w:val="5CF66BF3"/>
    <w:rsid w:val="5D290C69"/>
    <w:rsid w:val="5DA80C2C"/>
    <w:rsid w:val="5F2D4A41"/>
    <w:rsid w:val="60C74F6C"/>
    <w:rsid w:val="61015958"/>
    <w:rsid w:val="61025A59"/>
    <w:rsid w:val="613D5BBC"/>
    <w:rsid w:val="61536C39"/>
    <w:rsid w:val="62944DD7"/>
    <w:rsid w:val="63061122"/>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49618B"/>
    <w:rsid w:val="67924660"/>
    <w:rsid w:val="68407834"/>
    <w:rsid w:val="6883293E"/>
    <w:rsid w:val="688412AD"/>
    <w:rsid w:val="68EB1B71"/>
    <w:rsid w:val="69683B78"/>
    <w:rsid w:val="696C0310"/>
    <w:rsid w:val="69F35564"/>
    <w:rsid w:val="6A6C7940"/>
    <w:rsid w:val="6A9F1565"/>
    <w:rsid w:val="6AAD2300"/>
    <w:rsid w:val="6AB73958"/>
    <w:rsid w:val="6B474EF5"/>
    <w:rsid w:val="6BC938E5"/>
    <w:rsid w:val="6C0A5AC5"/>
    <w:rsid w:val="6C560CAE"/>
    <w:rsid w:val="6C576495"/>
    <w:rsid w:val="6CAD4087"/>
    <w:rsid w:val="6D903FF5"/>
    <w:rsid w:val="6DA955B8"/>
    <w:rsid w:val="6DE346AB"/>
    <w:rsid w:val="6DE5391A"/>
    <w:rsid w:val="6E7E1BA9"/>
    <w:rsid w:val="6EFD1324"/>
    <w:rsid w:val="6F192A6A"/>
    <w:rsid w:val="6F5A53AC"/>
    <w:rsid w:val="6FAC003D"/>
    <w:rsid w:val="6FD926BF"/>
    <w:rsid w:val="6FE55E12"/>
    <w:rsid w:val="6FFB2E76"/>
    <w:rsid w:val="708F6F7F"/>
    <w:rsid w:val="70D94BD3"/>
    <w:rsid w:val="71574775"/>
    <w:rsid w:val="71672623"/>
    <w:rsid w:val="71C34D91"/>
    <w:rsid w:val="72DB435C"/>
    <w:rsid w:val="72E2613A"/>
    <w:rsid w:val="72F771F4"/>
    <w:rsid w:val="73934AD2"/>
    <w:rsid w:val="750837F0"/>
    <w:rsid w:val="754758CF"/>
    <w:rsid w:val="75595ECD"/>
    <w:rsid w:val="764F62AB"/>
    <w:rsid w:val="765C45EC"/>
    <w:rsid w:val="768A7619"/>
    <w:rsid w:val="76BD23AB"/>
    <w:rsid w:val="772E1EBA"/>
    <w:rsid w:val="781926BC"/>
    <w:rsid w:val="78A43983"/>
    <w:rsid w:val="796D60A4"/>
    <w:rsid w:val="798456BF"/>
    <w:rsid w:val="79A031D5"/>
    <w:rsid w:val="79B47FDF"/>
    <w:rsid w:val="79E569A9"/>
    <w:rsid w:val="7A1525F7"/>
    <w:rsid w:val="7AE310AD"/>
    <w:rsid w:val="7AE446F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15"/>
    <w:basedOn w:val="12"/>
    <w:qFormat/>
    <w:uiPriority w:val="0"/>
    <w:rPr>
      <w:rFonts w:hint="default" w:ascii="Times New Roman" w:hAnsi="Times New Roman" w:cs="Times New Roman"/>
      <w:color w:val="0000FF"/>
      <w:sz w:val="27"/>
      <w:szCs w:val="27"/>
    </w:rPr>
  </w:style>
  <w:style w:type="character" w:customStyle="1" w:styleId="21">
    <w:name w:val="17"/>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3606</Words>
  <Characters>4153</Characters>
  <Lines>186</Lines>
  <Paragraphs>52</Paragraphs>
  <TotalTime>3</TotalTime>
  <ScaleCrop>false</ScaleCrop>
  <LinksUpToDate>false</LinksUpToDate>
  <CharactersWithSpaces>4155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2025-09-15T08:36:11Z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y fmtid="{D5CDD505-2E9C-101B-9397-08002B2CF9AE}" pid="4" name="KSOTemplateDocerSaveRecord">
    <vt:lpwstr>eyJoZGlkIjoiYmQwOWMwMWI2NTI0ZDRjYzczNjE1NDhiY2E5ZGNiZjkiLCJ1c2VySWQiOiI3MjE0MTk3MzQifQ==</vt:lpwstr>
  </property>
</Properties>
</file>