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70" w:lineRule="exact"/>
        <w:jc w:val="center"/>
        <w:rPr>
          <w:rFonts w:hint="default" w:ascii="Times New Roman" w:hAnsi="Times New Roman" w:eastAsia="方正小标宋_GBK" w:cs="Times New Roman"/>
          <w:color w:val="000000"/>
          <w:sz w:val="44"/>
          <w:szCs w:val="44"/>
        </w:rPr>
      </w:pPr>
    </w:p>
    <w:p>
      <w:pPr>
        <w:pStyle w:val="4"/>
        <w:widowControl w:val="0"/>
        <w:spacing w:before="0" w:beforeAutospacing="0" w:after="0" w:afterAutospacing="0" w:line="57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丰都县乡村振兴局</w:t>
      </w:r>
    </w:p>
    <w:p>
      <w:pPr>
        <w:pStyle w:val="4"/>
        <w:widowControl w:val="0"/>
        <w:spacing w:before="0" w:beforeAutospacing="0" w:after="0" w:afterAutospacing="0" w:line="57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202</w:t>
      </w:r>
      <w:r>
        <w:rPr>
          <w:rFonts w:hint="default" w:ascii="Times New Roman" w:hAnsi="Times New Roman" w:eastAsia="方正小标宋_GBK" w:cs="Times New Roman"/>
          <w:color w:val="000000"/>
          <w:sz w:val="44"/>
          <w:szCs w:val="44"/>
          <w:lang w:val="en-US" w:eastAsia="zh-CN"/>
        </w:rPr>
        <w:t>2</w:t>
      </w:r>
      <w:r>
        <w:rPr>
          <w:rFonts w:hint="default" w:ascii="Times New Roman" w:hAnsi="Times New Roman" w:eastAsia="方正小标宋_GBK" w:cs="Times New Roman"/>
          <w:color w:val="000000"/>
          <w:sz w:val="44"/>
          <w:szCs w:val="44"/>
        </w:rPr>
        <w:t>年度部门决算情况说明</w:t>
      </w:r>
    </w:p>
    <w:p>
      <w:pPr>
        <w:spacing w:line="570" w:lineRule="exact"/>
        <w:ind w:firstLine="640" w:firstLineChars="200"/>
        <w:rPr>
          <w:rFonts w:hint="default" w:ascii="Times New Roman" w:hAnsi="Times New Roman" w:eastAsia="黑体" w:cs="Times New Roman"/>
          <w:sz w:val="32"/>
          <w:szCs w:val="32"/>
          <w:lang w:val="en-US" w:eastAsia="zh-CN"/>
        </w:rPr>
      </w:pPr>
    </w:p>
    <w:p>
      <w:pPr>
        <w:numPr>
          <w:ilvl w:val="0"/>
          <w:numId w:val="1"/>
        </w:numPr>
        <w:spacing w:line="570" w:lineRule="exact"/>
        <w:ind w:firstLine="960" w:firstLineChars="3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部门基本情况</w:t>
      </w:r>
    </w:p>
    <w:p>
      <w:pPr>
        <w:numPr>
          <w:ilvl w:val="0"/>
          <w:numId w:val="0"/>
        </w:num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（一）职能职责</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bCs w:val="0"/>
          <w:sz w:val="32"/>
          <w:szCs w:val="32"/>
        </w:rPr>
        <w:t>1.</w:t>
      </w:r>
      <w:r>
        <w:rPr>
          <w:rStyle w:val="7"/>
          <w:rFonts w:hint="default" w:ascii="Times New Roman" w:hAnsi="Times New Roman" w:eastAsia="方正仿宋_GBK" w:cs="Times New Roman"/>
          <w:b w:val="0"/>
          <w:color w:val="000000"/>
          <w:kern w:val="0"/>
          <w:sz w:val="32"/>
          <w:szCs w:val="32"/>
          <w:lang w:val="en-US" w:eastAsia="zh-CN" w:bidi="ar-SA"/>
        </w:rPr>
        <w:t>丰都县乡村振兴局（原丰都县扶贫开发办公室）职能职责：根据《丰都县人民政府办公室关于印发丰都县扶贫开发办公室主要职责内设机构和人员编制规定的通知》（丰都府办发〔2015〕93号）及《中共丰都县委办公室丰都县人民政府办公室关于调整丰都县扶贫开发办公室职能配置、内设机构和人员编制的通知》(丰委办发〔2019〕7号）文件规定职能职责：一是贯彻执行党和国家有关扶贫开发的法律、法规和方针政策，负责全县扶贫开发工作的统筹协调、资金筹集、指导服务和监督管理工作。二是拟订全县扶贫开发的发展战略、目标任务和年度计划、政策措施和意见建议，经批准后组织实施；参与拟订涉及贫困地区经济社会发展的政策和规划。三是负责扶贫行政执法；负责分配和管理全县扶贫资金和物资；负责监督扶贫资金、物资的使用管理；负责管理扶贫开发项目，指导扶贫开发项目的实施；牵头组织扶贫资金使用的绩效考评。四是负责扶贫开发情况的统计和动态监测；负责全县扶贫系统统计信息工作和贫困对象的动态调整。五是组织贫困地区开展产业扶贫、科技扶贫、人力资源开发工作，组织和实施小片区扶贫开发，开展贫困地区干部有关扶贫政策和扶贫开发培训的监管工作。六是组织、协调和指导社会扶贫工作，联系中央国家机关定点扶贫和东部发达地区对本县的扶贫协作工作，组织、协调市级党政机关为主体的集团扶贫工作，组织、指导、协调本县机关企事业单位和民间力量参与扶贫开发工作。七是负责扶贫工作的县内外交流与合作；负责外资和外援扶贫项目的引进和实施。八是负责扶贫开发宣传工作及信息化建设。九是负责全县扶贫项目建设的安全生产管理和监督检查；负责办机关及所属单位的安全监管和信访稳定工作。十是承办县政府交办的其他事项。加强扶贫开发项目管理工作；加强社会扶贫工作；加强扶贫小额信贷工作；加强扶志扶智工作；加强扶贫对象动态调整。</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2.丰都县扶贫开发培训中心职责：根据丰都县机构编制委员会办公室关于县扶贫开发办公室所属事业单位宗旨和职责任务的批复（丰编办〔2014〕76号）文件规定；受县扶贫办委托，宣传贯彻中市县扶贫开发政策; 开展扶贫项目预算评估和效益分析；规划实施扶贫开发培训和劳动力转移就业服务；实施技能智力指导和科技扶贫工作；负责扶贫对象户的学生救助；组织协调贫困地区人才引进与培训。</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（二）机构设置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丰都县乡村振兴局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原丰都县扶贫开发办公室）</w:t>
      </w:r>
      <w:r>
        <w:rPr>
          <w:rFonts w:hint="default" w:ascii="Times New Roman" w:hAnsi="Times New Roman" w:eastAsia="方正仿宋_GBK" w:cs="Times New Roman"/>
          <w:sz w:val="32"/>
          <w:szCs w:val="32"/>
        </w:rPr>
        <w:t>内设3个职能科室</w:t>
      </w:r>
      <w:r>
        <w:rPr>
          <w:rFonts w:hint="default" w:ascii="Times New Roman" w:hAnsi="Times New Roman" w:eastAsia="方正仿宋_GBK" w:cs="Times New Roman"/>
          <w:sz w:val="32"/>
          <w:szCs w:val="32"/>
          <w:lang w:eastAsia="zh-CN"/>
        </w:rPr>
        <w:t>（</w:t>
      </w:r>
      <w:r>
        <w:rPr>
          <w:rStyle w:val="7"/>
          <w:rFonts w:hint="default" w:ascii="Times New Roman" w:hAnsi="Times New Roman" w:eastAsia="方正仿宋_GBK" w:cs="Times New Roman"/>
          <w:b w:val="0"/>
          <w:color w:val="000000"/>
          <w:kern w:val="0"/>
          <w:sz w:val="32"/>
          <w:szCs w:val="32"/>
          <w:lang w:val="en-US" w:eastAsia="zh-CN" w:bidi="ar-SA"/>
        </w:rPr>
        <w:t>综合科、项目计划与产业发展科、社会扶贫与资金监管科）</w:t>
      </w:r>
      <w:r>
        <w:rPr>
          <w:rFonts w:hint="default" w:ascii="Times New Roman" w:hAnsi="Times New Roman" w:eastAsia="方正仿宋_GBK" w:cs="Times New Roman"/>
          <w:sz w:val="32"/>
          <w:szCs w:val="32"/>
        </w:rPr>
        <w:t>，1个下属事业单位，事业单位为丰都县扶贫开发培训中心。</w:t>
      </w:r>
    </w:p>
    <w:p>
      <w:pPr>
        <w:spacing w:line="57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（三）单位构成</w:t>
      </w:r>
    </w:p>
    <w:p>
      <w:pPr>
        <w:spacing w:line="600" w:lineRule="exact"/>
        <w:ind w:firstLine="640" w:firstLineChars="200"/>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从预算单位构成看，纳入本部门2021年度决算编制的二级预算单位主要包括丰都县乡村振兴局（本级）、下属事业单位丰都县扶贫开发培训中心。</w:t>
      </w:r>
    </w:p>
    <w:p>
      <w:pPr>
        <w:pStyle w:val="4"/>
        <w:widowControl w:val="0"/>
        <w:shd w:val="clear" w:color="auto" w:fill="FFFFFF"/>
        <w:spacing w:before="0" w:beforeAutospacing="0" w:after="0" w:afterAutospacing="0" w:line="600" w:lineRule="exact"/>
        <w:ind w:firstLine="640" w:firstLineChars="200"/>
        <w:jc w:val="both"/>
        <w:rPr>
          <w:rStyle w:val="7"/>
          <w:rFonts w:hint="default" w:ascii="Times New Roman" w:hAnsi="Times New Roman" w:eastAsia="方正黑体_GBK" w:cs="Times New Roman"/>
          <w:b w:val="0"/>
          <w:sz w:val="32"/>
          <w:szCs w:val="32"/>
        </w:rPr>
      </w:pPr>
      <w:r>
        <w:rPr>
          <w:rStyle w:val="7"/>
          <w:rFonts w:hint="default" w:ascii="Times New Roman" w:hAnsi="Times New Roman" w:eastAsia="方正黑体_GBK" w:cs="Times New Roman"/>
          <w:b w:val="0"/>
          <w:sz w:val="32"/>
          <w:szCs w:val="32"/>
        </w:rPr>
        <w:t>二、部门决算情况说明</w:t>
      </w:r>
    </w:p>
    <w:p>
      <w:pPr>
        <w:pStyle w:val="4"/>
        <w:widowControl w:val="0"/>
        <w:shd w:val="clear" w:color="auto" w:fill="FFFFFF"/>
        <w:spacing w:before="0" w:beforeAutospacing="0" w:after="0" w:afterAutospacing="0" w:line="600" w:lineRule="exact"/>
        <w:ind w:firstLine="640" w:firstLineChars="200"/>
        <w:jc w:val="both"/>
        <w:rPr>
          <w:rStyle w:val="7"/>
          <w:rFonts w:hint="default" w:ascii="Times New Roman" w:hAnsi="Times New Roman" w:eastAsia="楷体" w:cs="Times New Roman"/>
          <w:b w:val="0"/>
          <w:sz w:val="32"/>
          <w:szCs w:val="32"/>
        </w:rPr>
      </w:pPr>
      <w:r>
        <w:rPr>
          <w:rStyle w:val="7"/>
          <w:rFonts w:hint="default" w:ascii="Times New Roman" w:hAnsi="Times New Roman" w:eastAsia="楷体" w:cs="Times New Roman"/>
          <w:b w:val="0"/>
          <w:sz w:val="32"/>
          <w:szCs w:val="32"/>
        </w:rPr>
        <w:t>（一）收入支出决算总体情况说明</w:t>
      </w:r>
    </w:p>
    <w:p>
      <w:pPr>
        <w:pStyle w:val="4"/>
        <w:widowControl w:val="0"/>
        <w:shd w:val="clear" w:color="auto" w:fill="FFFFFF"/>
        <w:spacing w:before="0" w:beforeAutospacing="0" w:after="0" w:afterAutospacing="0" w:line="600" w:lineRule="exact"/>
        <w:ind w:firstLine="643" w:firstLineChars="200"/>
        <w:jc w:val="both"/>
        <w:rPr>
          <w:rFonts w:hint="default" w:ascii="Times New Roman" w:hAnsi="Times New Roman" w:eastAsia="方正仿宋_GBK" w:cs="Times New Roman"/>
          <w:kern w:val="0"/>
          <w:sz w:val="32"/>
          <w:szCs w:val="32"/>
          <w:lang w:val="en-US" w:eastAsia="zh-CN" w:bidi="ar-SA"/>
        </w:rPr>
      </w:pPr>
      <w:r>
        <w:rPr>
          <w:rStyle w:val="7"/>
          <w:rFonts w:hint="default" w:ascii="Times New Roman" w:hAnsi="Times New Roman" w:eastAsia="方正仿宋_GBK" w:cs="Times New Roman"/>
          <w:b/>
          <w:bCs/>
          <w:sz w:val="32"/>
          <w:szCs w:val="32"/>
        </w:rPr>
        <w:t>1.总体情况。</w:t>
      </w:r>
      <w:r>
        <w:rPr>
          <w:rFonts w:hint="default" w:ascii="Times New Roman" w:hAnsi="Times New Roman" w:eastAsia="方正仿宋_GBK" w:cs="Times New Roman"/>
          <w:kern w:val="0"/>
          <w:sz w:val="32"/>
          <w:szCs w:val="32"/>
          <w:lang w:val="en-US" w:eastAsia="zh-CN" w:bidi="ar-SA"/>
        </w:rPr>
        <w:t>2022年度收入总计2401.77万元，支出总计2401.77万元。收支较上年决算数减少2478.93万元,下降50.8%，主要原因是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巩固拓展脱贫攻坚成果同乡村振兴有效衔接项目资金和工作经费等资金减少</w:t>
      </w:r>
      <w:r>
        <w:rPr>
          <w:rFonts w:hint="default" w:ascii="Times New Roman" w:hAnsi="Times New Roman" w:eastAsia="方正仿宋_GBK" w:cs="Times New Roman"/>
          <w:kern w:val="0"/>
          <w:sz w:val="32"/>
          <w:szCs w:val="32"/>
          <w:lang w:val="en-US" w:eastAsia="zh-CN" w:bidi="ar-SA"/>
        </w:rPr>
        <w:t>。</w:t>
      </w:r>
    </w:p>
    <w:p>
      <w:pPr>
        <w:pStyle w:val="4"/>
        <w:widowControl w:val="0"/>
        <w:shd w:val="clear" w:color="auto" w:fill="FFFFFF"/>
        <w:spacing w:before="0" w:beforeAutospacing="0" w:after="0" w:afterAutospacing="0" w:line="600" w:lineRule="exact"/>
        <w:ind w:firstLine="643" w:firstLineChars="200"/>
        <w:jc w:val="both"/>
        <w:rPr>
          <w:rFonts w:hint="default" w:ascii="Times New Roman" w:hAnsi="Times New Roman" w:cs="Times New Roman"/>
        </w:rPr>
      </w:pPr>
      <w:r>
        <w:rPr>
          <w:rStyle w:val="7"/>
          <w:rFonts w:hint="default" w:ascii="Times New Roman" w:hAnsi="Times New Roman" w:eastAsia="方正仿宋_GBK" w:cs="Times New Roman"/>
          <w:b/>
          <w:bCs/>
          <w:sz w:val="32"/>
          <w:szCs w:val="32"/>
        </w:rPr>
        <w:t>2.收入情况。</w:t>
      </w:r>
      <w:r>
        <w:rPr>
          <w:rStyle w:val="7"/>
          <w:rFonts w:hint="default" w:ascii="Times New Roman" w:hAnsi="Times New Roman" w:eastAsia="方正仿宋_GBK" w:cs="Times New Roman"/>
          <w:b w:val="0"/>
          <w:bCs w:val="0"/>
          <w:sz w:val="32"/>
          <w:szCs w:val="32"/>
        </w:rPr>
        <w:t>2022年度收入合计1,887.50万元，较上年决算数减少2,479.28万元，下降56.8%，主要原因是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巩固拓展脱贫攻坚成果同乡村振兴有效衔接项目资金和工作经费等资金减少</w:t>
      </w:r>
      <w:r>
        <w:rPr>
          <w:rStyle w:val="7"/>
          <w:rFonts w:hint="default" w:ascii="Times New Roman" w:hAnsi="Times New Roman" w:eastAsia="方正仿宋_GBK" w:cs="Times New Roman"/>
          <w:b w:val="0"/>
          <w:bCs w:val="0"/>
          <w:sz w:val="32"/>
          <w:szCs w:val="32"/>
        </w:rPr>
        <w:t>。其中：财政拨款收入1887.50万元，占100%。此外，使用非财政拨款结余0.00万元，年初结转和结余514.27万元。</w:t>
      </w:r>
    </w:p>
    <w:p>
      <w:pPr>
        <w:spacing w:line="570" w:lineRule="exact"/>
        <w:ind w:firstLine="643"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bCs/>
          <w:sz w:val="32"/>
          <w:szCs w:val="32"/>
        </w:rPr>
        <w:t>3.支出情况。</w:t>
      </w:r>
      <w:r>
        <w:rPr>
          <w:rStyle w:val="7"/>
          <w:rFonts w:hint="default" w:ascii="Times New Roman" w:hAnsi="Times New Roman" w:eastAsia="方正仿宋_GBK" w:cs="Times New Roman"/>
          <w:b w:val="0"/>
          <w:bCs w:val="0"/>
          <w:sz w:val="32"/>
          <w:szCs w:val="32"/>
        </w:rPr>
        <w:t>2022年度支出合计2400.13万元，较上年决算减少1966.30万元，下降45%，主要原因是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巩固拓展脱贫攻坚成果同乡村振兴有效衔接项目资金和工作经费等资金减少</w:t>
      </w:r>
      <w:r>
        <w:rPr>
          <w:rStyle w:val="7"/>
          <w:rFonts w:hint="default" w:ascii="Times New Roman" w:hAnsi="Times New Roman" w:eastAsia="方正仿宋_GBK" w:cs="Times New Roman"/>
          <w:b w:val="0"/>
          <w:bCs w:val="0"/>
          <w:sz w:val="32"/>
          <w:szCs w:val="32"/>
        </w:rPr>
        <w:t>。其中：基本支出366.53万元，占15.3%；项目支出2033.59万元，占84.7%。</w:t>
      </w:r>
      <w:r>
        <w:rPr>
          <w:rStyle w:val="7"/>
          <w:rFonts w:hint="default" w:ascii="Times New Roman" w:hAnsi="Times New Roman" w:eastAsia="方正仿宋_GBK" w:cs="Times New Roman"/>
          <w:b w:val="0"/>
          <w:bCs/>
          <w:color w:val="000000"/>
          <w:kern w:val="0"/>
          <w:sz w:val="32"/>
          <w:szCs w:val="32"/>
          <w:lang w:val="en-US" w:eastAsia="zh-CN" w:bidi="ar-SA"/>
        </w:rPr>
        <w:t>此外，结余分配0.00万元。</w:t>
      </w:r>
    </w:p>
    <w:p>
      <w:pPr>
        <w:spacing w:line="570" w:lineRule="exact"/>
        <w:ind w:firstLine="643"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b/>
          <w:bCs/>
          <w:sz w:val="32"/>
          <w:szCs w:val="32"/>
        </w:rPr>
        <w:t>4.结转结余情况。</w:t>
      </w:r>
      <w:r>
        <w:rPr>
          <w:rStyle w:val="7"/>
          <w:rFonts w:hint="default" w:ascii="Times New Roman" w:hAnsi="Times New Roman" w:eastAsia="方正仿宋_GBK" w:cs="Times New Roman"/>
          <w:b w:val="0"/>
          <w:bCs w:val="0"/>
          <w:sz w:val="32"/>
          <w:szCs w:val="32"/>
        </w:rPr>
        <w:t>2022年度年末结转和结余1.64万元，较上年决算数减少512.63万元，下降99.7%，主要原因是</w:t>
      </w:r>
      <w:r>
        <w:rPr>
          <w:rStyle w:val="7"/>
          <w:rFonts w:hint="default" w:ascii="Times New Roman" w:hAnsi="Times New Roman" w:eastAsia="方正仿宋_GBK" w:cs="Times New Roman"/>
          <w:b w:val="0"/>
          <w:bCs w:val="0"/>
          <w:sz w:val="32"/>
          <w:szCs w:val="32"/>
          <w:lang w:val="en-US" w:eastAsia="zh-CN"/>
        </w:rPr>
        <w:t>丰都县乡村振兴局（本级）</w:t>
      </w:r>
      <w:r>
        <w:rPr>
          <w:rStyle w:val="7"/>
          <w:rFonts w:hint="default" w:ascii="Times New Roman" w:hAnsi="Times New Roman" w:eastAsia="方正仿宋_GBK" w:cs="Times New Roman"/>
          <w:b w:val="0"/>
          <w:bCs/>
          <w:color w:val="000000"/>
          <w:kern w:val="0"/>
          <w:sz w:val="32"/>
          <w:szCs w:val="32"/>
          <w:lang w:val="en-US" w:eastAsia="zh-CN" w:bidi="ar-SA"/>
        </w:rPr>
        <w:t>支付</w:t>
      </w:r>
      <w:r>
        <w:rPr>
          <w:rStyle w:val="7"/>
          <w:rFonts w:hint="default" w:ascii="Times New Roman" w:hAnsi="Times New Roman" w:eastAsia="方正仿宋_GBK" w:cs="Times New Roman"/>
          <w:b w:val="0"/>
          <w:color w:val="000000"/>
          <w:kern w:val="0"/>
          <w:sz w:val="32"/>
          <w:szCs w:val="32"/>
          <w:lang w:val="en-US" w:eastAsia="zh-CN" w:bidi="ar-SA"/>
        </w:rPr>
        <w:t>金融扶贫小额信贷贴息资金和丰都县扶贫开发培训中心支付日常单位运转费用</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楷体_GBK" w:cs="Times New Roman"/>
          <w:b w:val="0"/>
          <w:sz w:val="32"/>
          <w:szCs w:val="32"/>
        </w:rPr>
      </w:pPr>
      <w:r>
        <w:rPr>
          <w:rStyle w:val="7"/>
          <w:rFonts w:hint="default" w:ascii="Times New Roman" w:hAnsi="Times New Roman" w:eastAsia="方正楷体_GBK" w:cs="Times New Roman"/>
          <w:b w:val="0"/>
          <w:sz w:val="32"/>
          <w:szCs w:val="32"/>
        </w:rPr>
        <w:t>（二）财政拨款收入支出决算总体情况说明</w:t>
      </w:r>
    </w:p>
    <w:p>
      <w:pPr>
        <w:spacing w:line="570" w:lineRule="exact"/>
        <w:ind w:firstLine="640" w:firstLineChars="200"/>
        <w:rPr>
          <w:rStyle w:val="7"/>
          <w:rFonts w:hint="default" w:ascii="Times New Roman" w:hAnsi="Times New Roman" w:eastAsia="方正仿宋_GBK" w:cs="Times New Roman"/>
          <w:b w:val="0"/>
          <w:bCs w:val="0"/>
          <w:sz w:val="32"/>
          <w:szCs w:val="32"/>
        </w:rPr>
      </w:pPr>
      <w:r>
        <w:rPr>
          <w:rStyle w:val="7"/>
          <w:rFonts w:hint="default" w:ascii="Times New Roman" w:hAnsi="Times New Roman" w:eastAsia="方正仿宋_GBK" w:cs="Times New Roman"/>
          <w:b w:val="0"/>
          <w:bCs w:val="0"/>
          <w:kern w:val="2"/>
          <w:sz w:val="32"/>
          <w:szCs w:val="32"/>
          <w:lang w:val="en-US" w:eastAsia="zh-CN" w:bidi="ar-SA"/>
        </w:rPr>
        <w:t>2022年度财政拨款收、支总计2,401.77万元。与2021年相比，财政拨款收、支总计各减少2,478.93万元，下降50.8%。主要原因是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巩固拓展脱贫攻坚成果同乡村振兴有效衔接项目资金和工作经费等资金减少</w:t>
      </w:r>
      <w:r>
        <w:rPr>
          <w:rStyle w:val="7"/>
          <w:rFonts w:hint="default" w:ascii="Times New Roman" w:hAnsi="Times New Roman" w:eastAsia="方正仿宋_GBK" w:cs="Times New Roman"/>
          <w:b w:val="0"/>
          <w:bCs w:val="0"/>
          <w:sz w:val="32"/>
          <w:szCs w:val="32"/>
        </w:rPr>
        <w:t>。</w:t>
      </w:r>
    </w:p>
    <w:p>
      <w:pPr>
        <w:spacing w:line="570" w:lineRule="exact"/>
        <w:ind w:firstLine="640" w:firstLineChars="200"/>
        <w:rPr>
          <w:rStyle w:val="7"/>
          <w:rFonts w:hint="default" w:ascii="Times New Roman" w:hAnsi="Times New Roman" w:eastAsia="方正楷体_GBK" w:cs="Times New Roman"/>
          <w:b w:val="0"/>
          <w:sz w:val="32"/>
          <w:szCs w:val="32"/>
        </w:rPr>
      </w:pPr>
      <w:r>
        <w:rPr>
          <w:rStyle w:val="7"/>
          <w:rFonts w:hint="default" w:ascii="Times New Roman" w:hAnsi="Times New Roman" w:eastAsia="方正楷体_GBK" w:cs="Times New Roman"/>
          <w:b w:val="0"/>
          <w:sz w:val="32"/>
          <w:szCs w:val="32"/>
          <w:lang w:eastAsia="zh-CN"/>
        </w:rPr>
        <w:t>（</w:t>
      </w:r>
      <w:r>
        <w:rPr>
          <w:rStyle w:val="7"/>
          <w:rFonts w:hint="default" w:ascii="Times New Roman" w:hAnsi="Times New Roman" w:eastAsia="方正楷体_GBK" w:cs="Times New Roman"/>
          <w:b w:val="0"/>
          <w:sz w:val="32"/>
          <w:szCs w:val="32"/>
          <w:lang w:val="en-US" w:eastAsia="zh-CN"/>
        </w:rPr>
        <w:t>三</w:t>
      </w:r>
      <w:r>
        <w:rPr>
          <w:rStyle w:val="7"/>
          <w:rFonts w:hint="default" w:ascii="Times New Roman" w:hAnsi="Times New Roman" w:eastAsia="方正楷体_GBK" w:cs="Times New Roman"/>
          <w:b w:val="0"/>
          <w:sz w:val="32"/>
          <w:szCs w:val="32"/>
          <w:lang w:eastAsia="zh-CN"/>
        </w:rPr>
        <w:t>）</w:t>
      </w:r>
      <w:r>
        <w:rPr>
          <w:rStyle w:val="7"/>
          <w:rFonts w:hint="default" w:ascii="Times New Roman" w:hAnsi="Times New Roman" w:eastAsia="方正楷体_GBK" w:cs="Times New Roman"/>
          <w:b w:val="0"/>
          <w:sz w:val="32"/>
          <w:szCs w:val="32"/>
        </w:rPr>
        <w:t>一般公共预算财政拨款收入支出决算情况说明</w:t>
      </w:r>
    </w:p>
    <w:p>
      <w:pPr>
        <w:spacing w:line="570" w:lineRule="exact"/>
        <w:ind w:firstLine="643" w:firstLineChars="200"/>
        <w:rPr>
          <w:rStyle w:val="7"/>
          <w:rFonts w:hint="default" w:ascii="Times New Roman" w:hAnsi="Times New Roman" w:eastAsia="方正仿宋_GBK" w:cs="Times New Roman"/>
          <w:b w:val="0"/>
          <w:sz w:val="32"/>
          <w:szCs w:val="32"/>
        </w:rPr>
      </w:pPr>
      <w:r>
        <w:rPr>
          <w:rStyle w:val="7"/>
          <w:rFonts w:hint="default" w:ascii="Times New Roman" w:hAnsi="Times New Roman" w:eastAsia="方正仿宋_GBK" w:cs="Times New Roman"/>
          <w:b/>
          <w:bCs w:val="0"/>
          <w:sz w:val="32"/>
          <w:szCs w:val="32"/>
        </w:rPr>
        <w:t>1.收入情况。</w:t>
      </w:r>
      <w:r>
        <w:rPr>
          <w:rStyle w:val="7"/>
          <w:rFonts w:hint="default" w:ascii="Times New Roman" w:hAnsi="Times New Roman" w:eastAsia="方正仿宋_GBK" w:cs="Times New Roman"/>
          <w:b w:val="0"/>
          <w:sz w:val="32"/>
          <w:szCs w:val="32"/>
        </w:rPr>
        <w:t>2022年度一般公共预算财政拨款收入1887.50万元，较上年决算数减少2479.28万元，下降56.8%。主要原因是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巩固拓展脱贫攻坚成果同乡村振兴有效衔接项目资金和工作经费等资金减少</w:t>
      </w:r>
      <w:r>
        <w:rPr>
          <w:rStyle w:val="7"/>
          <w:rFonts w:hint="default" w:ascii="Times New Roman" w:hAnsi="Times New Roman" w:eastAsia="方正仿宋_GBK" w:cs="Times New Roman"/>
          <w:b w:val="0"/>
          <w:sz w:val="32"/>
          <w:szCs w:val="32"/>
        </w:rPr>
        <w:t>。较年初预算数减少12916.82万元，下降87.3%。主要原因是</w:t>
      </w:r>
      <w:r>
        <w:rPr>
          <w:rStyle w:val="7"/>
          <w:rFonts w:hint="default" w:ascii="Times New Roman" w:hAnsi="Times New Roman" w:eastAsia="方正仿宋_GBK" w:cs="Times New Roman"/>
          <w:b w:val="0"/>
          <w:color w:val="000000"/>
          <w:sz w:val="32"/>
          <w:szCs w:val="32"/>
          <w:lang w:val="en-US" w:eastAsia="zh-CN"/>
        </w:rPr>
        <w:t>部分项目资金纳入年初预算的，而实际资金未到本单位未列支</w:t>
      </w:r>
      <w:r>
        <w:rPr>
          <w:rStyle w:val="7"/>
          <w:rFonts w:hint="default" w:ascii="Times New Roman" w:hAnsi="Times New Roman" w:eastAsia="方正仿宋_GBK" w:cs="Times New Roman"/>
          <w:b w:val="0"/>
          <w:sz w:val="32"/>
          <w:szCs w:val="32"/>
        </w:rPr>
        <w:t>。此外，年初财政拨款结转和结余514.27万元。</w:t>
      </w:r>
    </w:p>
    <w:p>
      <w:pPr>
        <w:spacing w:line="570" w:lineRule="exact"/>
        <w:ind w:firstLine="643"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2.支出情况。</w:t>
      </w:r>
      <w:r>
        <w:rPr>
          <w:rFonts w:hint="default" w:ascii="Times New Roman" w:hAnsi="Times New Roman" w:eastAsia="方正仿宋_GBK" w:cs="Times New Roman"/>
          <w:sz w:val="32"/>
          <w:szCs w:val="32"/>
        </w:rPr>
        <w:t>2022年度一般公共预算财政拨款支出2400.13万元，较上年决算数减少1966.30万元，下降45%。主要原因是</w:t>
      </w:r>
      <w:r>
        <w:rPr>
          <w:rStyle w:val="7"/>
          <w:rFonts w:hint="default" w:ascii="Times New Roman" w:hAnsi="Times New Roman" w:eastAsia="方正仿宋_GBK" w:cs="Times New Roman"/>
          <w:b w:val="0"/>
          <w:color w:val="000000"/>
          <w:kern w:val="0"/>
          <w:sz w:val="32"/>
          <w:szCs w:val="32"/>
          <w:lang w:val="en-US" w:eastAsia="zh-CN" w:bidi="ar-SA"/>
        </w:rPr>
        <w:t>巩固拓展脱贫攻坚成果同乡村振兴有效衔接项目资金和工作经费等资金减少</w:t>
      </w:r>
      <w:r>
        <w:rPr>
          <w:rStyle w:val="7"/>
          <w:rFonts w:hint="default" w:ascii="Times New Roman" w:hAnsi="Times New Roman" w:eastAsia="方正仿宋_GBK" w:cs="Times New Roman"/>
          <w:b w:val="0"/>
          <w:sz w:val="32"/>
          <w:szCs w:val="32"/>
        </w:rPr>
        <w:t>。</w:t>
      </w:r>
      <w:r>
        <w:rPr>
          <w:rFonts w:hint="default" w:ascii="Times New Roman" w:hAnsi="Times New Roman" w:eastAsia="方正仿宋_GBK" w:cs="Times New Roman"/>
          <w:sz w:val="32"/>
          <w:szCs w:val="32"/>
        </w:rPr>
        <w:t>较年初预算数减少12404.19万元，下降83.8%。主要原因是</w:t>
      </w:r>
      <w:r>
        <w:rPr>
          <w:rStyle w:val="7"/>
          <w:rFonts w:hint="default" w:ascii="Times New Roman" w:hAnsi="Times New Roman" w:eastAsia="方正仿宋_GBK" w:cs="Times New Roman"/>
          <w:b w:val="0"/>
          <w:color w:val="000000"/>
          <w:sz w:val="32"/>
          <w:szCs w:val="32"/>
          <w:lang w:val="en-US" w:eastAsia="zh-CN"/>
        </w:rPr>
        <w:t>部分项目资金纳入年初预算的，而实际资金未到本单位未列支</w:t>
      </w:r>
      <w:r>
        <w:rPr>
          <w:rStyle w:val="7"/>
          <w:rFonts w:hint="default" w:ascii="Times New Roman" w:hAnsi="Times New Roman" w:eastAsia="方正仿宋_GBK" w:cs="Times New Roman"/>
          <w:b w:val="0"/>
          <w:sz w:val="32"/>
          <w:szCs w:val="32"/>
        </w:rPr>
        <w:t>。</w:t>
      </w:r>
    </w:p>
    <w:p>
      <w:pPr>
        <w:spacing w:line="570" w:lineRule="exact"/>
        <w:ind w:firstLine="643" w:firstLineChars="200"/>
        <w:rPr>
          <w:rStyle w:val="7"/>
          <w:rFonts w:hint="default" w:ascii="Times New Roman" w:hAnsi="Times New Roman" w:eastAsia="方正仿宋_GBK" w:cs="Times New Roman"/>
          <w:b w:val="0"/>
          <w:bCs/>
          <w:color w:val="000000"/>
          <w:kern w:val="0"/>
          <w:sz w:val="32"/>
          <w:szCs w:val="32"/>
          <w:lang w:val="en-US" w:eastAsia="zh-CN" w:bidi="ar-SA"/>
        </w:rPr>
      </w:pPr>
      <w:r>
        <w:rPr>
          <w:rStyle w:val="7"/>
          <w:rFonts w:hint="default" w:ascii="Times New Roman" w:hAnsi="Times New Roman" w:eastAsia="方正仿宋_GBK" w:cs="Times New Roman"/>
          <w:sz w:val="32"/>
          <w:szCs w:val="32"/>
        </w:rPr>
        <w:t>3.结转结余情况。</w:t>
      </w:r>
      <w:r>
        <w:rPr>
          <w:rFonts w:hint="default" w:ascii="Times New Roman" w:hAnsi="Times New Roman" w:eastAsia="方正仿宋_GBK" w:cs="Times New Roman"/>
          <w:sz w:val="32"/>
          <w:szCs w:val="32"/>
        </w:rPr>
        <w:t>2022年度年末一般公共预算财政拨款结转和结余1.64万元，较上年决算数减少512.63万元，下降99.7%，主要原因是</w:t>
      </w:r>
      <w:r>
        <w:rPr>
          <w:rStyle w:val="7"/>
          <w:rFonts w:hint="default" w:ascii="Times New Roman" w:hAnsi="Times New Roman" w:eastAsia="方正仿宋_GBK" w:cs="Times New Roman"/>
          <w:b w:val="0"/>
          <w:bCs w:val="0"/>
          <w:sz w:val="32"/>
          <w:szCs w:val="32"/>
          <w:lang w:val="en-US" w:eastAsia="zh-CN"/>
        </w:rPr>
        <w:t>丰都县乡村振兴局（本级）</w:t>
      </w:r>
      <w:r>
        <w:rPr>
          <w:rStyle w:val="7"/>
          <w:rFonts w:hint="default" w:ascii="Times New Roman" w:hAnsi="Times New Roman" w:eastAsia="方正仿宋_GBK" w:cs="Times New Roman"/>
          <w:b w:val="0"/>
          <w:bCs/>
          <w:color w:val="000000"/>
          <w:kern w:val="0"/>
          <w:sz w:val="32"/>
          <w:szCs w:val="32"/>
          <w:lang w:val="en-US" w:eastAsia="zh-CN" w:bidi="ar-SA"/>
        </w:rPr>
        <w:t>支付</w:t>
      </w:r>
      <w:r>
        <w:rPr>
          <w:rStyle w:val="7"/>
          <w:rFonts w:hint="default" w:ascii="Times New Roman" w:hAnsi="Times New Roman" w:eastAsia="方正仿宋_GBK" w:cs="Times New Roman"/>
          <w:b w:val="0"/>
          <w:color w:val="000000"/>
          <w:kern w:val="0"/>
          <w:sz w:val="32"/>
          <w:szCs w:val="32"/>
          <w:lang w:val="en-US" w:eastAsia="zh-CN" w:bidi="ar-SA"/>
        </w:rPr>
        <w:t>金融扶贫小额信贷贴息资金和丰都县扶贫开发培训中心支付日常单位运转费用</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3"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4.比较情况。</w:t>
      </w:r>
      <w:r>
        <w:rPr>
          <w:rFonts w:hint="default" w:ascii="Times New Roman" w:hAnsi="Times New Roman" w:eastAsia="方正仿宋_GBK" w:cs="Times New Roman"/>
          <w:sz w:val="32"/>
          <w:szCs w:val="32"/>
        </w:rPr>
        <w:t>本部门2022年度一般公共预算财政拨款支出主要用于以下几个方面：</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Fonts w:hint="default" w:ascii="Times New Roman" w:hAnsi="Times New Roman" w:eastAsia="方正仿宋_GBK" w:cs="Times New Roman"/>
          <w:sz w:val="32"/>
          <w:szCs w:val="32"/>
        </w:rPr>
        <w:t>（1）一般公共服务支出501.98万元，占20.9%，较年初预算数增加501.98万元，增长</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%，主要原因是</w:t>
      </w:r>
      <w:r>
        <w:rPr>
          <w:rStyle w:val="7"/>
          <w:rFonts w:hint="default" w:ascii="Times New Roman" w:hAnsi="Times New Roman" w:eastAsia="方正仿宋_GBK" w:cs="Times New Roman"/>
          <w:b w:val="0"/>
          <w:bCs/>
          <w:color w:val="000000"/>
          <w:kern w:val="0"/>
          <w:sz w:val="32"/>
          <w:szCs w:val="32"/>
          <w:lang w:val="en-US" w:eastAsia="zh-CN" w:bidi="ar-SA"/>
        </w:rPr>
        <w:t>金融扶贫风险补偿金。</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）社会保障与就业支出32.98万元，占1.4%，较年初预算数减少0.73万元，下降2.2%，主要原因是</w:t>
      </w:r>
      <w:r>
        <w:rPr>
          <w:rStyle w:val="7"/>
          <w:rFonts w:hint="default" w:ascii="Times New Roman" w:hAnsi="Times New Roman" w:eastAsia="方正仿宋_GBK" w:cs="Times New Roman"/>
          <w:b w:val="0"/>
          <w:bCs/>
          <w:color w:val="000000"/>
          <w:kern w:val="0"/>
          <w:sz w:val="32"/>
          <w:szCs w:val="32"/>
          <w:lang w:val="en-US" w:eastAsia="zh-CN" w:bidi="ar-SA"/>
        </w:rPr>
        <w:t>人员变动，</w:t>
      </w:r>
      <w:r>
        <w:rPr>
          <w:rStyle w:val="7"/>
          <w:rFonts w:hint="default" w:ascii="Times New Roman" w:hAnsi="Times New Roman" w:eastAsia="方正仿宋_GBK" w:cs="Times New Roman"/>
          <w:b w:val="0"/>
          <w:color w:val="000000"/>
          <w:kern w:val="0"/>
          <w:sz w:val="32"/>
          <w:szCs w:val="32"/>
          <w:lang w:val="en-US" w:eastAsia="zh-CN" w:bidi="ar-SA"/>
        </w:rPr>
        <w:t>政策性调减</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）卫生健康支出16.07万元，占0.7%，较年初预算数减少0.70万元，下降4.2%，主要原因是</w:t>
      </w:r>
      <w:r>
        <w:rPr>
          <w:rStyle w:val="7"/>
          <w:rFonts w:hint="default" w:ascii="Times New Roman" w:hAnsi="Times New Roman" w:eastAsia="方正仿宋_GBK" w:cs="Times New Roman"/>
          <w:b w:val="0"/>
          <w:bCs/>
          <w:color w:val="000000"/>
          <w:kern w:val="0"/>
          <w:sz w:val="32"/>
          <w:szCs w:val="32"/>
          <w:lang w:val="en-US" w:eastAsia="zh-CN" w:bidi="ar-SA"/>
        </w:rPr>
        <w:t>人员变动，</w:t>
      </w:r>
      <w:r>
        <w:rPr>
          <w:rStyle w:val="7"/>
          <w:rFonts w:hint="default" w:ascii="Times New Roman" w:hAnsi="Times New Roman" w:eastAsia="方正仿宋_GBK" w:cs="Times New Roman"/>
          <w:b w:val="0"/>
          <w:color w:val="000000"/>
          <w:kern w:val="0"/>
          <w:sz w:val="32"/>
          <w:szCs w:val="32"/>
          <w:lang w:val="en-US" w:eastAsia="zh-CN" w:bidi="ar-SA"/>
        </w:rPr>
        <w:t>政策性调减</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）农林水支出1835.38万元，占76.5%，较年初预算数减少12902.51万元，下降87.5%，主要原因是</w:t>
      </w:r>
      <w:r>
        <w:rPr>
          <w:rStyle w:val="7"/>
          <w:rFonts w:hint="default" w:ascii="Times New Roman" w:hAnsi="Times New Roman" w:eastAsia="方正仿宋_GBK" w:cs="Times New Roman"/>
          <w:b w:val="0"/>
          <w:color w:val="000000"/>
          <w:sz w:val="32"/>
          <w:szCs w:val="32"/>
          <w:lang w:val="en-US" w:eastAsia="zh-CN"/>
        </w:rPr>
        <w:t>部分项目资金纳入年初预算的，而实际资金未到本单位未列支</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仿宋_GBK" w:cs="Times New Roman"/>
          <w:b w:val="0"/>
          <w:bCs/>
          <w:color w:val="000000"/>
          <w:kern w:val="0"/>
          <w:sz w:val="32"/>
          <w:szCs w:val="32"/>
          <w:lang w:val="en-US" w:eastAsia="zh-CN" w:bidi="ar-SA"/>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）住房保障支出13.71万元，占0.6%，较年初预算数减少2.24万元，下降14%，主要原因是</w:t>
      </w:r>
      <w:r>
        <w:rPr>
          <w:rStyle w:val="7"/>
          <w:rFonts w:hint="default" w:ascii="Times New Roman" w:hAnsi="Times New Roman" w:eastAsia="方正仿宋_GBK" w:cs="Times New Roman"/>
          <w:b w:val="0"/>
          <w:bCs/>
          <w:color w:val="000000"/>
          <w:kern w:val="0"/>
          <w:sz w:val="32"/>
          <w:szCs w:val="32"/>
          <w:lang w:val="en-US" w:eastAsia="zh-CN" w:bidi="ar-SA"/>
        </w:rPr>
        <w:t>人员变动，</w:t>
      </w:r>
      <w:r>
        <w:rPr>
          <w:rStyle w:val="7"/>
          <w:rFonts w:hint="default" w:ascii="Times New Roman" w:hAnsi="Times New Roman" w:eastAsia="方正仿宋_GBK" w:cs="Times New Roman"/>
          <w:b w:val="0"/>
          <w:color w:val="000000"/>
          <w:kern w:val="0"/>
          <w:sz w:val="32"/>
          <w:szCs w:val="32"/>
          <w:lang w:val="en-US" w:eastAsia="zh-CN" w:bidi="ar-SA"/>
        </w:rPr>
        <w:t>政策性调减</w:t>
      </w:r>
      <w:r>
        <w:rPr>
          <w:rStyle w:val="7"/>
          <w:rFonts w:hint="default" w:ascii="Times New Roman" w:hAnsi="Times New Roman" w:eastAsia="方正仿宋_GBK" w:cs="Times New Roman"/>
          <w:b w:val="0"/>
          <w:bCs/>
          <w:color w:val="000000"/>
          <w:kern w:val="0"/>
          <w:sz w:val="32"/>
          <w:szCs w:val="32"/>
          <w:lang w:val="en-US" w:eastAsia="zh-CN" w:bidi="ar-SA"/>
        </w:rPr>
        <w:t>。</w:t>
      </w:r>
    </w:p>
    <w:p>
      <w:pPr>
        <w:spacing w:line="570" w:lineRule="exact"/>
        <w:ind w:firstLine="640" w:firstLineChars="200"/>
        <w:rPr>
          <w:rStyle w:val="7"/>
          <w:rFonts w:hint="default" w:ascii="Times New Roman" w:hAnsi="Times New Roman" w:eastAsia="方正楷体_GBK" w:cs="Times New Roman"/>
          <w:b w:val="0"/>
          <w:sz w:val="32"/>
          <w:szCs w:val="32"/>
          <w:lang w:eastAsia="zh-CN"/>
        </w:rPr>
      </w:pPr>
      <w:r>
        <w:rPr>
          <w:rStyle w:val="7"/>
          <w:rFonts w:hint="default" w:ascii="Times New Roman" w:hAnsi="Times New Roman" w:eastAsia="方正楷体_GBK" w:cs="Times New Roman"/>
          <w:b w:val="0"/>
          <w:sz w:val="32"/>
          <w:szCs w:val="32"/>
          <w:lang w:eastAsia="zh-CN"/>
        </w:rPr>
        <w:t>（四）一般公共预算财政拨款基本支出决算情况说明</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2022年度一般公共预算财政拨款基本支出366.53万元。其中：人员经费328.40万元，较上年决算数减少13.88万元，下降4.1%，主要原因是</w:t>
      </w:r>
      <w:r>
        <w:rPr>
          <w:rStyle w:val="7"/>
          <w:rFonts w:hint="default" w:ascii="Times New Roman" w:hAnsi="Times New Roman" w:eastAsia="方正仿宋_GBK" w:cs="Times New Roman"/>
          <w:b w:val="0"/>
          <w:bCs/>
          <w:color w:val="000000"/>
          <w:kern w:val="0"/>
          <w:sz w:val="32"/>
          <w:szCs w:val="32"/>
          <w:lang w:val="en-US" w:eastAsia="zh-CN" w:bidi="ar-SA"/>
        </w:rPr>
        <w:t>政策性调减人员经费和单位运行费用减少。</w:t>
      </w:r>
      <w:r>
        <w:rPr>
          <w:rFonts w:hint="default" w:ascii="Times New Roman" w:hAnsi="Times New Roman" w:eastAsia="方正仿宋_GBK" w:cs="Times New Roman"/>
          <w:sz w:val="32"/>
          <w:szCs w:val="32"/>
        </w:rPr>
        <w:t>人员经费用途主要包括</w:t>
      </w:r>
      <w:r>
        <w:rPr>
          <w:rStyle w:val="7"/>
          <w:rFonts w:hint="default" w:ascii="Times New Roman" w:hAnsi="Times New Roman" w:eastAsia="方正仿宋_GBK" w:cs="Times New Roman"/>
          <w:b w:val="0"/>
          <w:color w:val="000000"/>
          <w:kern w:val="0"/>
          <w:sz w:val="32"/>
          <w:szCs w:val="32"/>
          <w:lang w:val="en-US" w:eastAsia="zh-CN" w:bidi="ar-SA"/>
        </w:rPr>
        <w:t>基本工资、津贴补贴、奖金、基本医疗保险、机关事业单位基本养老保险、职业年金缴费、住房公积金等</w:t>
      </w:r>
      <w:r>
        <w:rPr>
          <w:rStyle w:val="7"/>
          <w:rFonts w:hint="default" w:ascii="Times New Roman" w:hAnsi="Times New Roman" w:eastAsia="方正仿宋_GBK" w:cs="Times New Roman"/>
          <w:b w:val="0"/>
          <w:bCs/>
          <w:color w:val="000000"/>
          <w:kern w:val="0"/>
          <w:sz w:val="32"/>
          <w:szCs w:val="32"/>
          <w:lang w:val="en-US" w:eastAsia="zh-CN" w:bidi="ar-SA"/>
        </w:rPr>
        <w:t>。</w:t>
      </w:r>
      <w:r>
        <w:rPr>
          <w:rFonts w:hint="default" w:ascii="Times New Roman" w:hAnsi="Times New Roman" w:eastAsia="方正仿宋_GBK" w:cs="Times New Roman"/>
          <w:sz w:val="32"/>
          <w:szCs w:val="32"/>
        </w:rPr>
        <w:t>公用经费38.13万元，较上年决算数减少140.13万元，下降78.6%，主要原因是</w:t>
      </w:r>
      <w:r>
        <w:rPr>
          <w:rStyle w:val="7"/>
          <w:rFonts w:hint="default" w:ascii="Times New Roman" w:hAnsi="Times New Roman" w:eastAsia="方正仿宋_GBK" w:cs="Times New Roman"/>
          <w:b w:val="0"/>
          <w:bCs/>
          <w:color w:val="000000"/>
          <w:kern w:val="0"/>
          <w:sz w:val="32"/>
          <w:szCs w:val="32"/>
          <w:lang w:val="en-US" w:eastAsia="zh-CN" w:bidi="ar-SA"/>
        </w:rPr>
        <w:t>本部门运行费用减少。</w:t>
      </w:r>
      <w:r>
        <w:rPr>
          <w:rFonts w:hint="default" w:ascii="Times New Roman" w:hAnsi="Times New Roman" w:eastAsia="方正仿宋_GBK" w:cs="Times New Roman"/>
          <w:sz w:val="32"/>
          <w:szCs w:val="32"/>
        </w:rPr>
        <w:t>公用经费用途主要包括</w:t>
      </w:r>
      <w:r>
        <w:rPr>
          <w:rStyle w:val="7"/>
          <w:rFonts w:hint="default" w:ascii="Times New Roman" w:hAnsi="Times New Roman" w:eastAsia="方正仿宋_GBK" w:cs="Times New Roman"/>
          <w:b w:val="0"/>
          <w:color w:val="000000"/>
          <w:kern w:val="0"/>
          <w:sz w:val="32"/>
          <w:szCs w:val="32"/>
          <w:lang w:val="en-US" w:eastAsia="zh-CN" w:bidi="ar-SA"/>
        </w:rPr>
        <w:t>办公费、维护费、水电费、物业管理费、邮电费、差旅费、劳务费、租赁费、其他交通费等</w:t>
      </w:r>
      <w:r>
        <w:rPr>
          <w:rFonts w:hint="default" w:ascii="Times New Roman" w:hAnsi="Times New Roman" w:eastAsia="方正仿宋_GBK" w:cs="Times New Roman"/>
          <w:color w:val="FF0000"/>
          <w:sz w:val="32"/>
          <w:szCs w:val="32"/>
        </w:rPr>
        <w:t>。</w:t>
      </w:r>
    </w:p>
    <w:p>
      <w:pPr>
        <w:spacing w:line="570" w:lineRule="exact"/>
        <w:ind w:firstLine="640" w:firstLineChars="200"/>
        <w:rPr>
          <w:rStyle w:val="7"/>
          <w:rFonts w:hint="default" w:ascii="Times New Roman" w:hAnsi="Times New Roman" w:eastAsia="方正楷体_GBK" w:cs="Times New Roman"/>
          <w:b w:val="0"/>
          <w:color w:val="000000"/>
          <w:sz w:val="32"/>
          <w:szCs w:val="32"/>
          <w:lang w:val="en-US" w:eastAsia="zh-CN"/>
        </w:rPr>
      </w:pPr>
      <w:r>
        <w:rPr>
          <w:rStyle w:val="7"/>
          <w:rFonts w:hint="default" w:ascii="Times New Roman" w:hAnsi="Times New Roman" w:eastAsia="方正楷体_GBK" w:cs="Times New Roman"/>
          <w:b w:val="0"/>
          <w:color w:val="000000"/>
          <w:sz w:val="32"/>
          <w:szCs w:val="32"/>
          <w:lang w:val="en-US" w:eastAsia="zh-CN"/>
        </w:rPr>
        <w:t>（五）政府性基金预算收支决算情况说明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sz w:val="32"/>
          <w:szCs w:val="32"/>
          <w:lang w:val="en-US" w:eastAsia="zh-CN"/>
        </w:rPr>
        <w:t> </w:t>
      </w:r>
      <w:r>
        <w:rPr>
          <w:rStyle w:val="7"/>
          <w:rFonts w:hint="default" w:ascii="Times New Roman" w:hAnsi="Times New Roman" w:eastAsia="方正仿宋_GBK" w:cs="Times New Roman"/>
          <w:b w:val="0"/>
          <w:color w:val="000000"/>
          <w:kern w:val="0"/>
          <w:sz w:val="32"/>
          <w:szCs w:val="32"/>
          <w:lang w:val="en-US" w:eastAsia="zh-CN" w:bidi="ar-SA"/>
        </w:rPr>
        <w:t>本部门2022年度无政府性基金预算财政拨款收支。</w:t>
      </w:r>
    </w:p>
    <w:p>
      <w:pPr>
        <w:numPr>
          <w:ilvl w:val="0"/>
          <w:numId w:val="2"/>
        </w:numPr>
        <w:spacing w:line="570" w:lineRule="exact"/>
        <w:ind w:firstLine="640" w:firstLineChars="200"/>
        <w:rPr>
          <w:rStyle w:val="7"/>
          <w:rFonts w:hint="default" w:ascii="Times New Roman" w:hAnsi="Times New Roman" w:eastAsia="方正楷体_GBK" w:cs="Times New Roman"/>
          <w:b w:val="0"/>
          <w:color w:val="000000"/>
          <w:sz w:val="32"/>
          <w:szCs w:val="32"/>
          <w:lang w:val="en-US" w:eastAsia="zh-CN"/>
        </w:rPr>
      </w:pPr>
      <w:r>
        <w:rPr>
          <w:rStyle w:val="7"/>
          <w:rFonts w:hint="default" w:ascii="Times New Roman" w:hAnsi="Times New Roman" w:eastAsia="方正楷体_GBK" w:cs="Times New Roman"/>
          <w:b w:val="0"/>
          <w:color w:val="000000"/>
          <w:sz w:val="32"/>
          <w:szCs w:val="32"/>
          <w:lang w:val="en-US" w:eastAsia="zh-CN"/>
        </w:rPr>
        <w:t>国有资本经营预算财政拨款支出决算情况说明</w:t>
      </w:r>
    </w:p>
    <w:p>
      <w:pPr>
        <w:numPr>
          <w:ilvl w:val="0"/>
          <w:numId w:val="0"/>
        </w:numPr>
        <w:spacing w:line="240" w:lineRule="auto"/>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本部门2022年度无国有资本经营预算财政拨款支出。</w:t>
      </w:r>
    </w:p>
    <w:p>
      <w:pPr>
        <w:spacing w:line="57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三、“三公”经费情况说明</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（一）“三公”经费支出总体情况说明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Fonts w:hint="default" w:ascii="Times New Roman" w:hAnsi="Times New Roman" w:eastAsia="方正仿宋_GBK" w:cs="Times New Roman"/>
          <w:sz w:val="32"/>
          <w:szCs w:val="32"/>
        </w:rPr>
        <w:t>2022年度“三公”经费支出共计0.35万元，较年初预算数增加0.00万元，增长0%，主要原因是</w:t>
      </w:r>
      <w:r>
        <w:rPr>
          <w:rStyle w:val="7"/>
          <w:rFonts w:hint="default" w:ascii="Times New Roman" w:hAnsi="Times New Roman" w:eastAsia="方正仿宋_GBK" w:cs="Times New Roman"/>
          <w:b w:val="0"/>
          <w:color w:val="000000"/>
          <w:kern w:val="0"/>
          <w:sz w:val="32"/>
          <w:szCs w:val="32"/>
          <w:lang w:val="en-US" w:eastAsia="zh-CN" w:bidi="ar-SA"/>
        </w:rPr>
        <w:t>严格按照预算执行不超预算。</w:t>
      </w:r>
      <w:r>
        <w:rPr>
          <w:rFonts w:hint="default" w:ascii="Times New Roman" w:hAnsi="Times New Roman" w:eastAsia="方正仿宋_GBK" w:cs="Times New Roman"/>
          <w:sz w:val="32"/>
          <w:szCs w:val="32"/>
        </w:rPr>
        <w:t>较上年支出数减少9.65万元，下降96.5%，主要原因是</w:t>
      </w:r>
      <w:r>
        <w:rPr>
          <w:rStyle w:val="7"/>
          <w:rFonts w:hint="default" w:ascii="Times New Roman" w:hAnsi="Times New Roman" w:eastAsia="方正仿宋_GBK" w:cs="Times New Roman"/>
          <w:b w:val="0"/>
          <w:color w:val="000000"/>
          <w:kern w:val="0"/>
          <w:sz w:val="32"/>
          <w:szCs w:val="32"/>
          <w:lang w:val="en-US" w:eastAsia="zh-CN" w:bidi="ar-SA"/>
        </w:rPr>
        <w:t>认真执行财务制度、厉行节约，导致费用下降。</w:t>
      </w:r>
    </w:p>
    <w:p>
      <w:pPr>
        <w:numPr>
          <w:ilvl w:val="0"/>
          <w:numId w:val="3"/>
        </w:num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“三公”经费分项支出情况</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Cs/>
          <w:color w:val="000000"/>
          <w:sz w:val="32"/>
          <w:szCs w:val="32"/>
        </w:rPr>
        <w:t>本</w:t>
      </w:r>
      <w:r>
        <w:rPr>
          <w:rFonts w:hint="default" w:ascii="Times New Roman" w:hAnsi="Times New Roman" w:eastAsia="方正仿宋_GBK" w:cs="Times New Roman"/>
          <w:bCs/>
          <w:color w:val="000000"/>
          <w:sz w:val="32"/>
          <w:szCs w:val="32"/>
          <w:lang w:val="en-US" w:eastAsia="zh-CN"/>
        </w:rPr>
        <w:t>部门</w:t>
      </w:r>
      <w:r>
        <w:rPr>
          <w:rStyle w:val="7"/>
          <w:rFonts w:hint="default" w:ascii="Times New Roman" w:hAnsi="Times New Roman" w:eastAsia="方正仿宋_GBK" w:cs="Times New Roman"/>
          <w:b w:val="0"/>
          <w:color w:val="000000"/>
          <w:kern w:val="0"/>
          <w:sz w:val="32"/>
          <w:szCs w:val="32"/>
          <w:lang w:val="en-US" w:eastAsia="zh-CN" w:bidi="ar-SA"/>
        </w:rPr>
        <w:t> 2022年度</w:t>
      </w:r>
      <w:r>
        <w:rPr>
          <w:rFonts w:hint="default" w:ascii="Times New Roman" w:hAnsi="Times New Roman" w:eastAsia="方正仿宋_GBK" w:cs="Times New Roman"/>
          <w:bCs/>
          <w:color w:val="000000"/>
          <w:sz w:val="32"/>
          <w:szCs w:val="32"/>
          <w:lang w:val="en-US" w:eastAsia="zh-CN"/>
        </w:rPr>
        <w:t>未发生因</w:t>
      </w:r>
      <w:r>
        <w:rPr>
          <w:rFonts w:hint="default" w:ascii="Times New Roman" w:hAnsi="Times New Roman" w:eastAsia="方正仿宋_GBK" w:cs="Times New Roman"/>
          <w:bCs/>
          <w:color w:val="000000"/>
          <w:sz w:val="32"/>
          <w:szCs w:val="32"/>
        </w:rPr>
        <w:t>公出国（境）费用</w:t>
      </w:r>
      <w:r>
        <w:rPr>
          <w:rFonts w:hint="default" w:ascii="Times New Roman" w:hAnsi="Times New Roman" w:eastAsia="方正仿宋_GBK" w:cs="Times New Roman"/>
          <w:bCs/>
          <w:color w:val="000000"/>
          <w:sz w:val="32"/>
          <w:szCs w:val="32"/>
          <w:lang w:val="en-US" w:eastAsia="zh-CN"/>
        </w:rPr>
        <w:t>，与</w:t>
      </w:r>
      <w:r>
        <w:rPr>
          <w:rStyle w:val="7"/>
          <w:rFonts w:hint="default" w:ascii="Times New Roman" w:hAnsi="Times New Roman" w:eastAsia="方正仿宋_GBK" w:cs="Times New Roman"/>
          <w:b w:val="0"/>
          <w:color w:val="000000"/>
          <w:kern w:val="0"/>
          <w:sz w:val="32"/>
          <w:szCs w:val="32"/>
          <w:lang w:val="en-US" w:eastAsia="zh-CN" w:bidi="ar-SA"/>
        </w:rPr>
        <w:t>年初预算数及</w:t>
      </w:r>
      <w:r>
        <w:rPr>
          <w:rFonts w:hint="default" w:ascii="Times New Roman" w:hAnsi="Times New Roman" w:eastAsia="方正仿宋_GBK" w:cs="Times New Roman"/>
          <w:bCs/>
          <w:color w:val="000000"/>
          <w:sz w:val="32"/>
          <w:szCs w:val="32"/>
          <w:lang w:val="en-US" w:eastAsia="zh-CN"/>
        </w:rPr>
        <w:t>上年支出数持平</w:t>
      </w:r>
      <w:r>
        <w:rPr>
          <w:rFonts w:hint="default"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本</w:t>
      </w:r>
      <w:r>
        <w:rPr>
          <w:rFonts w:hint="default" w:ascii="Times New Roman" w:hAnsi="Times New Roman" w:eastAsia="方正仿宋_GBK" w:cs="Times New Roman"/>
          <w:bCs/>
          <w:color w:val="000000"/>
          <w:sz w:val="32"/>
          <w:szCs w:val="32"/>
          <w:lang w:val="en-US" w:eastAsia="zh-CN"/>
        </w:rPr>
        <w:t>部门</w:t>
      </w:r>
      <w:r>
        <w:rPr>
          <w:rStyle w:val="7"/>
          <w:rFonts w:hint="default" w:ascii="Times New Roman" w:hAnsi="Times New Roman" w:eastAsia="方正仿宋_GBK" w:cs="Times New Roman"/>
          <w:b w:val="0"/>
          <w:color w:val="000000"/>
          <w:kern w:val="0"/>
          <w:sz w:val="32"/>
          <w:szCs w:val="32"/>
          <w:lang w:val="en-US" w:eastAsia="zh-CN" w:bidi="ar-SA"/>
        </w:rPr>
        <w:t>2022年度未发生</w:t>
      </w:r>
      <w:r>
        <w:rPr>
          <w:rFonts w:hint="default" w:ascii="Times New Roman" w:hAnsi="Times New Roman" w:eastAsia="方正仿宋_GBK" w:cs="Times New Roman"/>
          <w:bCs/>
          <w:color w:val="000000"/>
          <w:sz w:val="32"/>
          <w:szCs w:val="32"/>
        </w:rPr>
        <w:t>公务车购置费用</w:t>
      </w:r>
      <w:r>
        <w:rPr>
          <w:rFonts w:hint="default" w:ascii="Times New Roman" w:hAnsi="Times New Roman" w:eastAsia="方正仿宋_GBK" w:cs="Times New Roman"/>
          <w:bCs/>
          <w:color w:val="000000"/>
          <w:sz w:val="32"/>
          <w:szCs w:val="32"/>
          <w:lang w:val="en-US" w:eastAsia="zh-CN"/>
        </w:rPr>
        <w:t>，与</w:t>
      </w:r>
      <w:r>
        <w:rPr>
          <w:rStyle w:val="7"/>
          <w:rFonts w:hint="default" w:ascii="Times New Roman" w:hAnsi="Times New Roman" w:eastAsia="方正仿宋_GBK" w:cs="Times New Roman"/>
          <w:b w:val="0"/>
          <w:color w:val="000000"/>
          <w:kern w:val="0"/>
          <w:sz w:val="32"/>
          <w:szCs w:val="32"/>
          <w:lang w:val="en-US" w:eastAsia="zh-CN" w:bidi="ar-SA"/>
        </w:rPr>
        <w:t>年初预算数及</w:t>
      </w:r>
      <w:r>
        <w:rPr>
          <w:rFonts w:hint="default" w:ascii="Times New Roman" w:hAnsi="Times New Roman" w:eastAsia="方正仿宋_GBK" w:cs="Times New Roman"/>
          <w:bCs/>
          <w:color w:val="000000"/>
          <w:sz w:val="32"/>
          <w:szCs w:val="32"/>
          <w:lang w:val="en-US" w:eastAsia="zh-CN"/>
        </w:rPr>
        <w:t>上年支出数持平</w:t>
      </w:r>
      <w:r>
        <w:rPr>
          <w:rFonts w:hint="default"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本</w:t>
      </w:r>
      <w:r>
        <w:rPr>
          <w:rFonts w:hint="default" w:ascii="Times New Roman" w:hAnsi="Times New Roman" w:eastAsia="方正仿宋_GBK" w:cs="Times New Roman"/>
          <w:bCs/>
          <w:color w:val="000000"/>
          <w:sz w:val="32"/>
          <w:szCs w:val="32"/>
          <w:lang w:val="en-US" w:eastAsia="zh-CN"/>
        </w:rPr>
        <w:t>部门</w:t>
      </w:r>
      <w:r>
        <w:rPr>
          <w:rFonts w:hint="default" w:ascii="Times New Roman" w:hAnsi="Times New Roman" w:eastAsia="方正仿宋_GBK" w:cs="Times New Roman"/>
          <w:bCs/>
          <w:color w:val="000000"/>
          <w:sz w:val="32"/>
          <w:szCs w:val="32"/>
        </w:rPr>
        <w:t>202</w:t>
      </w:r>
      <w:r>
        <w:rPr>
          <w:rFonts w:hint="default" w:ascii="Times New Roman" w:hAnsi="Times New Roman" w:eastAsia="方正仿宋_GBK" w:cs="Times New Roman"/>
          <w:bCs/>
          <w:color w:val="000000"/>
          <w:sz w:val="32"/>
          <w:szCs w:val="32"/>
          <w:lang w:val="en-US" w:eastAsia="zh-CN"/>
        </w:rPr>
        <w:t>2</w:t>
      </w:r>
      <w:r>
        <w:rPr>
          <w:rFonts w:hint="default" w:ascii="Times New Roman" w:hAnsi="Times New Roman" w:eastAsia="方正仿宋_GBK" w:cs="Times New Roman"/>
          <w:bCs/>
          <w:color w:val="000000"/>
          <w:sz w:val="32"/>
          <w:szCs w:val="32"/>
        </w:rPr>
        <w:t>年度未发生公务车运行维护费用</w:t>
      </w:r>
      <w:r>
        <w:rPr>
          <w:rFonts w:hint="default" w:ascii="Times New Roman" w:hAnsi="Times New Roman" w:eastAsia="方正仿宋_GBK" w:cs="Times New Roman"/>
          <w:bCs/>
          <w:color w:val="000000"/>
          <w:sz w:val="32"/>
          <w:szCs w:val="32"/>
          <w:lang w:val="en-US" w:eastAsia="zh-CN"/>
        </w:rPr>
        <w:t>，与</w:t>
      </w:r>
      <w:r>
        <w:rPr>
          <w:rStyle w:val="7"/>
          <w:rFonts w:hint="default" w:ascii="Times New Roman" w:hAnsi="Times New Roman" w:eastAsia="方正仿宋_GBK" w:cs="Times New Roman"/>
          <w:b w:val="0"/>
          <w:color w:val="000000"/>
          <w:kern w:val="0"/>
          <w:sz w:val="32"/>
          <w:szCs w:val="32"/>
          <w:lang w:val="en-US" w:eastAsia="zh-CN" w:bidi="ar-SA"/>
        </w:rPr>
        <w:t>年初预算数及</w:t>
      </w:r>
      <w:r>
        <w:rPr>
          <w:rFonts w:hint="default" w:ascii="Times New Roman" w:hAnsi="Times New Roman" w:eastAsia="方正仿宋_GBK" w:cs="Times New Roman"/>
          <w:bCs/>
          <w:color w:val="000000"/>
          <w:sz w:val="32"/>
          <w:szCs w:val="32"/>
          <w:lang w:val="en-US" w:eastAsia="zh-CN"/>
        </w:rPr>
        <w:t>上年支出数持平</w:t>
      </w:r>
      <w:r>
        <w:rPr>
          <w:rFonts w:hint="default" w:ascii="Times New Roman" w:hAnsi="Times New Roman" w:eastAsia="方正仿宋_GBK" w:cs="Times New Roman"/>
          <w:bCs/>
          <w:color w:val="000000"/>
          <w:sz w:val="32"/>
          <w:szCs w:val="32"/>
        </w:rPr>
        <w:t>。</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sz w:val="32"/>
          <w:szCs w:val="32"/>
          <w:lang w:val="en-US" w:eastAsia="zh-CN"/>
        </w:rPr>
        <w:t>2022年</w:t>
      </w:r>
      <w:r>
        <w:rPr>
          <w:rFonts w:hint="default" w:ascii="Times New Roman" w:hAnsi="Times New Roman" w:eastAsia="方正仿宋_GBK" w:cs="Times New Roman"/>
          <w:sz w:val="32"/>
          <w:szCs w:val="32"/>
        </w:rPr>
        <w:t>公务接待费0.35万元，主要用于</w:t>
      </w:r>
      <w:r>
        <w:rPr>
          <w:rStyle w:val="7"/>
          <w:rFonts w:hint="default" w:ascii="Times New Roman" w:hAnsi="Times New Roman" w:eastAsia="方正仿宋_GBK" w:cs="Times New Roman"/>
          <w:b w:val="0"/>
          <w:color w:val="000000"/>
          <w:kern w:val="0"/>
          <w:sz w:val="32"/>
          <w:szCs w:val="32"/>
          <w:lang w:val="en-US" w:eastAsia="zh-CN" w:bidi="ar-SA"/>
        </w:rPr>
        <w:t>接待开展巩固拓展脱贫攻坚成果同乡村振兴有效衔接工作调研、督导等工作。</w:t>
      </w:r>
      <w:r>
        <w:rPr>
          <w:rFonts w:hint="default" w:ascii="Times New Roman" w:hAnsi="Times New Roman" w:eastAsia="方正仿宋_GBK" w:cs="Times New Roman"/>
          <w:sz w:val="32"/>
          <w:szCs w:val="32"/>
        </w:rPr>
        <w:t>费用支出较年初预算数增加0.00万元，增长0%，主要原因是</w:t>
      </w:r>
      <w:r>
        <w:rPr>
          <w:rStyle w:val="7"/>
          <w:rFonts w:hint="default" w:ascii="Times New Roman" w:hAnsi="Times New Roman" w:eastAsia="方正仿宋_GBK" w:cs="Times New Roman"/>
          <w:b w:val="0"/>
          <w:color w:val="000000"/>
          <w:kern w:val="0"/>
          <w:sz w:val="32"/>
          <w:szCs w:val="32"/>
          <w:lang w:val="en-US" w:eastAsia="zh-CN" w:bidi="ar-SA"/>
        </w:rPr>
        <w:t>严格按照预算执行不超预算。</w:t>
      </w:r>
      <w:r>
        <w:rPr>
          <w:rFonts w:hint="default" w:ascii="Times New Roman" w:hAnsi="Times New Roman" w:eastAsia="方正仿宋_GBK" w:cs="Times New Roman"/>
          <w:sz w:val="32"/>
          <w:szCs w:val="32"/>
        </w:rPr>
        <w:t>较上年支出数减少9.65万元，下降96.5%，主要原因是</w:t>
      </w:r>
      <w:r>
        <w:rPr>
          <w:rStyle w:val="7"/>
          <w:rFonts w:hint="default" w:ascii="Times New Roman" w:hAnsi="Times New Roman" w:eastAsia="方正仿宋_GBK" w:cs="Times New Roman"/>
          <w:b w:val="0"/>
          <w:color w:val="000000"/>
          <w:kern w:val="0"/>
          <w:sz w:val="32"/>
          <w:szCs w:val="32"/>
          <w:lang w:val="en-US" w:eastAsia="zh-CN" w:bidi="ar-SA"/>
        </w:rPr>
        <w:t>认真执行财务制度、厉行节约，导致费用下降。</w:t>
      </w:r>
    </w:p>
    <w:p>
      <w:pPr>
        <w:numPr>
          <w:ilvl w:val="0"/>
          <w:numId w:val="3"/>
        </w:numPr>
        <w:spacing w:line="570" w:lineRule="exact"/>
        <w:ind w:left="0" w:leftChars="0"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“三公”经费实物量情况</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本部门因公出国（境）共计0个团组，0人；公务用车购置0辆，公务车保有量为0辆；国内公务接待5批次37人，其中：国内外事接待0批次，0人；国（境）外公务接待0批次，0人。2022年本部门人均接待费93.51元，车均购置费0.00万元，车均维护费0.00万元。</w:t>
      </w:r>
    </w:p>
    <w:p>
      <w:pPr>
        <w:spacing w:line="57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四、其他需要说明的事项</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（一）财政拨款会议费和培训费情况说明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Fonts w:hint="default" w:ascii="Times New Roman" w:hAnsi="Times New Roman" w:eastAsia="方正仿宋_GBK" w:cs="Times New Roman"/>
          <w:sz w:val="32"/>
          <w:szCs w:val="32"/>
          <w:lang w:val="en-US" w:eastAsia="zh-CN"/>
        </w:rPr>
        <w:t>2022年度</w:t>
      </w:r>
      <w:r>
        <w:rPr>
          <w:rFonts w:hint="default" w:ascii="Times New Roman" w:hAnsi="Times New Roman" w:eastAsia="方正仿宋_GBK" w:cs="Times New Roman"/>
          <w:sz w:val="32"/>
          <w:szCs w:val="32"/>
        </w:rPr>
        <w:t>会议费支出0.08万元，较上年决算数减少20.88万元，下降99.6%，主要原因是</w:t>
      </w:r>
      <w:r>
        <w:rPr>
          <w:rStyle w:val="7"/>
          <w:rFonts w:hint="default" w:ascii="Times New Roman" w:hAnsi="Times New Roman" w:eastAsia="方正仿宋_GBK" w:cs="Times New Roman"/>
          <w:b w:val="0"/>
          <w:color w:val="000000"/>
          <w:kern w:val="0"/>
          <w:sz w:val="32"/>
          <w:szCs w:val="32"/>
          <w:lang w:val="en-US" w:eastAsia="zh-CN" w:bidi="ar-SA"/>
        </w:rPr>
        <w:t>严格执行规定，工作会议召开次数减少，导致费用下降。</w:t>
      </w:r>
    </w:p>
    <w:p>
      <w:pPr>
        <w:spacing w:line="570" w:lineRule="exact"/>
        <w:ind w:firstLine="640" w:firstLineChars="200"/>
        <w:rPr>
          <w:rFonts w:hint="default" w:ascii="Times New Roman" w:hAnsi="Times New Roman" w:eastAsia="黑体" w:cs="Times New Roman"/>
          <w:bCs/>
          <w:sz w:val="32"/>
          <w:szCs w:val="32"/>
          <w:lang w:val="en-US" w:eastAsia="zh-CN"/>
        </w:rPr>
      </w:pPr>
      <w:r>
        <w:rPr>
          <w:rFonts w:hint="default" w:ascii="Times New Roman" w:hAnsi="Times New Roman" w:eastAsia="方正仿宋_GBK" w:cs="Times New Roman"/>
          <w:sz w:val="32"/>
          <w:szCs w:val="32"/>
          <w:lang w:val="en-US" w:eastAsia="zh-CN"/>
        </w:rPr>
        <w:t>2022年度</w:t>
      </w:r>
      <w:r>
        <w:rPr>
          <w:rFonts w:hint="default" w:ascii="Times New Roman" w:hAnsi="Times New Roman" w:eastAsia="方正仿宋_GBK" w:cs="Times New Roman"/>
          <w:sz w:val="32"/>
          <w:szCs w:val="32"/>
        </w:rPr>
        <w:t>培训费支出158.13万元，较上年决算数增加52.89万元，增长50.3%，主要原因是</w:t>
      </w:r>
      <w:r>
        <w:rPr>
          <w:rStyle w:val="7"/>
          <w:rFonts w:hint="default" w:ascii="Times New Roman" w:hAnsi="Times New Roman" w:eastAsia="方正仿宋_GBK" w:cs="Times New Roman"/>
          <w:b w:val="0"/>
          <w:color w:val="000000"/>
          <w:kern w:val="0"/>
          <w:sz w:val="32"/>
          <w:szCs w:val="32"/>
          <w:lang w:val="en-US" w:eastAsia="zh-CN" w:bidi="ar-SA"/>
        </w:rPr>
        <w:t>增加基地校开展就业技能培训项目，导致费用增加。</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（二）机关运行经费支出情况说明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2022年度本部门机关运行经费支出22.00万元，主要用于单位</w:t>
      </w:r>
      <w:r>
        <w:rPr>
          <w:rFonts w:hint="default" w:ascii="Times New Roman" w:hAnsi="Times New Roman" w:eastAsia="方正仿宋_GBK" w:cs="Times New Roman"/>
          <w:bCs/>
          <w:color w:val="000000"/>
          <w:sz w:val="32"/>
          <w:szCs w:val="32"/>
        </w:rPr>
        <w:t>日常运转</w:t>
      </w:r>
      <w:r>
        <w:rPr>
          <w:rStyle w:val="7"/>
          <w:rFonts w:hint="default" w:ascii="Times New Roman" w:hAnsi="Times New Roman" w:eastAsia="方正仿宋_GBK" w:cs="Times New Roman"/>
          <w:b w:val="0"/>
          <w:color w:val="000000"/>
          <w:kern w:val="0"/>
          <w:sz w:val="32"/>
          <w:szCs w:val="32"/>
          <w:lang w:val="en-US" w:eastAsia="zh-CN" w:bidi="ar-SA"/>
        </w:rPr>
        <w:t>开支办公费、维护费、水电费、邮电费、差旅费、劳务费、租赁费、其他交通费等</w:t>
      </w:r>
      <w:r>
        <w:rPr>
          <w:rStyle w:val="7"/>
          <w:rFonts w:hint="default" w:ascii="Times New Roman" w:hAnsi="Times New Roman" w:eastAsia="方正仿宋_GBK" w:cs="Times New Roman"/>
          <w:b w:val="0"/>
          <w:bCs/>
          <w:color w:val="000000"/>
          <w:kern w:val="0"/>
          <w:sz w:val="32"/>
          <w:szCs w:val="32"/>
          <w:lang w:val="en-US" w:eastAsia="zh-CN" w:bidi="ar-SA"/>
        </w:rPr>
        <w:t>。</w:t>
      </w:r>
      <w:r>
        <w:rPr>
          <w:rStyle w:val="7"/>
          <w:rFonts w:hint="default" w:ascii="Times New Roman" w:hAnsi="Times New Roman" w:eastAsia="方正仿宋_GBK" w:cs="Times New Roman"/>
          <w:b w:val="0"/>
          <w:color w:val="000000"/>
          <w:kern w:val="0"/>
          <w:sz w:val="32"/>
          <w:szCs w:val="32"/>
          <w:lang w:val="en-US" w:eastAsia="zh-CN" w:bidi="ar-SA"/>
        </w:rPr>
        <w:t>机关运行经费较上年决算数减少145.52万元，下降86.9%，主要原因是认真执行财务制度、厉行节约，导致费用下降。</w:t>
      </w:r>
    </w:p>
    <w:p>
      <w:pPr>
        <w:spacing w:line="570" w:lineRule="exact"/>
        <w:ind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（三）国有资产占用情况说明</w:t>
      </w:r>
    </w:p>
    <w:p>
      <w:pPr>
        <w:spacing w:line="570" w:lineRule="exact"/>
        <w:ind w:firstLine="640"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numPr>
          <w:ilvl w:val="0"/>
          <w:numId w:val="3"/>
        </w:numPr>
        <w:spacing w:line="570" w:lineRule="exact"/>
        <w:ind w:left="0" w:leftChars="0" w:firstLine="640" w:firstLineChars="200"/>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lang w:val="en-US" w:eastAsia="zh-CN"/>
        </w:rPr>
        <w:t>政府采购支出说明</w:t>
      </w:r>
    </w:p>
    <w:p>
      <w:pPr>
        <w:numPr>
          <w:ilvl w:val="0"/>
          <w:numId w:val="0"/>
        </w:numPr>
        <w:spacing w:line="570" w:lineRule="exact"/>
        <w:ind w:left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color w:val="000000"/>
          <w:kern w:val="0"/>
          <w:sz w:val="32"/>
          <w:szCs w:val="32"/>
          <w:lang w:val="en-US" w:eastAsia="zh-CN" w:bidi="ar-SA"/>
        </w:rPr>
        <w:t>本部门2022年度未发生政府采购事项，无相关经费</w:t>
      </w:r>
      <w:r>
        <w:rPr>
          <w:rFonts w:hint="default" w:ascii="Times New Roman" w:hAnsi="Times New Roman" w:eastAsia="方正楷体_GBK" w:cs="Times New Roman"/>
          <w:bCs/>
          <w:sz w:val="32"/>
          <w:szCs w:val="32"/>
          <w:lang w:val="en-US" w:eastAsia="zh-CN"/>
        </w:rPr>
        <w:t>支出。</w:t>
      </w:r>
    </w:p>
    <w:p>
      <w:pPr>
        <w:spacing w:line="570" w:lineRule="exact"/>
        <w:ind w:firstLine="643" w:firstLineChars="200"/>
        <w:rPr>
          <w:rFonts w:hint="default" w:ascii="Times New Roman" w:hAnsi="Times New Roman" w:eastAsia="黑体" w:cs="Times New Roman"/>
          <w:bCs/>
          <w:sz w:val="32"/>
          <w:szCs w:val="32"/>
          <w:lang w:val="en-US" w:eastAsia="zh-CN"/>
        </w:rPr>
      </w:pPr>
      <w:r>
        <w:rPr>
          <w:rStyle w:val="7"/>
          <w:rFonts w:hint="default" w:ascii="Times New Roman" w:hAnsi="Times New Roman" w:eastAsia="方正楷体_GBK" w:cs="Times New Roman"/>
          <w:sz w:val="32"/>
          <w:szCs w:val="32"/>
        </w:rPr>
        <w:t> </w:t>
      </w:r>
      <w:r>
        <w:rPr>
          <w:rFonts w:hint="default" w:ascii="Times New Roman" w:hAnsi="Times New Roman" w:eastAsia="黑体" w:cs="Times New Roman"/>
          <w:bCs/>
          <w:sz w:val="32"/>
          <w:szCs w:val="32"/>
          <w:lang w:val="en-US" w:eastAsia="zh-CN"/>
        </w:rPr>
        <w:t>五、预算绩效管理情况说明</w:t>
      </w:r>
    </w:p>
    <w:p>
      <w:pPr>
        <w:pStyle w:val="4"/>
        <w:widowControl w:val="0"/>
        <w:spacing w:before="0" w:beforeAutospacing="0" w:after="0" w:afterAutospacing="0" w:line="570" w:lineRule="exact"/>
        <w:ind w:firstLine="640" w:firstLineChars="200"/>
        <w:jc w:val="both"/>
        <w:rPr>
          <w:rStyle w:val="7"/>
          <w:rFonts w:hint="default" w:ascii="Times New Roman" w:hAnsi="Times New Roman" w:eastAsia="方正楷体_GBK" w:cs="Times New Roman"/>
          <w:sz w:val="32"/>
          <w:szCs w:val="32"/>
        </w:rPr>
      </w:pPr>
      <w:r>
        <w:rPr>
          <w:rStyle w:val="7"/>
          <w:rFonts w:hint="default" w:ascii="Times New Roman" w:hAnsi="Times New Roman" w:eastAsia="方正楷体_GBK" w:cs="Times New Roman"/>
          <w:b w:val="0"/>
          <w:color w:val="000000"/>
          <w:kern w:val="0"/>
          <w:sz w:val="32"/>
          <w:szCs w:val="32"/>
          <w:lang w:val="en-US" w:eastAsia="zh-CN" w:bidi="ar-SA"/>
        </w:rPr>
        <w:t>（一）预算绩效管理工作开展情况</w:t>
      </w:r>
    </w:p>
    <w:p>
      <w:pPr>
        <w:pStyle w:val="4"/>
        <w:widowControl w:val="0"/>
        <w:spacing w:before="0" w:beforeAutospacing="0" w:after="0" w:afterAutospacing="0" w:line="240" w:lineRule="auto"/>
        <w:ind w:firstLine="640" w:firstLineChars="200"/>
        <w:jc w:val="both"/>
        <w:rPr>
          <w:rFonts w:hint="default" w:ascii="Times New Roman" w:hAnsi="Times New Roman" w:eastAsia="方正仿宋_GBK" w:cs="Times New Roman"/>
          <w:color w:val="000000"/>
          <w:sz w:val="32"/>
          <w:szCs w:val="32"/>
          <w:lang w:val="en-US" w:eastAsia="zh-CN"/>
        </w:rPr>
      </w:pPr>
      <w:r>
        <w:rPr>
          <w:rStyle w:val="7"/>
          <w:rFonts w:hint="default" w:ascii="Times New Roman" w:hAnsi="Times New Roman" w:eastAsia="方正仿宋_GBK" w:cs="Times New Roman"/>
          <w:b w:val="0"/>
          <w:color w:val="000000"/>
          <w:kern w:val="0"/>
          <w:sz w:val="32"/>
          <w:szCs w:val="32"/>
          <w:lang w:val="en-US" w:eastAsia="zh-CN" w:bidi="ar-SA"/>
        </w:rPr>
        <w:t>根据预算绩效管理要求，本部门对部门整体和</w:t>
      </w:r>
      <w:r>
        <w:rPr>
          <w:rFonts w:hint="default" w:ascii="Times New Roman" w:hAnsi="Times New Roman" w:eastAsia="方正仿宋_GBK" w:cs="Times New Roman"/>
          <w:color w:val="000000"/>
          <w:sz w:val="32"/>
          <w:szCs w:val="32"/>
          <w:lang w:val="en-US" w:eastAsia="zh-CN"/>
        </w:rPr>
        <w:t>18</w:t>
      </w:r>
      <w:r>
        <w:rPr>
          <w:rFonts w:hint="default" w:ascii="Times New Roman" w:hAnsi="Times New Roman" w:eastAsia="方正仿宋_GBK" w:cs="Times New Roman"/>
          <w:color w:val="000000"/>
          <w:sz w:val="32"/>
          <w:szCs w:val="32"/>
        </w:rPr>
        <w:t>个项目</w:t>
      </w:r>
      <w:r>
        <w:rPr>
          <w:rStyle w:val="7"/>
          <w:rFonts w:hint="default" w:ascii="Times New Roman" w:hAnsi="Times New Roman" w:eastAsia="方正仿宋_GBK" w:cs="Times New Roman"/>
          <w:b w:val="0"/>
          <w:color w:val="000000"/>
          <w:kern w:val="0"/>
          <w:sz w:val="32"/>
          <w:szCs w:val="32"/>
          <w:lang w:val="en-US" w:eastAsia="zh-CN" w:bidi="ar-SA"/>
        </w:rPr>
        <w:t>开展了绩效自评，其中，以填报自评表形式开展自评18项，涉及资金</w:t>
      </w:r>
      <w:r>
        <w:rPr>
          <w:rFonts w:hint="default" w:ascii="Times New Roman" w:hAnsi="Times New Roman" w:eastAsia="方正仿宋_GBK" w:cs="Times New Roman"/>
          <w:sz w:val="32"/>
          <w:szCs w:val="32"/>
          <w:lang w:val="en-US" w:eastAsia="zh-CN"/>
        </w:rPr>
        <w:t>2221.8</w:t>
      </w:r>
      <w:r>
        <w:rPr>
          <w:rStyle w:val="7"/>
          <w:rFonts w:hint="default" w:ascii="Times New Roman" w:hAnsi="Times New Roman" w:eastAsia="方正仿宋_GBK" w:cs="Times New Roman"/>
          <w:b w:val="0"/>
          <w:color w:val="000000"/>
          <w:kern w:val="0"/>
          <w:sz w:val="32"/>
          <w:szCs w:val="32"/>
          <w:lang w:val="en-US" w:eastAsia="zh-CN" w:bidi="ar-SA"/>
        </w:rPr>
        <w:t>万元。</w:t>
      </w:r>
      <w:r>
        <w:rPr>
          <w:rFonts w:hint="default" w:ascii="Times New Roman" w:hAnsi="Times New Roman" w:eastAsia="方正仿宋_GBK" w:cs="Times New Roman"/>
          <w:color w:val="000000"/>
          <w:sz w:val="32"/>
          <w:szCs w:val="32"/>
        </w:rPr>
        <w:t>从评价情况来看，项目立项</w:t>
      </w:r>
      <w:r>
        <w:rPr>
          <w:rFonts w:hint="default" w:ascii="Times New Roman" w:hAnsi="Times New Roman" w:eastAsia="方正仿宋_GBK" w:cs="Times New Roman"/>
          <w:color w:val="000000"/>
          <w:sz w:val="32"/>
          <w:szCs w:val="32"/>
          <w:lang w:val="en-US" w:eastAsia="zh-CN"/>
        </w:rPr>
        <w:t>较为</w:t>
      </w:r>
      <w:r>
        <w:rPr>
          <w:rFonts w:hint="default" w:ascii="Times New Roman" w:hAnsi="Times New Roman" w:eastAsia="方正仿宋_GBK" w:cs="Times New Roman"/>
          <w:color w:val="000000"/>
          <w:sz w:val="32"/>
          <w:szCs w:val="32"/>
        </w:rPr>
        <w:t>规范，绩效目标明确，预算编制合理，</w:t>
      </w:r>
      <w:r>
        <w:rPr>
          <w:rFonts w:hint="default" w:ascii="Times New Roman" w:hAnsi="Times New Roman" w:eastAsia="方正仿宋_GBK" w:cs="Times New Roman"/>
          <w:color w:val="000000"/>
          <w:sz w:val="32"/>
          <w:szCs w:val="32"/>
          <w:lang w:val="en-US" w:eastAsia="zh-CN"/>
        </w:rPr>
        <w:t>管理科学规范</w:t>
      </w:r>
      <w:r>
        <w:rPr>
          <w:rFonts w:hint="default" w:ascii="Times New Roman" w:hAnsi="Times New Roman" w:eastAsia="方正仿宋_GBK" w:cs="Times New Roman"/>
          <w:color w:val="000000"/>
          <w:sz w:val="32"/>
          <w:szCs w:val="32"/>
        </w:rPr>
        <w:t>，资金到位及时，</w:t>
      </w:r>
      <w:r>
        <w:rPr>
          <w:rFonts w:hint="default" w:ascii="Times New Roman" w:hAnsi="Times New Roman" w:eastAsia="方正仿宋_GBK" w:cs="Times New Roman"/>
          <w:color w:val="000000"/>
          <w:sz w:val="32"/>
          <w:szCs w:val="32"/>
          <w:lang w:val="en-US" w:eastAsia="zh-CN"/>
        </w:rPr>
        <w:t>总体完成情况较好，</w:t>
      </w:r>
      <w:r>
        <w:rPr>
          <w:rFonts w:hint="default" w:ascii="Times New Roman" w:hAnsi="Times New Roman" w:eastAsia="方正仿宋_GBK" w:cs="Times New Roman"/>
          <w:color w:val="000000"/>
          <w:sz w:val="32"/>
          <w:szCs w:val="32"/>
        </w:rPr>
        <w:t>项目</w:t>
      </w:r>
      <w:r>
        <w:rPr>
          <w:rFonts w:hint="default" w:ascii="Times New Roman" w:hAnsi="Times New Roman" w:eastAsia="方正仿宋_GBK" w:cs="Times New Roman"/>
          <w:color w:val="000000"/>
          <w:sz w:val="32"/>
          <w:szCs w:val="32"/>
          <w:lang w:val="en-US" w:eastAsia="zh-CN"/>
        </w:rPr>
        <w:t>基本达到了预期绩效目标。</w:t>
      </w:r>
    </w:p>
    <w:p>
      <w:pPr>
        <w:pStyle w:val="4"/>
        <w:widowControl w:val="0"/>
        <w:spacing w:before="0" w:beforeAutospacing="0" w:after="0" w:afterAutospacing="0" w:line="570" w:lineRule="exact"/>
        <w:ind w:firstLine="640" w:firstLineChars="200"/>
        <w:jc w:val="both"/>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lang w:val="en-US" w:eastAsia="zh-CN"/>
        </w:rPr>
        <w:t>（二）</w:t>
      </w:r>
      <w:r>
        <w:rPr>
          <w:rStyle w:val="7"/>
          <w:rFonts w:hint="default" w:ascii="Times New Roman" w:hAnsi="Times New Roman" w:eastAsia="方正楷体_GBK" w:cs="Times New Roman"/>
          <w:b w:val="0"/>
          <w:bCs w:val="0"/>
          <w:sz w:val="32"/>
          <w:szCs w:val="32"/>
        </w:rPr>
        <w:t>绩效自评结果</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方正仿宋_GBK" w:cs="Times New Roman"/>
          <w:b w:val="0"/>
          <w:color w:val="000000"/>
          <w:sz w:val="32"/>
          <w:szCs w:val="32"/>
          <w:lang w:val="en-US" w:eastAsia="zh-CN"/>
        </w:rPr>
      </w:pPr>
      <w:r>
        <w:rPr>
          <w:rStyle w:val="7"/>
          <w:rFonts w:hint="default" w:ascii="Times New Roman" w:hAnsi="Times New Roman" w:eastAsia="方正仿宋_GBK" w:cs="Times New Roman"/>
          <w:b w:val="0"/>
          <w:color w:val="000000"/>
          <w:sz w:val="32"/>
          <w:szCs w:val="32"/>
          <w:lang w:val="en-US" w:eastAsia="zh-CN"/>
        </w:rPr>
        <w:t>1.绩效目标自评表</w:t>
      </w:r>
    </w:p>
    <w:tbl>
      <w:tblPr>
        <w:tblStyle w:val="5"/>
        <w:tblW w:w="11008" w:type="dxa"/>
        <w:jc w:val="center"/>
        <w:tblLayout w:type="fixed"/>
        <w:tblCellMar>
          <w:top w:w="0" w:type="dxa"/>
          <w:left w:w="108" w:type="dxa"/>
          <w:bottom w:w="0" w:type="dxa"/>
          <w:right w:w="108" w:type="dxa"/>
        </w:tblCellMar>
      </w:tblPr>
      <w:tblGrid>
        <w:gridCol w:w="1277"/>
        <w:gridCol w:w="650"/>
        <w:gridCol w:w="870"/>
        <w:gridCol w:w="908"/>
        <w:gridCol w:w="1018"/>
        <w:gridCol w:w="848"/>
        <w:gridCol w:w="1043"/>
        <w:gridCol w:w="709"/>
        <w:gridCol w:w="799"/>
        <w:gridCol w:w="992"/>
        <w:gridCol w:w="902"/>
        <w:gridCol w:w="992"/>
      </w:tblGrid>
      <w:tr>
        <w:tblPrEx>
          <w:tblCellMar>
            <w:top w:w="0" w:type="dxa"/>
            <w:left w:w="108" w:type="dxa"/>
            <w:bottom w:w="0" w:type="dxa"/>
            <w:right w:w="108" w:type="dxa"/>
          </w:tblCellMar>
        </w:tblPrEx>
        <w:trPr>
          <w:trHeight w:val="584" w:hRule="atLeast"/>
          <w:jc w:val="center"/>
        </w:trPr>
        <w:tc>
          <w:tcPr>
            <w:tcW w:w="1100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000000"/>
                <w:kern w:val="0"/>
                <w:sz w:val="36"/>
                <w:szCs w:val="40"/>
              </w:rPr>
            </w:pPr>
            <w:r>
              <w:rPr>
                <w:rFonts w:hint="default" w:ascii="Times New Roman" w:hAnsi="Times New Roman" w:eastAsia="微软雅黑" w:cs="Times New Roman"/>
                <w:b/>
                <w:bCs/>
                <w:color w:val="000000"/>
                <w:kern w:val="0"/>
                <w:sz w:val="32"/>
                <w:szCs w:val="40"/>
              </w:rPr>
              <w:t>2022年度部门整体绩效自评表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项目名称：</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hint="default" w:ascii="Times New Roman" w:hAnsi="Times New Roman" w:cs="Times New Roman"/>
                <w:color w:val="000000"/>
                <w:kern w:val="0"/>
                <w:sz w:val="16"/>
                <w:szCs w:val="16"/>
              </w:rPr>
            </w:pPr>
            <w:r>
              <w:rPr>
                <w:rFonts w:ascii="微软雅黑" w:hAnsi="微软雅黑" w:eastAsia="微软雅黑" w:cs="微软雅黑"/>
                <w:i w:val="0"/>
                <w:iCs w:val="0"/>
                <w:caps w:val="0"/>
                <w:color w:val="171A1D"/>
                <w:spacing w:val="0"/>
                <w:sz w:val="16"/>
                <w:szCs w:val="16"/>
                <w:shd w:val="clear" w:fill="FFFFFF"/>
              </w:rPr>
              <w:t>丰都县乡村振兴局部门整体绩效自评</w:t>
            </w:r>
          </w:p>
        </w:tc>
        <w:tc>
          <w:tcPr>
            <w:tcW w:w="908" w:type="dxa"/>
            <w:tcBorders>
              <w:top w:val="nil"/>
              <w:left w:val="nil"/>
              <w:bottom w:val="single" w:color="auto" w:sz="4" w:space="0"/>
              <w:right w:val="single" w:color="auto" w:sz="4" w:space="0"/>
            </w:tcBorders>
            <w:shd w:val="clear" w:color="auto" w:fill="auto"/>
            <w:noWrap/>
            <w:vAlign w:val="center"/>
          </w:tcPr>
          <w:p>
            <w:pPr>
              <w:widowControl/>
              <w:spacing w:line="240" w:lineRule="atLeast"/>
              <w:ind w:firstLine="161" w:firstLineChars="100"/>
              <w:jc w:val="both"/>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w:t>
            </w:r>
          </w:p>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编码：</w:t>
            </w:r>
          </w:p>
        </w:tc>
        <w:tc>
          <w:tcPr>
            <w:tcW w:w="18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50023000022P000035　</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98.00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p>
        </w:tc>
        <w:tc>
          <w:tcPr>
            <w:tcW w:w="1894"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项目主管部门：</w:t>
            </w:r>
          </w:p>
        </w:tc>
        <w:tc>
          <w:tcPr>
            <w:tcW w:w="1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320" w:firstLineChars="2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丰都县</w:t>
            </w:r>
          </w:p>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乡村振兴局　</w:t>
            </w:r>
          </w:p>
        </w:tc>
        <w:tc>
          <w:tcPr>
            <w:tcW w:w="90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财政归口处室：</w:t>
            </w:r>
          </w:p>
        </w:tc>
        <w:tc>
          <w:tcPr>
            <w:tcW w:w="18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农业科</w:t>
            </w:r>
            <w:bookmarkStart w:id="0" w:name="_GoBack"/>
            <w:bookmarkEnd w:id="0"/>
          </w:p>
        </w:tc>
        <w:tc>
          <w:tcPr>
            <w:tcW w:w="1043"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483"/>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部门</w:t>
            </w:r>
          </w:p>
          <w:p>
            <w:pPr>
              <w:widowControl/>
              <w:spacing w:line="240" w:lineRule="atLeast"/>
              <w:ind w:right="16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彭喜梅</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18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联系</w:t>
            </w:r>
          </w:p>
          <w:p>
            <w:pPr>
              <w:widowControl/>
              <w:spacing w:line="240" w:lineRule="atLeast"/>
              <w:ind w:right="18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电话</w:t>
            </w:r>
          </w:p>
        </w:tc>
        <w:tc>
          <w:tcPr>
            <w:tcW w:w="18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r>
              <w:rPr>
                <w:rFonts w:hint="default" w:ascii="Times New Roman" w:hAnsi="Times New Roman" w:cs="Times New Roman"/>
                <w:color w:val="000000"/>
                <w:kern w:val="0"/>
                <w:sz w:val="16"/>
                <w:szCs w:val="16"/>
                <w:lang w:val="en-US" w:eastAsia="zh-CN"/>
              </w:rPr>
              <w:t>023-</w:t>
            </w:r>
            <w:r>
              <w:rPr>
                <w:rFonts w:hint="default" w:ascii="Times New Roman" w:hAnsi="Times New Roman" w:cs="Times New Roman"/>
                <w:color w:val="000000"/>
                <w:kern w:val="0"/>
                <w:sz w:val="16"/>
                <w:szCs w:val="16"/>
              </w:rPr>
              <w:t>70605715</w:t>
            </w:r>
          </w:p>
        </w:tc>
      </w:tr>
      <w:tr>
        <w:tblPrEx>
          <w:tblCellMar>
            <w:top w:w="0" w:type="dxa"/>
            <w:left w:w="108" w:type="dxa"/>
            <w:bottom w:w="0" w:type="dxa"/>
            <w:right w:w="108" w:type="dxa"/>
          </w:tblCellMar>
        </w:tblPrEx>
        <w:trPr>
          <w:trHeight w:val="469" w:hRule="atLeast"/>
          <w:jc w:val="center"/>
        </w:trPr>
        <w:tc>
          <w:tcPr>
            <w:tcW w:w="1100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927"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77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724"/>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年初预算数</w:t>
            </w:r>
          </w:p>
        </w:tc>
        <w:tc>
          <w:tcPr>
            <w:tcW w:w="186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全年（调整）</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16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322"/>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tc>
        <w:tc>
          <w:tcPr>
            <w:tcW w:w="9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权重</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得分</w:t>
            </w:r>
          </w:p>
        </w:tc>
      </w:tr>
      <w:tr>
        <w:tblPrEx>
          <w:tblCellMar>
            <w:top w:w="0" w:type="dxa"/>
            <w:left w:w="108" w:type="dxa"/>
            <w:bottom w:w="0" w:type="dxa"/>
            <w:right w:w="108" w:type="dxa"/>
          </w:tblCellMar>
        </w:tblPrEx>
        <w:trPr>
          <w:trHeight w:val="499" w:hRule="atLeast"/>
          <w:jc w:val="center"/>
        </w:trPr>
        <w:tc>
          <w:tcPr>
            <w:tcW w:w="19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eastAsiaTheme="minorEastAsia"/>
                <w:color w:val="000000"/>
                <w:kern w:val="0"/>
                <w:sz w:val="16"/>
                <w:szCs w:val="16"/>
                <w:lang w:eastAsia="zh-CN"/>
              </w:rPr>
            </w:pPr>
            <w:r>
              <w:rPr>
                <w:rFonts w:hint="default" w:ascii="Times New Roman" w:hAnsi="Times New Roman" w:cs="Times New Roman"/>
                <w:color w:val="000000"/>
                <w:kern w:val="0"/>
                <w:sz w:val="16"/>
                <w:szCs w:val="16"/>
              </w:rPr>
              <w:t>年度总金额</w:t>
            </w:r>
            <w:r>
              <w:rPr>
                <w:rFonts w:hint="default" w:ascii="Times New Roman" w:hAnsi="Times New Roman" w:cs="Times New Roman"/>
                <w:color w:val="000000"/>
                <w:kern w:val="0"/>
                <w:sz w:val="16"/>
                <w:szCs w:val="16"/>
                <w:lang w:eastAsia="zh-CN"/>
              </w:rPr>
              <w:t>（</w:t>
            </w:r>
            <w:r>
              <w:rPr>
                <w:rFonts w:hint="default" w:ascii="Times New Roman" w:hAnsi="Times New Roman" w:cs="Times New Roman"/>
                <w:color w:val="000000"/>
                <w:kern w:val="0"/>
                <w:sz w:val="16"/>
                <w:szCs w:val="16"/>
                <w:lang w:val="en-US" w:eastAsia="zh-CN"/>
              </w:rPr>
              <w:t>万元</w:t>
            </w:r>
            <w:r>
              <w:rPr>
                <w:rFonts w:hint="default" w:ascii="Times New Roman" w:hAnsi="Times New Roman" w:cs="Times New Roman"/>
                <w:color w:val="000000"/>
                <w:kern w:val="0"/>
                <w:sz w:val="16"/>
                <w:szCs w:val="16"/>
                <w:lang w:eastAsia="zh-CN"/>
              </w:rPr>
              <w:t>）</w:t>
            </w:r>
          </w:p>
        </w:tc>
        <w:tc>
          <w:tcPr>
            <w:tcW w:w="17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14804.32</w:t>
            </w:r>
          </w:p>
        </w:tc>
        <w:tc>
          <w:tcPr>
            <w:tcW w:w="18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2764.5</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2221.8</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p>
        </w:tc>
        <w:tc>
          <w:tcPr>
            <w:tcW w:w="90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kern w:val="0"/>
                <w:sz w:val="16"/>
                <w:szCs w:val="16"/>
              </w:rPr>
            </w:pPr>
          </w:p>
        </w:tc>
      </w:tr>
      <w:tr>
        <w:tblPrEx>
          <w:tblCellMar>
            <w:top w:w="0" w:type="dxa"/>
            <w:left w:w="108" w:type="dxa"/>
            <w:bottom w:w="0" w:type="dxa"/>
            <w:right w:w="108" w:type="dxa"/>
          </w:tblCellMar>
        </w:tblPrEx>
        <w:trPr>
          <w:trHeight w:val="415" w:hRule="atLeast"/>
          <w:jc w:val="center"/>
        </w:trPr>
        <w:tc>
          <w:tcPr>
            <w:tcW w:w="19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其中：财政拨款</w:t>
            </w:r>
          </w:p>
        </w:tc>
        <w:tc>
          <w:tcPr>
            <w:tcW w:w="177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14804.32</w:t>
            </w:r>
          </w:p>
        </w:tc>
        <w:tc>
          <w:tcPr>
            <w:tcW w:w="18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2764.5</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2221.8</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80</w:t>
            </w:r>
          </w:p>
        </w:tc>
        <w:tc>
          <w:tcPr>
            <w:tcW w:w="90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10</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8</w:t>
            </w:r>
          </w:p>
        </w:tc>
      </w:tr>
      <w:tr>
        <w:tblPrEx>
          <w:tblCellMar>
            <w:top w:w="0" w:type="dxa"/>
            <w:left w:w="108" w:type="dxa"/>
            <w:bottom w:w="0" w:type="dxa"/>
            <w:right w:w="108" w:type="dxa"/>
          </w:tblCellMar>
        </w:tblPrEx>
        <w:trPr>
          <w:trHeight w:val="600" w:hRule="atLeast"/>
          <w:jc w:val="center"/>
        </w:trPr>
        <w:tc>
          <w:tcPr>
            <w:tcW w:w="1100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Cs w:val="28"/>
              </w:rPr>
              <w:t>绩效目标</w:t>
            </w:r>
          </w:p>
        </w:tc>
      </w:tr>
      <w:tr>
        <w:tblPrEx>
          <w:tblCellMar>
            <w:top w:w="0" w:type="dxa"/>
            <w:left w:w="108" w:type="dxa"/>
            <w:bottom w:w="0" w:type="dxa"/>
            <w:right w:w="108" w:type="dxa"/>
          </w:tblCellMar>
        </w:tblPrEx>
        <w:trPr>
          <w:trHeight w:val="499" w:hRule="atLeast"/>
          <w:jc w:val="center"/>
        </w:trPr>
        <w:tc>
          <w:tcPr>
            <w:tcW w:w="3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年初绩效目标</w:t>
            </w:r>
          </w:p>
        </w:tc>
        <w:tc>
          <w:tcPr>
            <w:tcW w:w="361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全年（调整）绩效目标</w:t>
            </w:r>
          </w:p>
        </w:tc>
        <w:tc>
          <w:tcPr>
            <w:tcW w:w="368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全年目标实际完成情况</w:t>
            </w:r>
          </w:p>
        </w:tc>
      </w:tr>
      <w:tr>
        <w:tblPrEx>
          <w:tblCellMar>
            <w:top w:w="0" w:type="dxa"/>
            <w:left w:w="108" w:type="dxa"/>
            <w:bottom w:w="0" w:type="dxa"/>
            <w:right w:w="108" w:type="dxa"/>
          </w:tblCellMar>
        </w:tblPrEx>
        <w:trPr>
          <w:trHeight w:val="1602" w:hRule="atLeast"/>
          <w:jc w:val="center"/>
        </w:trPr>
        <w:tc>
          <w:tcPr>
            <w:tcW w:w="3705"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1、保障乡村振兴局和培训中心单位日常运转、按时发放在职职工18人的工资待遇等基本支出。2、2022年为全县脱贫人口参加医疗保险个人缴费部分实行定额资助，让脱贫人口医疗有保障。3、为巩固拓展脱贫攻坚成果，全面推进乡村振兴，保障驻乡驻村工作队正常运行。</w:t>
            </w:r>
          </w:p>
        </w:tc>
        <w:tc>
          <w:tcPr>
            <w:tcW w:w="3618" w:type="dxa"/>
            <w:gridSpan w:val="4"/>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3685" w:type="dxa"/>
            <w:gridSpan w:val="4"/>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1、保障乡村振兴局和培训中心单位日常运转、按时发放在职职工19人的工资待遇等基本支出。2、2022年为全县稳定脱贫人口参加医疗保险个人缴费部分实行定额资助，其中：监测对象和低保人口由县医保局统一资助，让脱贫人口医疗有保障。3、为巩固拓展脱贫攻坚成果，全面推进乡村振兴，保障驻乡驻村工作队正常运行。</w:t>
            </w:r>
          </w:p>
        </w:tc>
      </w:tr>
      <w:tr>
        <w:tblPrEx>
          <w:tblCellMar>
            <w:top w:w="0" w:type="dxa"/>
            <w:left w:w="108" w:type="dxa"/>
            <w:bottom w:w="0" w:type="dxa"/>
            <w:right w:w="108" w:type="dxa"/>
          </w:tblCellMar>
        </w:tblPrEx>
        <w:trPr>
          <w:trHeight w:val="600" w:hRule="atLeast"/>
          <w:jc w:val="center"/>
        </w:trPr>
        <w:tc>
          <w:tcPr>
            <w:tcW w:w="1100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名称</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计量单位</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性质</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指标值</w:t>
            </w:r>
          </w:p>
        </w:tc>
        <w:tc>
          <w:tcPr>
            <w:tcW w:w="10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全年完成值</w:t>
            </w:r>
          </w:p>
        </w:tc>
        <w:tc>
          <w:tcPr>
            <w:tcW w:w="8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偏离度（%）</w:t>
            </w:r>
          </w:p>
        </w:tc>
        <w:tc>
          <w:tcPr>
            <w:tcW w:w="10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得分系数（%）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权重</w:t>
            </w:r>
          </w:p>
        </w:tc>
        <w:tc>
          <w:tcPr>
            <w:tcW w:w="79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得分</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是否核心指标</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单位在职职工人数</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人</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18</w:t>
            </w:r>
          </w:p>
        </w:tc>
        <w:tc>
          <w:tcPr>
            <w:tcW w:w="10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19</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是</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16"/>
                <w:szCs w:val="16"/>
                <w:u w:val="none"/>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全县派驻村干部人数</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人</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286</w:t>
            </w:r>
          </w:p>
        </w:tc>
        <w:tc>
          <w:tcPr>
            <w:tcW w:w="10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289</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是</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16"/>
                <w:szCs w:val="16"/>
                <w:u w:val="none"/>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市级乡村振兴重点帮扶工作队</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个</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w:t>
            </w:r>
          </w:p>
        </w:tc>
        <w:tc>
          <w:tcPr>
            <w:tcW w:w="10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是</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16"/>
                <w:szCs w:val="16"/>
                <w:u w:val="none"/>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脱贫人口参加医保人数</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万人</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w:t>
            </w:r>
          </w:p>
        </w:tc>
        <w:tc>
          <w:tcPr>
            <w:tcW w:w="10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7.2</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是</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稳定脱贫人口医保由乡村振兴局资助，监测对象和低保人口由县医保局统一购买。</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县级乡村振兴重点帮扶工作队</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个</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w:t>
            </w:r>
          </w:p>
        </w:tc>
        <w:tc>
          <w:tcPr>
            <w:tcW w:w="10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是</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16"/>
                <w:szCs w:val="16"/>
                <w:u w:val="none"/>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驻乡驻村干部补助</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元/天</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10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是</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16"/>
                <w:szCs w:val="16"/>
                <w:u w:val="none"/>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上级主管部门及县委县政府工作满意度</w:t>
            </w:r>
          </w:p>
        </w:tc>
        <w:tc>
          <w:tcPr>
            <w:tcW w:w="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w:t>
            </w:r>
          </w:p>
        </w:tc>
        <w:tc>
          <w:tcPr>
            <w:tcW w:w="10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w:t>
            </w:r>
          </w:p>
        </w:tc>
        <w:tc>
          <w:tcPr>
            <w:tcW w:w="8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是</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16"/>
                <w:szCs w:val="16"/>
                <w:u w:val="none"/>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650"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870"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908"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018"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848"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7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320" w:firstLineChars="200"/>
        <w:jc w:val="both"/>
        <w:textAlignment w:val="auto"/>
        <w:rPr>
          <w:rStyle w:val="7"/>
          <w:rFonts w:hint="default" w:ascii="Times New Roman" w:hAnsi="Times New Roman" w:eastAsia="方正仿宋_GBK" w:cs="Times New Roman"/>
          <w:b w:val="0"/>
          <w:color w:val="000000"/>
          <w:sz w:val="16"/>
          <w:szCs w:val="16"/>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320" w:firstLineChars="200"/>
        <w:jc w:val="both"/>
        <w:textAlignment w:val="auto"/>
        <w:rPr>
          <w:rStyle w:val="7"/>
          <w:rFonts w:hint="default" w:ascii="Times New Roman" w:hAnsi="Times New Roman" w:eastAsia="方正仿宋_GBK" w:cs="Times New Roman"/>
          <w:b w:val="0"/>
          <w:color w:val="000000"/>
          <w:sz w:val="16"/>
          <w:szCs w:val="16"/>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320" w:firstLineChars="200"/>
        <w:jc w:val="both"/>
        <w:textAlignment w:val="auto"/>
        <w:rPr>
          <w:rStyle w:val="7"/>
          <w:rFonts w:hint="default" w:ascii="Times New Roman" w:hAnsi="Times New Roman" w:eastAsia="方正仿宋_GBK" w:cs="Times New Roman"/>
          <w:b w:val="0"/>
          <w:color w:val="000000"/>
          <w:sz w:val="16"/>
          <w:szCs w:val="16"/>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320" w:firstLineChars="200"/>
        <w:jc w:val="both"/>
        <w:textAlignment w:val="auto"/>
        <w:rPr>
          <w:rStyle w:val="7"/>
          <w:rFonts w:hint="default" w:ascii="Times New Roman" w:hAnsi="Times New Roman" w:eastAsia="方正仿宋_GBK" w:cs="Times New Roman"/>
          <w:b w:val="0"/>
          <w:color w:val="000000"/>
          <w:sz w:val="16"/>
          <w:szCs w:val="16"/>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jc w:val="both"/>
        <w:textAlignment w:val="auto"/>
        <w:rPr>
          <w:rStyle w:val="7"/>
          <w:rFonts w:hint="default" w:ascii="Times New Roman" w:hAnsi="Times New Roman" w:eastAsia="方正仿宋_GBK" w:cs="Times New Roman"/>
          <w:b w:val="0"/>
          <w:color w:val="000000"/>
          <w:sz w:val="16"/>
          <w:szCs w:val="16"/>
          <w:lang w:val="en-US" w:eastAsia="zh-CN"/>
        </w:rPr>
      </w:pPr>
    </w:p>
    <w:tbl>
      <w:tblPr>
        <w:tblStyle w:val="5"/>
        <w:tblW w:w="10988" w:type="dxa"/>
        <w:jc w:val="center"/>
        <w:tblLayout w:type="fixed"/>
        <w:tblCellMar>
          <w:top w:w="0" w:type="dxa"/>
          <w:left w:w="108" w:type="dxa"/>
          <w:bottom w:w="0" w:type="dxa"/>
          <w:right w:w="108" w:type="dxa"/>
        </w:tblCellMar>
      </w:tblPr>
      <w:tblGrid>
        <w:gridCol w:w="1273"/>
        <w:gridCol w:w="659"/>
        <w:gridCol w:w="755"/>
        <w:gridCol w:w="989"/>
        <w:gridCol w:w="1031"/>
        <w:gridCol w:w="975"/>
        <w:gridCol w:w="1095"/>
        <w:gridCol w:w="600"/>
        <w:gridCol w:w="734"/>
        <w:gridCol w:w="989"/>
        <w:gridCol w:w="899"/>
        <w:gridCol w:w="989"/>
      </w:tblGrid>
      <w:tr>
        <w:tblPrEx>
          <w:tblCellMar>
            <w:top w:w="0" w:type="dxa"/>
            <w:left w:w="108" w:type="dxa"/>
            <w:bottom w:w="0" w:type="dxa"/>
            <w:right w:w="108" w:type="dxa"/>
          </w:tblCellMar>
        </w:tblPrEx>
        <w:trPr>
          <w:trHeight w:val="584" w:hRule="atLeast"/>
          <w:jc w:val="center"/>
        </w:trPr>
        <w:tc>
          <w:tcPr>
            <w:tcW w:w="1098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000000"/>
                <w:kern w:val="0"/>
                <w:sz w:val="36"/>
                <w:szCs w:val="40"/>
              </w:rPr>
            </w:pPr>
            <w:r>
              <w:rPr>
                <w:rFonts w:hint="default" w:ascii="Times New Roman" w:hAnsi="Times New Roman" w:eastAsia="微软雅黑" w:cs="Times New Roman"/>
                <w:b/>
                <w:bCs/>
                <w:color w:val="000000"/>
                <w:kern w:val="0"/>
                <w:sz w:val="32"/>
                <w:szCs w:val="40"/>
              </w:rPr>
              <w:t>2022年度项目绩效自评表</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项目名称：</w:t>
            </w:r>
          </w:p>
        </w:tc>
        <w:tc>
          <w:tcPr>
            <w:tcW w:w="1414"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雨露计划中高职教育资助　</w:t>
            </w:r>
          </w:p>
        </w:tc>
        <w:tc>
          <w:tcPr>
            <w:tcW w:w="989"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项目编码：</w:t>
            </w:r>
          </w:p>
        </w:tc>
        <w:tc>
          <w:tcPr>
            <w:tcW w:w="200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50023022T000002169710</w:t>
            </w:r>
          </w:p>
        </w:tc>
        <w:tc>
          <w:tcPr>
            <w:tcW w:w="1095"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自评总分：</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eastAsiaTheme="minorEastAsia"/>
                <w:color w:val="000000"/>
                <w:kern w:val="0"/>
                <w:sz w:val="16"/>
                <w:szCs w:val="16"/>
                <w:lang w:val="en-US" w:eastAsia="zh-CN"/>
              </w:rPr>
            </w:pPr>
            <w:r>
              <w:rPr>
                <w:rFonts w:hint="default" w:ascii="Times New Roman" w:hAnsi="Times New Roman" w:cs="Times New Roman"/>
                <w:color w:val="000000"/>
                <w:kern w:val="0"/>
                <w:sz w:val="16"/>
                <w:szCs w:val="16"/>
              </w:rPr>
              <w:t>　</w:t>
            </w:r>
            <w:r>
              <w:rPr>
                <w:rFonts w:hint="default" w:ascii="Times New Roman" w:hAnsi="Times New Roman" w:cs="Times New Roman"/>
                <w:color w:val="000000"/>
                <w:kern w:val="0"/>
                <w:sz w:val="16"/>
                <w:szCs w:val="16"/>
                <w:lang w:val="en-US" w:eastAsia="zh-CN"/>
              </w:rPr>
              <w:t>100</w:t>
            </w:r>
          </w:p>
        </w:tc>
        <w:tc>
          <w:tcPr>
            <w:tcW w:w="989"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p>
        </w:tc>
        <w:tc>
          <w:tcPr>
            <w:tcW w:w="1888"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项目主管部门：</w:t>
            </w:r>
          </w:p>
        </w:tc>
        <w:tc>
          <w:tcPr>
            <w:tcW w:w="14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丰都县乡村振兴局</w:t>
            </w:r>
          </w:p>
        </w:tc>
        <w:tc>
          <w:tcPr>
            <w:tcW w:w="989"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财政归口处室：</w:t>
            </w:r>
          </w:p>
        </w:tc>
        <w:tc>
          <w:tcPr>
            <w:tcW w:w="20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农业科</w:t>
            </w:r>
          </w:p>
        </w:tc>
        <w:tc>
          <w:tcPr>
            <w:tcW w:w="1095"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483"/>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部门</w:t>
            </w:r>
          </w:p>
          <w:p>
            <w:pPr>
              <w:widowControl/>
              <w:spacing w:line="240" w:lineRule="atLeast"/>
              <w:ind w:right="16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联系人：</w:t>
            </w:r>
          </w:p>
        </w:tc>
        <w:tc>
          <w:tcPr>
            <w:tcW w:w="13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江科</w:t>
            </w:r>
          </w:p>
        </w:tc>
        <w:tc>
          <w:tcPr>
            <w:tcW w:w="989" w:type="dxa"/>
            <w:tcBorders>
              <w:top w:val="nil"/>
              <w:left w:val="nil"/>
              <w:bottom w:val="single" w:color="auto" w:sz="4" w:space="0"/>
              <w:right w:val="single" w:color="auto" w:sz="4" w:space="0"/>
            </w:tcBorders>
            <w:shd w:val="clear" w:color="auto" w:fill="auto"/>
            <w:noWrap/>
            <w:vAlign w:val="center"/>
          </w:tcPr>
          <w:p>
            <w:pPr>
              <w:widowControl/>
              <w:spacing w:line="240" w:lineRule="atLeast"/>
              <w:ind w:right="18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联系</w:t>
            </w:r>
          </w:p>
          <w:p>
            <w:pPr>
              <w:widowControl/>
              <w:spacing w:line="240" w:lineRule="atLeast"/>
              <w:ind w:right="18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电话</w:t>
            </w:r>
          </w:p>
        </w:tc>
        <w:tc>
          <w:tcPr>
            <w:tcW w:w="18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default" w:ascii="Times New Roman" w:hAnsi="Times New Roman" w:cs="Times New Roman" w:eastAsiaTheme="minorEastAsia"/>
                <w:color w:val="000000"/>
                <w:kern w:val="0"/>
                <w:sz w:val="16"/>
                <w:szCs w:val="16"/>
                <w:lang w:val="en-US" w:eastAsia="zh-CN"/>
              </w:rPr>
            </w:pPr>
            <w:r>
              <w:rPr>
                <w:rFonts w:hint="default" w:ascii="Times New Roman" w:hAnsi="Times New Roman" w:cs="Times New Roman"/>
                <w:color w:val="000000"/>
                <w:kern w:val="0"/>
                <w:sz w:val="16"/>
                <w:szCs w:val="16"/>
              </w:rPr>
              <w:t>　</w:t>
            </w:r>
            <w:r>
              <w:rPr>
                <w:rFonts w:hint="default" w:ascii="Times New Roman" w:hAnsi="Times New Roman" w:cs="Times New Roman"/>
                <w:color w:val="000000"/>
                <w:kern w:val="0"/>
                <w:sz w:val="16"/>
                <w:szCs w:val="16"/>
                <w:lang w:val="en-US" w:eastAsia="zh-CN"/>
              </w:rPr>
              <w:t>023-70605722</w:t>
            </w:r>
          </w:p>
        </w:tc>
      </w:tr>
      <w:tr>
        <w:tblPrEx>
          <w:tblCellMar>
            <w:top w:w="0" w:type="dxa"/>
            <w:left w:w="108" w:type="dxa"/>
            <w:bottom w:w="0" w:type="dxa"/>
            <w:right w:w="108" w:type="dxa"/>
          </w:tblCellMar>
        </w:tblPrEx>
        <w:trPr>
          <w:trHeight w:val="469" w:hRule="atLeast"/>
          <w:jc w:val="center"/>
        </w:trPr>
        <w:tc>
          <w:tcPr>
            <w:tcW w:w="1098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93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74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724"/>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年初预算数</w:t>
            </w:r>
          </w:p>
        </w:tc>
        <w:tc>
          <w:tcPr>
            <w:tcW w:w="200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全年（调整）</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预算数</w:t>
            </w:r>
          </w:p>
        </w:tc>
        <w:tc>
          <w:tcPr>
            <w:tcW w:w="169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161"/>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全年执行数</w:t>
            </w:r>
          </w:p>
        </w:tc>
        <w:tc>
          <w:tcPr>
            <w:tcW w:w="172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right="322"/>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tc>
        <w:tc>
          <w:tcPr>
            <w:tcW w:w="89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权重</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执行率</w:t>
            </w:r>
          </w:p>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得分</w:t>
            </w:r>
          </w:p>
        </w:tc>
      </w:tr>
      <w:tr>
        <w:tblPrEx>
          <w:tblCellMar>
            <w:top w:w="0" w:type="dxa"/>
            <w:left w:w="108" w:type="dxa"/>
            <w:bottom w:w="0" w:type="dxa"/>
            <w:right w:w="108" w:type="dxa"/>
          </w:tblCellMar>
        </w:tblPrEx>
        <w:trPr>
          <w:trHeight w:val="499" w:hRule="atLeast"/>
          <w:jc w:val="center"/>
        </w:trPr>
        <w:tc>
          <w:tcPr>
            <w:tcW w:w="19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eastAsiaTheme="minorEastAsia"/>
                <w:color w:val="000000"/>
                <w:kern w:val="0"/>
                <w:sz w:val="16"/>
                <w:szCs w:val="16"/>
                <w:lang w:eastAsia="zh-CN"/>
              </w:rPr>
            </w:pPr>
            <w:r>
              <w:rPr>
                <w:rFonts w:hint="default" w:ascii="Times New Roman" w:hAnsi="Times New Roman" w:cs="Times New Roman"/>
                <w:color w:val="000000"/>
                <w:kern w:val="0"/>
                <w:sz w:val="16"/>
                <w:szCs w:val="16"/>
              </w:rPr>
              <w:t>年度总金额</w:t>
            </w:r>
            <w:r>
              <w:rPr>
                <w:rFonts w:hint="default" w:ascii="Times New Roman" w:hAnsi="Times New Roman" w:cs="Times New Roman"/>
                <w:color w:val="000000"/>
                <w:kern w:val="0"/>
                <w:sz w:val="16"/>
                <w:szCs w:val="16"/>
                <w:lang w:eastAsia="zh-CN"/>
              </w:rPr>
              <w:t>（</w:t>
            </w:r>
            <w:r>
              <w:rPr>
                <w:rFonts w:hint="default" w:ascii="Times New Roman" w:hAnsi="Times New Roman" w:cs="Times New Roman"/>
                <w:color w:val="000000"/>
                <w:kern w:val="0"/>
                <w:sz w:val="16"/>
                <w:szCs w:val="16"/>
                <w:lang w:val="en-US" w:eastAsia="zh-CN"/>
              </w:rPr>
              <w:t>万元</w:t>
            </w:r>
            <w:r>
              <w:rPr>
                <w:rFonts w:hint="default" w:ascii="Times New Roman" w:hAnsi="Times New Roman" w:cs="Times New Roman"/>
                <w:color w:val="000000"/>
                <w:kern w:val="0"/>
                <w:sz w:val="16"/>
                <w:szCs w:val="16"/>
                <w:lang w:eastAsia="zh-CN"/>
              </w:rPr>
              <w:t>）</w:t>
            </w:r>
          </w:p>
        </w:tc>
        <w:tc>
          <w:tcPr>
            <w:tcW w:w="17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20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306.6</w:t>
            </w:r>
          </w:p>
        </w:tc>
        <w:tc>
          <w:tcPr>
            <w:tcW w:w="16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eastAsiaTheme="minorEastAsia"/>
                <w:color w:val="000000"/>
                <w:kern w:val="0"/>
                <w:sz w:val="16"/>
                <w:szCs w:val="16"/>
                <w:lang w:val="en-US" w:eastAsia="zh-CN" w:bidi="ar-SA"/>
              </w:rPr>
            </w:pPr>
            <w:r>
              <w:rPr>
                <w:rFonts w:hint="default" w:ascii="Times New Roman" w:hAnsi="Times New Roman" w:cs="Times New Roman"/>
                <w:color w:val="000000"/>
                <w:kern w:val="0"/>
                <w:sz w:val="16"/>
                <w:szCs w:val="16"/>
                <w:lang w:val="en-US" w:eastAsia="zh-CN"/>
              </w:rPr>
              <w:t>306.6</w:t>
            </w:r>
          </w:p>
        </w:tc>
        <w:tc>
          <w:tcPr>
            <w:tcW w:w="17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100%</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kern w:val="0"/>
                <w:sz w:val="16"/>
                <w:szCs w:val="16"/>
              </w:rPr>
            </w:pPr>
            <w:r>
              <w:rPr>
                <w:rFonts w:hint="default" w:ascii="Times New Roman" w:hAnsi="Times New Roman" w:cs="Times New Roman"/>
                <w:kern w:val="0"/>
                <w:sz w:val="16"/>
                <w:szCs w:val="16"/>
              </w:rPr>
              <w:t>　</w:t>
            </w:r>
          </w:p>
        </w:tc>
      </w:tr>
      <w:tr>
        <w:tblPrEx>
          <w:tblCellMar>
            <w:top w:w="0" w:type="dxa"/>
            <w:left w:w="108" w:type="dxa"/>
            <w:bottom w:w="0" w:type="dxa"/>
            <w:right w:w="108" w:type="dxa"/>
          </w:tblCellMar>
        </w:tblPrEx>
        <w:trPr>
          <w:trHeight w:val="415" w:hRule="atLeast"/>
          <w:jc w:val="center"/>
        </w:trPr>
        <w:tc>
          <w:tcPr>
            <w:tcW w:w="19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其中：财政拨款</w:t>
            </w:r>
          </w:p>
        </w:tc>
        <w:tc>
          <w:tcPr>
            <w:tcW w:w="17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20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306.6</w:t>
            </w:r>
          </w:p>
        </w:tc>
        <w:tc>
          <w:tcPr>
            <w:tcW w:w="16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eastAsiaTheme="minorEastAsia"/>
                <w:color w:val="000000"/>
                <w:kern w:val="0"/>
                <w:sz w:val="16"/>
                <w:szCs w:val="16"/>
                <w:lang w:val="en-US" w:eastAsia="zh-CN" w:bidi="ar-SA"/>
              </w:rPr>
            </w:pPr>
            <w:r>
              <w:rPr>
                <w:rFonts w:hint="default" w:ascii="Times New Roman" w:hAnsi="Times New Roman" w:cs="Times New Roman"/>
                <w:color w:val="000000"/>
                <w:kern w:val="0"/>
                <w:sz w:val="16"/>
                <w:szCs w:val="16"/>
                <w:lang w:val="en-US" w:eastAsia="zh-CN"/>
              </w:rPr>
              <w:t>306.6</w:t>
            </w:r>
          </w:p>
        </w:tc>
        <w:tc>
          <w:tcPr>
            <w:tcW w:w="17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lang w:val="en-US" w:eastAsia="zh-CN"/>
              </w:rPr>
              <w:t>100%</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10</w:t>
            </w:r>
          </w:p>
        </w:tc>
      </w:tr>
      <w:tr>
        <w:tblPrEx>
          <w:tblCellMar>
            <w:top w:w="0" w:type="dxa"/>
            <w:left w:w="108" w:type="dxa"/>
            <w:bottom w:w="0" w:type="dxa"/>
            <w:right w:w="108" w:type="dxa"/>
          </w:tblCellMar>
        </w:tblPrEx>
        <w:trPr>
          <w:trHeight w:val="600" w:hRule="atLeast"/>
          <w:jc w:val="center"/>
        </w:trPr>
        <w:tc>
          <w:tcPr>
            <w:tcW w:w="1098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Cs w:val="28"/>
              </w:rPr>
              <w:t>绩效目标</w:t>
            </w:r>
          </w:p>
        </w:tc>
      </w:tr>
      <w:tr>
        <w:tblPrEx>
          <w:tblCellMar>
            <w:top w:w="0" w:type="dxa"/>
            <w:left w:w="108" w:type="dxa"/>
            <w:bottom w:w="0" w:type="dxa"/>
            <w:right w:w="108" w:type="dxa"/>
          </w:tblCellMar>
        </w:tblPrEx>
        <w:trPr>
          <w:trHeight w:val="499" w:hRule="atLeast"/>
          <w:jc w:val="center"/>
        </w:trPr>
        <w:tc>
          <w:tcPr>
            <w:tcW w:w="36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年初绩效目标</w:t>
            </w:r>
          </w:p>
        </w:tc>
        <w:tc>
          <w:tcPr>
            <w:tcW w:w="370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全年（调整）绩效目标</w:t>
            </w:r>
          </w:p>
        </w:tc>
        <w:tc>
          <w:tcPr>
            <w:tcW w:w="361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全年目标实际完成情况</w:t>
            </w:r>
          </w:p>
        </w:tc>
      </w:tr>
      <w:tr>
        <w:tblPrEx>
          <w:tblCellMar>
            <w:top w:w="0" w:type="dxa"/>
            <w:left w:w="108" w:type="dxa"/>
            <w:bottom w:w="0" w:type="dxa"/>
            <w:right w:w="108" w:type="dxa"/>
          </w:tblCellMar>
        </w:tblPrEx>
        <w:trPr>
          <w:trHeight w:val="1602" w:hRule="atLeast"/>
          <w:jc w:val="center"/>
        </w:trPr>
        <w:tc>
          <w:tcPr>
            <w:tcW w:w="3676"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3701" w:type="dxa"/>
            <w:gridSpan w:val="4"/>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全县农村建档立卡脱贫户（以下简称脱贫户）、监测对象户（含脱贫不稳定户、边缘易致贫户、突发严重困难户）家庭中符合“雨露计划”职业教育补助条件的子女，要做到“应补尽补”。</w:t>
            </w:r>
          </w:p>
        </w:tc>
        <w:tc>
          <w:tcPr>
            <w:tcW w:w="3611" w:type="dxa"/>
            <w:gridSpan w:val="4"/>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全县农村建档立卡脱贫户（以下简称脱贫户）、监测对象户（含脱贫不稳定户、边缘易致贫户、突发严重困难户）家庭中符合“雨露计划”职业教育补助条件的子女，要做到“应补尽补”。</w:t>
            </w:r>
          </w:p>
        </w:tc>
      </w:tr>
      <w:tr>
        <w:tblPrEx>
          <w:tblCellMar>
            <w:top w:w="0" w:type="dxa"/>
            <w:left w:w="108" w:type="dxa"/>
            <w:bottom w:w="0" w:type="dxa"/>
            <w:right w:w="108" w:type="dxa"/>
          </w:tblCellMar>
        </w:tblPrEx>
        <w:trPr>
          <w:trHeight w:val="600" w:hRule="atLeast"/>
          <w:jc w:val="center"/>
        </w:trPr>
        <w:tc>
          <w:tcPr>
            <w:tcW w:w="1098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微软雅黑" w:cs="Times New Roman"/>
                <w:b/>
                <w:bCs/>
                <w:color w:val="808080"/>
                <w:kern w:val="0"/>
                <w:sz w:val="28"/>
                <w:szCs w:val="28"/>
              </w:rPr>
            </w:pPr>
            <w:r>
              <w:rPr>
                <w:rFonts w:hint="default" w:ascii="Times New Roman" w:hAnsi="Times New Roman" w:eastAsia="微软雅黑" w:cs="Times New Roman"/>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名称</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计量单位</w:t>
            </w:r>
          </w:p>
        </w:tc>
        <w:tc>
          <w:tcPr>
            <w:tcW w:w="7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性质</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指标值</w:t>
            </w:r>
          </w:p>
        </w:tc>
        <w:tc>
          <w:tcPr>
            <w:tcW w:w="103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全年完成值</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偏离度（%）</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得分系数（%）</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权重</w:t>
            </w:r>
          </w:p>
        </w:tc>
        <w:tc>
          <w:tcPr>
            <w:tcW w:w="7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指标</w:t>
            </w:r>
          </w:p>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得分</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是否核心指标</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b/>
                <w:bCs/>
                <w:color w:val="000000"/>
                <w:kern w:val="0"/>
                <w:sz w:val="16"/>
              </w:rPr>
            </w:pPr>
            <w:r>
              <w:rPr>
                <w:rFonts w:hint="default" w:ascii="Times New Roman" w:hAnsi="Times New Roman" w:cs="Times New Roman"/>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全县中、高职雨露计划职业教育补助人数</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人</w:t>
            </w:r>
          </w:p>
        </w:tc>
        <w:tc>
          <w:tcPr>
            <w:tcW w:w="7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1691</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b w:val="0"/>
                <w:bCs w:val="0"/>
                <w:color w:val="000000"/>
                <w:kern w:val="0"/>
                <w:sz w:val="16"/>
                <w:szCs w:val="16"/>
                <w:lang w:val="en-US" w:eastAsia="zh-CN"/>
              </w:rPr>
            </w:pPr>
            <w:r>
              <w:rPr>
                <w:rFonts w:hint="default" w:ascii="Times New Roman" w:hAnsi="Times New Roman" w:cs="Times New Roman"/>
                <w:b w:val="0"/>
                <w:bCs w:val="0"/>
                <w:color w:val="000000"/>
                <w:kern w:val="0"/>
                <w:sz w:val="16"/>
                <w:szCs w:val="16"/>
                <w:lang w:val="en-US" w:eastAsia="zh-CN"/>
              </w:rPr>
              <w:t>是</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b/>
                <w:bCs/>
                <w:color w:val="000000"/>
                <w:kern w:val="0"/>
                <w:sz w:val="16"/>
                <w:szCs w:val="16"/>
              </w:rPr>
            </w:pPr>
            <w:r>
              <w:rPr>
                <w:rFonts w:hint="default" w:ascii="Times New Roman" w:hAnsi="Times New Roman" w:cs="Times New Roman"/>
                <w:b w:val="0"/>
                <w:bCs w:val="0"/>
                <w:color w:val="000000"/>
                <w:kern w:val="0"/>
                <w:sz w:val="16"/>
                <w:szCs w:val="16"/>
              </w:rPr>
              <w:t>根据工作开展实际教育资助人数1691人。</w:t>
            </w: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雨露计划职业教育补助发放准确率</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7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补助资金在规定时间内支付到位率</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7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高职学生每生每年补助</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元/年</w:t>
            </w:r>
          </w:p>
        </w:tc>
        <w:tc>
          <w:tcPr>
            <w:tcW w:w="7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5000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中职学生每生每年补助</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元/年</w:t>
            </w:r>
          </w:p>
        </w:tc>
        <w:tc>
          <w:tcPr>
            <w:tcW w:w="7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促进稳定就业，脱贫人口年收入增长</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元</w:t>
            </w:r>
          </w:p>
        </w:tc>
        <w:tc>
          <w:tcPr>
            <w:tcW w:w="7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3000</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20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受益建档立卡脱贫户、监测对象户满意度</w:t>
            </w:r>
          </w:p>
        </w:tc>
        <w:tc>
          <w:tcPr>
            <w:tcW w:w="6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7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w:t>
            </w:r>
          </w:p>
        </w:tc>
        <w:tc>
          <w:tcPr>
            <w:tcW w:w="9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w:t>
            </w:r>
          </w:p>
        </w:tc>
        <w:tc>
          <w:tcPr>
            <w:tcW w:w="10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95</w:t>
            </w:r>
          </w:p>
        </w:tc>
        <w:tc>
          <w:tcPr>
            <w:tcW w:w="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0</w:t>
            </w:r>
          </w:p>
        </w:tc>
        <w:tc>
          <w:tcPr>
            <w:tcW w:w="10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60" w:firstLineChars="10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10</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center"/>
              <w:rPr>
                <w:rFonts w:hint="default" w:ascii="Times New Roman" w:hAnsi="Times New Roman" w:cs="Times New Roman"/>
                <w:b w:val="0"/>
                <w:bCs w:val="0"/>
                <w:color w:val="000000"/>
                <w:kern w:val="0"/>
                <w:sz w:val="16"/>
                <w:szCs w:val="16"/>
              </w:rPr>
            </w:pPr>
            <w:r>
              <w:rPr>
                <w:rFonts w:hint="default" w:ascii="Times New Roman" w:hAnsi="Times New Roman" w:cs="Times New Roman"/>
                <w:b w:val="0"/>
                <w:bCs w:val="0"/>
                <w:color w:val="000000"/>
                <w:kern w:val="0"/>
                <w:sz w:val="16"/>
                <w:szCs w:val="16"/>
                <w:lang w:val="en-US" w:eastAsia="zh-CN"/>
              </w:rPr>
              <w:t>是</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3" w:type="dxa"/>
            <w:tcBorders>
              <w:top w:val="nil"/>
              <w:left w:val="single" w:color="auto" w:sz="4" w:space="0"/>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65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755"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031"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975"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095"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600"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734"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righ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989" w:type="dxa"/>
            <w:tcBorders>
              <w:top w:val="nil"/>
              <w:left w:val="nil"/>
              <w:bottom w:val="single" w:color="auto" w:sz="4" w:space="0"/>
              <w:right w:val="single" w:color="auto" w:sz="4" w:space="0"/>
            </w:tcBorders>
            <w:shd w:val="clear" w:color="auto" w:fill="auto"/>
            <w:noWrap/>
            <w:vAlign w:val="center"/>
          </w:tcPr>
          <w:p>
            <w:pPr>
              <w:widowControl/>
              <w:ind w:firstLine="160" w:firstLineChars="100"/>
              <w:jc w:val="left"/>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188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r>
    </w:tbl>
    <w:p>
      <w:pPr>
        <w:spacing w:line="594" w:lineRule="exact"/>
        <w:rPr>
          <w:rFonts w:hint="default" w:ascii="Times New Roman" w:hAnsi="Times New Roman" w:eastAsia="方正仿宋_GBK" w:cs="Times New Roman"/>
          <w:sz w:val="32"/>
          <w:szCs w:val="32"/>
        </w:rPr>
        <w:sectPr>
          <w:footerReference r:id="rId3" w:type="default"/>
          <w:pgSz w:w="11906" w:h="16838"/>
          <w:pgMar w:top="2098" w:right="1531" w:bottom="1984" w:left="1531" w:header="851" w:footer="992" w:gutter="0"/>
          <w:pgNumType w:fmt="decimal"/>
          <w:cols w:space="0" w:num="1"/>
          <w:rtlGutter w:val="0"/>
          <w:docGrid w:type="lines" w:linePitch="312" w:charSpace="0"/>
        </w:sect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方正仿宋_GBK" w:cs="Times New Roman"/>
          <w:b w:val="0"/>
          <w:color w:val="000000"/>
          <w:sz w:val="32"/>
          <w:szCs w:val="32"/>
        </w:rPr>
      </w:pPr>
      <w:r>
        <w:rPr>
          <w:rFonts w:hint="default" w:ascii="Times New Roman" w:hAnsi="Times New Roman" w:eastAsia="方正仿宋_GBK" w:cs="Times New Roman"/>
          <w:sz w:val="32"/>
          <w:szCs w:val="32"/>
        </w:rPr>
        <w:pict>
          <v:shape id="_x0000_s2050" o:spid="_x0000_s2050" o:spt="32" type="#_x0000_t32" style="position:absolute;left:0pt;margin-left:-20.6pt;margin-top:-552.05pt;height:0pt;width:36pt;z-index:251660288;mso-width-relative:page;mso-height-relative:page;" o:connectortype="straight" filled="f" coordsize="21600,21600">
            <v:path arrowok="t"/>
            <v:fill on="f" focussize="0,0"/>
            <v:stroke/>
            <v:imagedata o:title=""/>
            <o:lock v:ext="edit"/>
          </v:shape>
        </w:pict>
      </w:r>
      <w:r>
        <w:rPr>
          <w:rStyle w:val="7"/>
          <w:rFonts w:hint="default" w:ascii="Times New Roman" w:hAnsi="Times New Roman" w:eastAsia="方正仿宋_GBK" w:cs="Times New Roman"/>
          <w:b w:val="0"/>
          <w:color w:val="000000"/>
          <w:sz w:val="32"/>
          <w:szCs w:val="32"/>
          <w:lang w:val="en-US" w:eastAsia="zh-CN"/>
        </w:rPr>
        <w:t>2.</w:t>
      </w:r>
      <w:r>
        <w:rPr>
          <w:rStyle w:val="7"/>
          <w:rFonts w:hint="default" w:ascii="Times New Roman" w:hAnsi="Times New Roman" w:eastAsia="方正仿宋_GBK" w:cs="Times New Roman"/>
          <w:b w:val="0"/>
          <w:color w:val="000000"/>
          <w:sz w:val="32"/>
          <w:szCs w:val="32"/>
        </w:rPr>
        <w:t>绩效自评报告或案例</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方正仿宋_GBK" w:cs="Times New Roman"/>
          <w:b w:val="0"/>
          <w:color w:val="000000"/>
          <w:sz w:val="32"/>
          <w:szCs w:val="32"/>
        </w:rPr>
      </w:pPr>
      <w:r>
        <w:rPr>
          <w:rStyle w:val="7"/>
          <w:rFonts w:hint="default" w:ascii="Times New Roman" w:hAnsi="Times New Roman" w:eastAsia="方正仿宋_GBK" w:cs="Times New Roman"/>
          <w:b w:val="0"/>
          <w:color w:val="000000"/>
          <w:sz w:val="32"/>
          <w:szCs w:val="32"/>
          <w:lang w:val="en-US" w:eastAsia="zh-CN"/>
        </w:rPr>
        <w:t>我单位</w:t>
      </w:r>
      <w:r>
        <w:rPr>
          <w:rStyle w:val="7"/>
          <w:rFonts w:hint="default" w:ascii="Times New Roman" w:hAnsi="Times New Roman" w:eastAsia="方正仿宋_GBK" w:cs="Times New Roman"/>
          <w:b w:val="0"/>
          <w:color w:val="000000"/>
          <w:sz w:val="32"/>
          <w:szCs w:val="32"/>
        </w:rPr>
        <w:t>未委托第三方开展绩效自评。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关于绩效自评结果的说明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我单位绩效自评均已完成年度绩效目标。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方正楷体_GBK" w:cs="Times New Roman"/>
          <w:b w:val="0"/>
          <w:color w:val="000000"/>
          <w:kern w:val="0"/>
          <w:sz w:val="32"/>
          <w:szCs w:val="32"/>
          <w:lang w:val="en-US" w:eastAsia="zh-CN" w:bidi="ar-SA"/>
        </w:rPr>
      </w:pPr>
      <w:r>
        <w:rPr>
          <w:rStyle w:val="7"/>
          <w:rFonts w:hint="default" w:ascii="Times New Roman" w:hAnsi="Times New Roman" w:eastAsia="方正楷体_GBK" w:cs="Times New Roman"/>
          <w:b w:val="0"/>
          <w:color w:val="000000"/>
          <w:kern w:val="0"/>
          <w:sz w:val="32"/>
          <w:szCs w:val="32"/>
          <w:lang w:val="en-US" w:eastAsia="zh-CN" w:bidi="ar-SA"/>
        </w:rPr>
        <w:t>（三）重点绩效评价结果</w:t>
      </w:r>
    </w:p>
    <w:p>
      <w:pPr>
        <w:pStyle w:val="4"/>
        <w:widowControl w:val="0"/>
        <w:spacing w:before="0" w:beforeAutospacing="0" w:after="0" w:afterAutospacing="0" w:line="570" w:lineRule="exact"/>
        <w:ind w:firstLine="640" w:firstLineChars="200"/>
        <w:jc w:val="both"/>
        <w:rPr>
          <w:rStyle w:val="7"/>
          <w:rFonts w:hint="default" w:ascii="Times New Roman" w:hAnsi="Times New Roman" w:cs="Times New Roman" w:eastAsiaTheme="minorEastAsia"/>
          <w:sz w:val="27"/>
          <w:szCs w:val="27"/>
        </w:rPr>
      </w:pPr>
      <w:r>
        <w:rPr>
          <w:rStyle w:val="7"/>
          <w:rFonts w:hint="default" w:ascii="Times New Roman" w:hAnsi="Times New Roman" w:eastAsia="方正仿宋_GBK" w:cs="Times New Roman"/>
          <w:b w:val="0"/>
          <w:color w:val="000000"/>
          <w:sz w:val="32"/>
          <w:szCs w:val="32"/>
          <w:lang w:val="en-US" w:eastAsia="zh-CN"/>
        </w:rPr>
        <w:t>我单位</w:t>
      </w:r>
      <w:r>
        <w:rPr>
          <w:rStyle w:val="7"/>
          <w:rFonts w:hint="default" w:ascii="Times New Roman" w:hAnsi="Times New Roman" w:eastAsia="方正仿宋_GBK" w:cs="Times New Roman"/>
          <w:b w:val="0"/>
          <w:color w:val="000000"/>
          <w:sz w:val="32"/>
          <w:szCs w:val="32"/>
        </w:rPr>
        <w:t>未委托第三方开展重点绩效评价。</w:t>
      </w:r>
      <w:r>
        <w:rPr>
          <w:rStyle w:val="7"/>
          <w:rFonts w:hint="default" w:ascii="Times New Roman" w:hAnsi="Times New Roman" w:cs="Times New Roman" w:eastAsiaTheme="minorEastAsia"/>
          <w:sz w:val="27"/>
          <w:szCs w:val="27"/>
        </w:rPr>
        <w:t> </w:t>
      </w:r>
    </w:p>
    <w:p>
      <w:pPr>
        <w:pStyle w:val="4"/>
        <w:widowControl w:val="0"/>
        <w:numPr>
          <w:ilvl w:val="0"/>
          <w:numId w:val="4"/>
        </w:numPr>
        <w:spacing w:before="0" w:beforeAutospacing="0" w:after="0" w:afterAutospacing="0" w:line="240" w:lineRule="auto"/>
        <w:ind w:firstLine="640" w:firstLineChars="200"/>
        <w:jc w:val="both"/>
        <w:rPr>
          <w:rStyle w:val="7"/>
          <w:rFonts w:hint="default" w:ascii="Times New Roman" w:hAnsi="Times New Roman" w:eastAsia="黑体" w:cs="Times New Roman"/>
          <w:b w:val="0"/>
          <w:color w:val="000000"/>
          <w:kern w:val="0"/>
          <w:sz w:val="32"/>
          <w:szCs w:val="32"/>
          <w:lang w:val="en-US" w:eastAsia="zh-CN" w:bidi="ar-SA"/>
        </w:rPr>
      </w:pPr>
      <w:r>
        <w:rPr>
          <w:rStyle w:val="7"/>
          <w:rFonts w:hint="default" w:ascii="Times New Roman" w:hAnsi="Times New Roman" w:eastAsia="黑体" w:cs="Times New Roman"/>
          <w:b w:val="0"/>
          <w:color w:val="000000"/>
          <w:kern w:val="0"/>
          <w:sz w:val="32"/>
          <w:szCs w:val="32"/>
          <w:lang w:val="en-US" w:eastAsia="zh-CN" w:bidi="ar-SA"/>
        </w:rPr>
        <w:t>专业名词解释</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lang w:val="en-US" w:eastAsia="zh-CN"/>
        </w:rPr>
        <w:t>一</w:t>
      </w:r>
      <w:r>
        <w:rPr>
          <w:rStyle w:val="7"/>
          <w:rFonts w:hint="default"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rPr>
        <w:t>财政拨款收入</w:t>
      </w:r>
      <w:r>
        <w:rPr>
          <w:rFonts w:hint="default" w:ascii="Times New Roman" w:hAnsi="Times New Roman" w:eastAsia="方正楷体_GBK" w:cs="Times New Roman"/>
          <w:b w:val="0"/>
          <w:bCs w:val="0"/>
          <w:sz w:val="32"/>
          <w:szCs w:val="32"/>
        </w:rPr>
        <w:t>：</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lang w:val="en-US" w:eastAsia="zh-CN"/>
        </w:rPr>
        <w:t>二</w:t>
      </w:r>
      <w:r>
        <w:rPr>
          <w:rStyle w:val="7"/>
          <w:rFonts w:hint="default" w:ascii="Times New Roman" w:hAnsi="Times New Roman" w:eastAsia="方正楷体_GBK" w:cs="Times New Roman"/>
          <w:b w:val="0"/>
          <w:bCs w:val="0"/>
          <w:sz w:val="32"/>
          <w:szCs w:val="32"/>
          <w:lang w:eastAsia="zh-CN"/>
        </w:rPr>
        <w:t>）事业收入：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lang w:val="en-US" w:eastAsia="zh-CN"/>
        </w:rPr>
        <w:t>三</w:t>
      </w:r>
      <w:r>
        <w:rPr>
          <w:rStyle w:val="7"/>
          <w:rFonts w:hint="default" w:ascii="Times New Roman" w:hAnsi="Times New Roman" w:eastAsia="方正楷体_GBK" w:cs="Times New Roman"/>
          <w:b w:val="0"/>
          <w:bCs w:val="0"/>
          <w:sz w:val="32"/>
          <w:szCs w:val="32"/>
          <w:lang w:eastAsia="zh-CN"/>
        </w:rPr>
        <w:t>）经营收入：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（四）其他收入：</w:t>
      </w: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（五）使用非财政拨款结余：</w:t>
      </w:r>
      <w:r>
        <w:rPr>
          <w:rFonts w:hint="default"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（六）年初结转和结余：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（七）结余分配：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（八）年末结转和结余：</w:t>
      </w:r>
      <w:r>
        <w:rPr>
          <w:rFonts w:hint="default" w:ascii="Times New Roman" w:hAnsi="Times New Roman" w:eastAsia="方正仿宋_GBK" w:cs="Times New Roman"/>
          <w:sz w:val="32"/>
          <w:szCs w:val="32"/>
        </w:rPr>
        <w:t>指单位结转下年的基本支出结转、项目支出结转和结余、经营结余。</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（九）基本支出：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（十）项目支出：</w:t>
      </w:r>
      <w:r>
        <w:rPr>
          <w:rFonts w:hint="default" w:ascii="Times New Roman" w:hAnsi="Times New Roman" w:eastAsia="方正仿宋_GBK" w:cs="Times New Roman"/>
          <w:sz w:val="32"/>
          <w:szCs w:val="32"/>
        </w:rPr>
        <w:t>指在基本支出之外为完成特定行政任务和事业发展目标所发生的支出。</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（十一）经营支出：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（十二）“三公”经费：</w:t>
      </w:r>
      <w:r>
        <w:rPr>
          <w:rFonts w:hint="default" w:ascii="Times New Roman" w:hAnsi="Times New Roman" w:eastAsia="方正仿宋_GBK" w:cs="Times New Roman"/>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（十三）机关运行经费：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（十四）工资福利支出（支出经济分类科目类级）：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（十五）商品和服务支出（支出经济分类科目类级）：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楷体_GBK" w:cs="Times New Roman"/>
          <w:b w:val="0"/>
          <w:bCs w:val="0"/>
          <w:sz w:val="32"/>
          <w:szCs w:val="32"/>
          <w:lang w:eastAsia="zh-CN"/>
        </w:rPr>
        <w:t>（十六）对个人和家庭的补助（支出经济分类科目类级）：</w:t>
      </w:r>
      <w:r>
        <w:rPr>
          <w:rFonts w:hint="default" w:ascii="Times New Roman" w:hAnsi="Times New Roman" w:eastAsia="方正仿宋_GBK" w:cs="Times New Roman"/>
          <w:sz w:val="32"/>
          <w:szCs w:val="32"/>
        </w:rPr>
        <w:t>反映用于对个人和家庭的补助支出。</w:t>
      </w:r>
    </w:p>
    <w:p>
      <w:pPr>
        <w:pStyle w:val="4"/>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bCs w:val="0"/>
          <w:sz w:val="32"/>
          <w:szCs w:val="32"/>
        </w:rPr>
        <w:t>（十七）其他资本性支出（支出经济分类科目类级）</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default" w:ascii="Times New Roman" w:hAnsi="Times New Roman" w:eastAsia="黑体" w:cs="Times New Roman"/>
          <w:b w:val="0"/>
          <w:color w:val="000000"/>
          <w:sz w:val="32"/>
          <w:szCs w:val="32"/>
        </w:rPr>
      </w:pPr>
      <w:r>
        <w:rPr>
          <w:rStyle w:val="7"/>
          <w:rFonts w:hint="default" w:ascii="Times New Roman" w:hAnsi="Times New Roman" w:eastAsia="黑体" w:cs="Times New Roman"/>
          <w:b w:val="0"/>
          <w:color w:val="000000"/>
          <w:sz w:val="32"/>
          <w:szCs w:val="32"/>
        </w:rPr>
        <w:t>七、决算公开联系方式及信息反馈渠道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本部门决算公开信息反馈和联系方式：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cs="Times New Roman"/>
        </w:rPr>
      </w:pPr>
      <w:r>
        <w:rPr>
          <w:rFonts w:hint="eastAsia" w:ascii="Times New Roman" w:hAnsi="Times New Roman" w:eastAsia="方正仿宋_GBK" w:cs="Times New Roman"/>
          <w:sz w:val="32"/>
          <w:szCs w:val="32"/>
          <w:lang w:val="en-US" w:eastAsia="zh-CN"/>
        </w:rPr>
        <w:t xml:space="preserve">彭喜梅      </w:t>
      </w:r>
      <w:r>
        <w:rPr>
          <w:rFonts w:hint="default" w:ascii="Times New Roman" w:hAnsi="Times New Roman" w:eastAsia="方正仿宋_GBK" w:cs="Times New Roman"/>
          <w:sz w:val="32"/>
          <w:szCs w:val="32"/>
          <w:lang w:val="en-US" w:eastAsia="zh-CN"/>
        </w:rPr>
        <w:t xml:space="preserve"> 023-70605715</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95777"/>
    <w:multiLevelType w:val="singleLevel"/>
    <w:tmpl w:val="8C295777"/>
    <w:lvl w:ilvl="0" w:tentative="0">
      <w:start w:val="1"/>
      <w:numFmt w:val="chineseCounting"/>
      <w:suff w:val="nothing"/>
      <w:lvlText w:val="%1、"/>
      <w:lvlJc w:val="left"/>
      <w:rPr>
        <w:rFonts w:hint="eastAsia"/>
      </w:rPr>
    </w:lvl>
  </w:abstractNum>
  <w:abstractNum w:abstractNumId="1">
    <w:nsid w:val="8C3D3488"/>
    <w:multiLevelType w:val="singleLevel"/>
    <w:tmpl w:val="8C3D3488"/>
    <w:lvl w:ilvl="0" w:tentative="0">
      <w:start w:val="2"/>
      <w:numFmt w:val="chineseCounting"/>
      <w:suff w:val="nothing"/>
      <w:lvlText w:val="（%1）"/>
      <w:lvlJc w:val="left"/>
      <w:rPr>
        <w:rFonts w:hint="eastAsia"/>
      </w:rPr>
    </w:lvl>
  </w:abstractNum>
  <w:abstractNum w:abstractNumId="2">
    <w:nsid w:val="DA014F63"/>
    <w:multiLevelType w:val="singleLevel"/>
    <w:tmpl w:val="DA014F63"/>
    <w:lvl w:ilvl="0" w:tentative="0">
      <w:start w:val="6"/>
      <w:numFmt w:val="chineseCounting"/>
      <w:suff w:val="nothing"/>
      <w:lvlText w:val="（%1）"/>
      <w:lvlJc w:val="left"/>
      <w:rPr>
        <w:rFonts w:hint="eastAsia"/>
      </w:rPr>
    </w:lvl>
  </w:abstractNum>
  <w:abstractNum w:abstractNumId="3">
    <w:nsid w:val="56C830F3"/>
    <w:multiLevelType w:val="singleLevel"/>
    <w:tmpl w:val="56C830F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Q4YzE3OWZjYTMzZjI3M2U0MDU0NjUyYjRjMGNlNzYifQ=="/>
  </w:docVars>
  <w:rsids>
    <w:rsidRoot w:val="00E955D5"/>
    <w:rsid w:val="00E955D5"/>
    <w:rsid w:val="00F953CA"/>
    <w:rsid w:val="01086C64"/>
    <w:rsid w:val="02441F1E"/>
    <w:rsid w:val="03202258"/>
    <w:rsid w:val="032F04D8"/>
    <w:rsid w:val="05882122"/>
    <w:rsid w:val="066C559F"/>
    <w:rsid w:val="07460F2B"/>
    <w:rsid w:val="08145EEF"/>
    <w:rsid w:val="0DA675E9"/>
    <w:rsid w:val="114C494B"/>
    <w:rsid w:val="117F6ACF"/>
    <w:rsid w:val="15A44D56"/>
    <w:rsid w:val="15D05B4B"/>
    <w:rsid w:val="163559AE"/>
    <w:rsid w:val="1E285DF8"/>
    <w:rsid w:val="1FA450A3"/>
    <w:rsid w:val="20250841"/>
    <w:rsid w:val="246D433D"/>
    <w:rsid w:val="24EC4023"/>
    <w:rsid w:val="25201F1F"/>
    <w:rsid w:val="25A04547"/>
    <w:rsid w:val="25EC3BAF"/>
    <w:rsid w:val="268362C1"/>
    <w:rsid w:val="28E645CB"/>
    <w:rsid w:val="2C526E62"/>
    <w:rsid w:val="30621724"/>
    <w:rsid w:val="343B01DB"/>
    <w:rsid w:val="34BF2BBB"/>
    <w:rsid w:val="34CE1050"/>
    <w:rsid w:val="357F059C"/>
    <w:rsid w:val="36FF1994"/>
    <w:rsid w:val="3736112E"/>
    <w:rsid w:val="3B516536"/>
    <w:rsid w:val="401317A3"/>
    <w:rsid w:val="4352109E"/>
    <w:rsid w:val="47E35DAE"/>
    <w:rsid w:val="4A934476"/>
    <w:rsid w:val="4B817718"/>
    <w:rsid w:val="4BA0740E"/>
    <w:rsid w:val="4D7D4422"/>
    <w:rsid w:val="520C64AC"/>
    <w:rsid w:val="569C0B56"/>
    <w:rsid w:val="59BD150F"/>
    <w:rsid w:val="5AE64A95"/>
    <w:rsid w:val="5B1C4013"/>
    <w:rsid w:val="5C4F21C6"/>
    <w:rsid w:val="63D22876"/>
    <w:rsid w:val="64524F4A"/>
    <w:rsid w:val="647B440C"/>
    <w:rsid w:val="64D21AED"/>
    <w:rsid w:val="64E43C22"/>
    <w:rsid w:val="65D94474"/>
    <w:rsid w:val="66974E96"/>
    <w:rsid w:val="69450BD9"/>
    <w:rsid w:val="6AAA6C0C"/>
    <w:rsid w:val="6ADE3093"/>
    <w:rsid w:val="6B1765A5"/>
    <w:rsid w:val="6B3D5083"/>
    <w:rsid w:val="6B9E2823"/>
    <w:rsid w:val="6BEA5A68"/>
    <w:rsid w:val="6C9A123C"/>
    <w:rsid w:val="6DC64E0F"/>
    <w:rsid w:val="6E895A0C"/>
    <w:rsid w:val="6FC248EA"/>
    <w:rsid w:val="70701351"/>
    <w:rsid w:val="715B3690"/>
    <w:rsid w:val="7D450D50"/>
    <w:rsid w:val="7E6C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1358</Words>
  <Characters>7741</Characters>
  <Lines>64</Lines>
  <Paragraphs>18</Paragraphs>
  <TotalTime>0</TotalTime>
  <ScaleCrop>false</ScaleCrop>
  <LinksUpToDate>false</LinksUpToDate>
  <CharactersWithSpaces>9081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2023-09-11T02:07:00Z</dcterms:created>
  <dc:creator>微软用户</dc:creator>
  <cp:lastModifiedBy>Administrator</cp:lastModifiedBy>
  <cp:lastPrinted>2023-09-12T07:59:00Z</cp:lastPrinted>
  <dcterms:modified xsi:type="dcterms:W3CDTF">2023-09-13T07:56:45Z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C1B1C9837F734857A4DDF984246DAEC3_12</vt:lpwstr>
  </property>
</Properties>
</file>