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4F294">
      <w:pPr>
        <w:pStyle w:val="12"/>
        <w:snapToGrid w:val="0"/>
        <w:spacing w:line="480" w:lineRule="auto"/>
        <w:ind w:left="31" w:leftChars="15" w:right="0" w:firstLine="0" w:firstLineChars="0"/>
        <w:jc w:val="center"/>
        <w:rPr>
          <w:rFonts w:hint="eastAsia" w:ascii="宋体" w:hAnsi="宋体" w:eastAsia="宋体"/>
          <w:b/>
          <w:sz w:val="48"/>
          <w:szCs w:val="48"/>
        </w:rPr>
      </w:pPr>
    </w:p>
    <w:p w14:paraId="648013EC">
      <w:pPr>
        <w:pStyle w:val="12"/>
        <w:snapToGrid w:val="0"/>
        <w:spacing w:line="360" w:lineRule="auto"/>
        <w:ind w:left="0" w:right="0" w:firstLine="0" w:firstLineChars="0"/>
        <w:jc w:val="center"/>
        <w:rPr>
          <w:rFonts w:hint="eastAsia" w:ascii="宋体" w:hAnsi="宋体" w:eastAsia="宋体"/>
          <w:sz w:val="48"/>
          <w:szCs w:val="48"/>
        </w:rPr>
      </w:pPr>
      <w:r>
        <w:rPr>
          <w:rFonts w:ascii="宋体" w:hAnsi="宋体" w:eastAsia="宋体"/>
          <w:sz w:val="48"/>
          <w:szCs w:val="48"/>
        </w:rPr>
        <w:t>重庆市公路</w:t>
      </w:r>
      <w:r>
        <w:rPr>
          <w:rFonts w:hint="eastAsia" w:ascii="宋体" w:hAnsi="宋体" w:eastAsia="宋体"/>
          <w:sz w:val="48"/>
          <w:szCs w:val="48"/>
        </w:rPr>
        <w:t>养护</w:t>
      </w:r>
      <w:r>
        <w:rPr>
          <w:rFonts w:ascii="宋体" w:hAnsi="宋体" w:eastAsia="宋体"/>
          <w:sz w:val="48"/>
          <w:szCs w:val="48"/>
        </w:rPr>
        <w:t>工程</w:t>
      </w:r>
      <w:r>
        <w:rPr>
          <w:rFonts w:hint="eastAsia" w:ascii="宋体" w:hAnsi="宋体" w:eastAsia="宋体"/>
          <w:sz w:val="48"/>
          <w:szCs w:val="48"/>
        </w:rPr>
        <w:t>施工</w:t>
      </w:r>
    </w:p>
    <w:p w14:paraId="61A05DFB">
      <w:pPr>
        <w:pStyle w:val="12"/>
        <w:snapToGrid w:val="0"/>
        <w:spacing w:line="360" w:lineRule="auto"/>
        <w:ind w:left="0" w:right="0" w:firstLine="0" w:firstLineChars="0"/>
        <w:jc w:val="center"/>
        <w:rPr>
          <w:rFonts w:hint="eastAsia" w:ascii="宋体" w:hAnsi="宋体" w:eastAsia="宋体"/>
          <w:sz w:val="48"/>
          <w:szCs w:val="48"/>
        </w:rPr>
      </w:pPr>
    </w:p>
    <w:p w14:paraId="1589300E">
      <w:pPr>
        <w:pStyle w:val="12"/>
        <w:snapToGrid w:val="0"/>
        <w:spacing w:line="360" w:lineRule="auto"/>
        <w:ind w:left="0" w:right="0" w:firstLine="0" w:firstLineChars="0"/>
        <w:jc w:val="center"/>
        <w:rPr>
          <w:rFonts w:hint="eastAsia" w:ascii="宋体" w:hAnsi="宋体" w:eastAsia="宋体"/>
          <w:b/>
          <w:sz w:val="84"/>
          <w:szCs w:val="84"/>
        </w:rPr>
      </w:pPr>
      <w:r>
        <w:rPr>
          <w:rFonts w:ascii="宋体" w:hAnsi="宋体" w:eastAsia="宋体"/>
          <w:b/>
          <w:sz w:val="84"/>
          <w:szCs w:val="84"/>
        </w:rPr>
        <w:t>标准招标文件</w:t>
      </w:r>
    </w:p>
    <w:p w14:paraId="433588FB">
      <w:pPr>
        <w:pStyle w:val="12"/>
        <w:snapToGrid w:val="0"/>
        <w:spacing w:line="360" w:lineRule="auto"/>
        <w:ind w:left="0" w:right="0" w:firstLine="0" w:firstLineChars="0"/>
        <w:jc w:val="center"/>
        <w:rPr>
          <w:rFonts w:hint="eastAsia" w:ascii="宋体" w:hAnsi="宋体" w:eastAsia="宋体"/>
          <w:sz w:val="48"/>
          <w:szCs w:val="48"/>
        </w:rPr>
      </w:pPr>
      <w:r>
        <w:rPr>
          <w:rFonts w:hint="eastAsia" w:ascii="宋体" w:hAnsi="宋体" w:eastAsia="宋体"/>
          <w:sz w:val="48"/>
          <w:szCs w:val="48"/>
        </w:rPr>
        <w:t>（全流程电子招标版）</w:t>
      </w:r>
    </w:p>
    <w:p w14:paraId="3A880A67">
      <w:pPr>
        <w:pStyle w:val="12"/>
        <w:snapToGrid w:val="0"/>
        <w:spacing w:line="360" w:lineRule="auto"/>
        <w:ind w:left="0" w:right="0" w:firstLine="0" w:firstLineChars="0"/>
        <w:jc w:val="center"/>
        <w:rPr>
          <w:rFonts w:ascii="宋体" w:hAnsi="宋体" w:eastAsia="宋体"/>
          <w:sz w:val="44"/>
          <w:szCs w:val="44"/>
        </w:rPr>
      </w:pPr>
      <w:r>
        <w:rPr>
          <w:rFonts w:hint="eastAsia" w:ascii="宋体" w:hAnsi="宋体" w:eastAsia="宋体"/>
          <w:sz w:val="48"/>
          <w:szCs w:val="48"/>
        </w:rPr>
        <w:t>202</w:t>
      </w:r>
      <w:r>
        <w:rPr>
          <w:rFonts w:hint="eastAsia" w:ascii="宋体" w:hAnsi="宋体" w:eastAsia="宋体"/>
          <w:sz w:val="48"/>
          <w:szCs w:val="48"/>
          <w:lang w:val="en-US" w:eastAsia="zh-CN"/>
        </w:rPr>
        <w:t>3</w:t>
      </w:r>
      <w:r>
        <w:rPr>
          <w:rFonts w:hint="eastAsia" w:ascii="宋体" w:hAnsi="宋体" w:eastAsia="宋体"/>
          <w:sz w:val="48"/>
          <w:szCs w:val="48"/>
        </w:rPr>
        <w:t>年</w:t>
      </w:r>
      <w:r>
        <w:rPr>
          <w:rFonts w:hint="eastAsia" w:ascii="宋体" w:hAnsi="宋体" w:eastAsia="宋体"/>
          <w:sz w:val="48"/>
          <w:szCs w:val="48"/>
          <w:lang w:val="en-US" w:eastAsia="zh-CN"/>
        </w:rPr>
        <w:t>6</w:t>
      </w:r>
      <w:r>
        <w:rPr>
          <w:rFonts w:hint="eastAsia" w:ascii="宋体" w:hAnsi="宋体" w:eastAsia="宋体"/>
          <w:sz w:val="48"/>
          <w:szCs w:val="48"/>
        </w:rPr>
        <w:t>月修改word版</w:t>
      </w:r>
    </w:p>
    <w:p w14:paraId="4CA74A57">
      <w:pPr>
        <w:autoSpaceDE w:val="0"/>
        <w:autoSpaceDN w:val="0"/>
        <w:adjustRightInd w:val="0"/>
        <w:snapToGrid w:val="0"/>
        <w:spacing w:line="360" w:lineRule="auto"/>
        <w:jc w:val="center"/>
        <w:rPr>
          <w:rFonts w:hint="eastAsia" w:ascii="宋体" w:hAnsi="宋体"/>
          <w:kern w:val="0"/>
          <w:position w:val="-5"/>
          <w:sz w:val="44"/>
          <w:szCs w:val="44"/>
        </w:rPr>
      </w:pPr>
    </w:p>
    <w:p w14:paraId="5DFBE387">
      <w:pPr>
        <w:autoSpaceDE w:val="0"/>
        <w:autoSpaceDN w:val="0"/>
        <w:adjustRightInd w:val="0"/>
        <w:snapToGrid w:val="0"/>
        <w:spacing w:line="360" w:lineRule="auto"/>
        <w:jc w:val="center"/>
        <w:rPr>
          <w:rFonts w:hint="eastAsia" w:ascii="宋体" w:hAnsi="宋体"/>
          <w:kern w:val="0"/>
          <w:position w:val="-5"/>
          <w:sz w:val="44"/>
          <w:szCs w:val="44"/>
        </w:rPr>
      </w:pPr>
    </w:p>
    <w:p w14:paraId="2FD22AF1">
      <w:pPr>
        <w:autoSpaceDE w:val="0"/>
        <w:autoSpaceDN w:val="0"/>
        <w:adjustRightInd w:val="0"/>
        <w:snapToGrid w:val="0"/>
        <w:spacing w:line="360" w:lineRule="auto"/>
        <w:jc w:val="center"/>
        <w:rPr>
          <w:rFonts w:ascii="宋体" w:hAnsi="宋体"/>
          <w:kern w:val="0"/>
          <w:position w:val="-5"/>
          <w:sz w:val="44"/>
          <w:szCs w:val="44"/>
        </w:rPr>
      </w:pPr>
    </w:p>
    <w:p w14:paraId="0604C6BD">
      <w:pPr>
        <w:autoSpaceDE w:val="0"/>
        <w:autoSpaceDN w:val="0"/>
        <w:adjustRightInd w:val="0"/>
        <w:snapToGrid w:val="0"/>
        <w:spacing w:line="360" w:lineRule="auto"/>
        <w:jc w:val="center"/>
        <w:rPr>
          <w:rFonts w:ascii="宋体" w:hAnsi="宋体"/>
          <w:b/>
          <w:kern w:val="0"/>
          <w:position w:val="-5"/>
          <w:sz w:val="32"/>
          <w:szCs w:val="48"/>
        </w:rPr>
      </w:pPr>
    </w:p>
    <w:p w14:paraId="453AD594">
      <w:pPr>
        <w:autoSpaceDE w:val="0"/>
        <w:autoSpaceDN w:val="0"/>
        <w:adjustRightInd w:val="0"/>
        <w:snapToGrid w:val="0"/>
        <w:spacing w:line="360" w:lineRule="auto"/>
        <w:jc w:val="center"/>
        <w:rPr>
          <w:rFonts w:ascii="宋体" w:hAnsi="宋体"/>
          <w:b/>
          <w:kern w:val="0"/>
          <w:position w:val="-5"/>
          <w:sz w:val="32"/>
          <w:szCs w:val="48"/>
        </w:rPr>
      </w:pPr>
    </w:p>
    <w:p w14:paraId="6F19BDCE">
      <w:pPr>
        <w:autoSpaceDE w:val="0"/>
        <w:autoSpaceDN w:val="0"/>
        <w:adjustRightInd w:val="0"/>
        <w:snapToGrid w:val="0"/>
        <w:spacing w:line="360" w:lineRule="auto"/>
        <w:jc w:val="center"/>
        <w:rPr>
          <w:rFonts w:ascii="宋体" w:hAnsi="宋体"/>
          <w:kern w:val="0"/>
          <w:position w:val="-5"/>
          <w:sz w:val="32"/>
          <w:szCs w:val="48"/>
        </w:rPr>
      </w:pPr>
    </w:p>
    <w:p w14:paraId="15998FC2">
      <w:pPr>
        <w:adjustRightInd w:val="0"/>
        <w:snapToGrid w:val="0"/>
        <w:spacing w:line="360" w:lineRule="auto"/>
        <w:jc w:val="center"/>
        <w:rPr>
          <w:rFonts w:hint="eastAsia" w:ascii="宋体" w:hAnsi="宋体"/>
          <w:sz w:val="36"/>
          <w:szCs w:val="36"/>
        </w:rPr>
      </w:pPr>
    </w:p>
    <w:p w14:paraId="0060AB92">
      <w:pPr>
        <w:adjustRightInd w:val="0"/>
        <w:snapToGrid w:val="0"/>
        <w:spacing w:line="360" w:lineRule="auto"/>
        <w:jc w:val="center"/>
        <w:rPr>
          <w:rFonts w:ascii="宋体" w:hAnsi="宋体"/>
          <w:sz w:val="36"/>
          <w:szCs w:val="36"/>
        </w:rPr>
      </w:pPr>
      <w:r>
        <w:rPr>
          <w:rFonts w:ascii="宋体" w:hAnsi="宋体"/>
          <w:sz w:val="36"/>
          <w:szCs w:val="36"/>
        </w:rPr>
        <w:t>重庆市公共资源交易</w:t>
      </w:r>
      <w:r>
        <w:rPr>
          <w:rFonts w:hint="eastAsia" w:ascii="宋体" w:hAnsi="宋体"/>
          <w:sz w:val="36"/>
          <w:szCs w:val="36"/>
        </w:rPr>
        <w:t>监督管理局 制</w:t>
      </w:r>
    </w:p>
    <w:p w14:paraId="579840B5">
      <w:pPr>
        <w:spacing w:line="360" w:lineRule="auto"/>
        <w:jc w:val="center"/>
        <w:rPr>
          <w:rFonts w:ascii="宋体" w:hAnsi="宋体"/>
          <w:sz w:val="36"/>
          <w:szCs w:val="36"/>
        </w:rPr>
        <w:sectPr>
          <w:footerReference r:id="rId5" w:type="first"/>
          <w:headerReference r:id="rId3" w:type="default"/>
          <w:footerReference r:id="rId4" w:type="even"/>
          <w:pgSz w:w="11907" w:h="16840"/>
          <w:pgMar w:top="1304" w:right="1134" w:bottom="1304" w:left="1304" w:header="851" w:footer="992" w:gutter="0"/>
          <w:pgNumType w:start="1"/>
          <w:cols w:space="720" w:num="1"/>
          <w:docGrid w:linePitch="312" w:charSpace="0"/>
        </w:sectPr>
      </w:pPr>
      <w:r>
        <w:rPr>
          <w:rFonts w:ascii="宋体" w:hAnsi="宋体"/>
          <w:sz w:val="36"/>
          <w:szCs w:val="36"/>
        </w:rPr>
        <w:t>20</w:t>
      </w:r>
      <w:r>
        <w:rPr>
          <w:rFonts w:hint="eastAsia" w:ascii="宋体" w:hAnsi="宋体"/>
          <w:sz w:val="36"/>
          <w:szCs w:val="36"/>
        </w:rPr>
        <w:t>2</w:t>
      </w:r>
      <w:r>
        <w:rPr>
          <w:rFonts w:hint="eastAsia" w:ascii="宋体" w:hAnsi="宋体"/>
          <w:sz w:val="36"/>
          <w:szCs w:val="36"/>
          <w:lang w:val="en-US" w:eastAsia="zh-CN"/>
        </w:rPr>
        <w:t>3</w:t>
      </w:r>
      <w:r>
        <w:rPr>
          <w:rFonts w:ascii="宋体" w:hAnsi="宋体"/>
          <w:sz w:val="36"/>
          <w:szCs w:val="36"/>
        </w:rPr>
        <w:t>年</w:t>
      </w:r>
      <w:r>
        <w:rPr>
          <w:rFonts w:hint="eastAsia" w:ascii="宋体" w:hAnsi="宋体"/>
          <w:sz w:val="36"/>
          <w:szCs w:val="36"/>
          <w:lang w:val="en-US" w:eastAsia="zh-CN"/>
        </w:rPr>
        <w:t>6</w:t>
      </w:r>
      <w:r>
        <w:rPr>
          <w:rFonts w:hint="eastAsia" w:ascii="宋体" w:hAnsi="宋体"/>
          <w:sz w:val="36"/>
          <w:szCs w:val="36"/>
        </w:rPr>
        <w:t>月</w:t>
      </w:r>
    </w:p>
    <w:p w14:paraId="3E61412C">
      <w:pPr>
        <w:autoSpaceDE w:val="0"/>
        <w:autoSpaceDN w:val="0"/>
        <w:adjustRightInd w:val="0"/>
        <w:snapToGrid w:val="0"/>
        <w:spacing w:line="590" w:lineRule="exact"/>
        <w:jc w:val="center"/>
        <w:rPr>
          <w:rFonts w:ascii="宋体" w:hAnsi="宋体"/>
          <w:b/>
          <w:bCs/>
          <w:kern w:val="0"/>
          <w:sz w:val="44"/>
          <w:szCs w:val="44"/>
        </w:rPr>
      </w:pPr>
      <w:bookmarkStart w:id="0" w:name="_Toc287620665"/>
      <w:r>
        <w:rPr>
          <w:rFonts w:ascii="宋体" w:hAnsi="宋体"/>
          <w:b/>
          <w:bCs/>
          <w:kern w:val="0"/>
          <w:sz w:val="44"/>
          <w:szCs w:val="44"/>
        </w:rPr>
        <w:t>使 用 说 明</w:t>
      </w:r>
    </w:p>
    <w:p w14:paraId="002F882C">
      <w:pPr>
        <w:spacing w:line="590" w:lineRule="exact"/>
        <w:jc w:val="center"/>
        <w:rPr>
          <w:rFonts w:ascii="宋体" w:hAnsi="宋体"/>
          <w:kern w:val="0"/>
          <w:sz w:val="44"/>
          <w:szCs w:val="44"/>
        </w:rPr>
      </w:pPr>
    </w:p>
    <w:p w14:paraId="704DDABA">
      <w:pPr>
        <w:spacing w:line="360" w:lineRule="auto"/>
        <w:ind w:firstLine="420" w:firstLineChars="200"/>
        <w:rPr>
          <w:rFonts w:hint="eastAsia" w:ascii="宋体" w:hAnsi="宋体"/>
          <w:kern w:val="0"/>
          <w:szCs w:val="21"/>
          <w:lang w:val="zh-CN"/>
        </w:rPr>
      </w:pPr>
      <w:r>
        <w:rPr>
          <w:rFonts w:hint="eastAsia" w:ascii="宋体" w:hAnsi="宋体"/>
          <w:kern w:val="0"/>
          <w:szCs w:val="21"/>
          <w:lang w:val="zh-CN"/>
        </w:rPr>
        <w:t>一、《重庆市公路</w:t>
      </w:r>
      <w:r>
        <w:rPr>
          <w:rFonts w:hint="eastAsia" w:ascii="宋体" w:hAnsi="宋体"/>
          <w:kern w:val="0"/>
          <w:szCs w:val="21"/>
        </w:rPr>
        <w:t>养护</w:t>
      </w:r>
      <w:r>
        <w:rPr>
          <w:rFonts w:hint="eastAsia" w:ascii="宋体" w:hAnsi="宋体"/>
          <w:kern w:val="0"/>
          <w:szCs w:val="21"/>
          <w:lang w:val="zh-CN"/>
        </w:rPr>
        <w:t>工程施工标准招标文件》是以《中华人民共和国标准施工招标文件》（2007年版）为框架，贯彻《中华人民共和国招标投标法》《</w:t>
      </w:r>
      <w:r>
        <w:rPr>
          <w:rFonts w:hint="eastAsia" w:ascii="宋体" w:hAnsi="宋体"/>
          <w:kern w:val="0"/>
          <w:szCs w:val="21"/>
        </w:rPr>
        <w:t>电子招标投标办法</w:t>
      </w:r>
      <w:r>
        <w:rPr>
          <w:rFonts w:hint="eastAsia" w:ascii="宋体" w:hAnsi="宋体"/>
          <w:kern w:val="0"/>
          <w:szCs w:val="21"/>
          <w:lang w:val="zh-CN"/>
        </w:rPr>
        <w:t>》和《重庆市人民政府办公厅印发关于深化公共资源交易监督管理改革的意见（试行）的通知》（渝府办发〔2019〕114号）等文件精神，结合重庆市公路养护工程招标特点</w:t>
      </w:r>
      <w:r>
        <w:rPr>
          <w:rFonts w:hint="eastAsia" w:ascii="宋体" w:hAnsi="宋体"/>
          <w:kern w:val="0"/>
          <w:szCs w:val="21"/>
        </w:rPr>
        <w:t>和</w:t>
      </w:r>
      <w:r>
        <w:rPr>
          <w:rFonts w:hint="eastAsia" w:ascii="宋体" w:hAnsi="宋体"/>
          <w:kern w:val="0"/>
          <w:szCs w:val="21"/>
          <w:lang w:val="zh-CN"/>
        </w:rPr>
        <w:t>管理需要编制。</w:t>
      </w:r>
    </w:p>
    <w:p w14:paraId="1A52B285">
      <w:pPr>
        <w:spacing w:line="360" w:lineRule="auto"/>
        <w:ind w:firstLine="420" w:firstLineChars="200"/>
        <w:rPr>
          <w:rFonts w:ascii="宋体" w:hAnsi="宋体"/>
          <w:kern w:val="0"/>
          <w:szCs w:val="21"/>
        </w:rPr>
      </w:pPr>
      <w:r>
        <w:rPr>
          <w:rFonts w:hint="eastAsia" w:ascii="宋体" w:hAnsi="宋体"/>
          <w:kern w:val="0"/>
          <w:szCs w:val="21"/>
          <w:lang w:val="zh-CN"/>
        </w:rPr>
        <w:t>二、《重庆市公路</w:t>
      </w:r>
      <w:r>
        <w:rPr>
          <w:rFonts w:hint="eastAsia" w:ascii="宋体" w:hAnsi="宋体"/>
          <w:kern w:val="0"/>
          <w:szCs w:val="21"/>
        </w:rPr>
        <w:t>养护</w:t>
      </w:r>
      <w:r>
        <w:rPr>
          <w:rFonts w:hint="eastAsia" w:ascii="宋体" w:hAnsi="宋体"/>
          <w:kern w:val="0"/>
          <w:szCs w:val="21"/>
          <w:lang w:val="zh-CN"/>
        </w:rPr>
        <w:t>工程施工标准招标文件》适用于</w:t>
      </w:r>
      <w:r>
        <w:rPr>
          <w:rFonts w:ascii="宋体" w:hAnsi="宋体"/>
          <w:kern w:val="0"/>
          <w:szCs w:val="21"/>
          <w:lang w:val="zh-CN"/>
        </w:rPr>
        <w:t>重庆市行政区域内</w:t>
      </w:r>
      <w:r>
        <w:rPr>
          <w:rFonts w:hint="eastAsia" w:ascii="宋体" w:hAnsi="宋体"/>
          <w:kern w:val="0"/>
          <w:szCs w:val="21"/>
          <w:lang w:val="zh-CN"/>
        </w:rPr>
        <w:t>依法</w:t>
      </w:r>
      <w:r>
        <w:rPr>
          <w:rFonts w:ascii="宋体" w:hAnsi="宋体"/>
          <w:kern w:val="0"/>
          <w:szCs w:val="21"/>
          <w:lang w:val="zh-CN"/>
        </w:rPr>
        <w:t>必须招标的</w:t>
      </w:r>
      <w:r>
        <w:rPr>
          <w:rFonts w:hint="eastAsia" w:ascii="宋体" w:hAnsi="宋体"/>
          <w:kern w:val="0"/>
          <w:szCs w:val="21"/>
        </w:rPr>
        <w:t>公路养护</w:t>
      </w:r>
      <w:r>
        <w:rPr>
          <w:rFonts w:ascii="宋体" w:hAnsi="宋体"/>
          <w:kern w:val="0"/>
          <w:szCs w:val="21"/>
          <w:lang w:val="zh-CN"/>
        </w:rPr>
        <w:t>工程</w:t>
      </w:r>
      <w:r>
        <w:rPr>
          <w:rFonts w:hint="eastAsia" w:ascii="宋体" w:hAnsi="宋体"/>
          <w:kern w:val="0"/>
          <w:szCs w:val="21"/>
          <w:lang w:val="zh-CN"/>
        </w:rPr>
        <w:t>施工</w:t>
      </w:r>
      <w:r>
        <w:rPr>
          <w:rFonts w:hint="eastAsia" w:ascii="宋体" w:hAnsi="宋体"/>
          <w:kern w:val="0"/>
          <w:szCs w:val="21"/>
        </w:rPr>
        <w:t>全流程电子</w:t>
      </w:r>
      <w:r>
        <w:rPr>
          <w:rFonts w:hint="eastAsia" w:ascii="宋体" w:hAnsi="宋体"/>
          <w:kern w:val="0"/>
          <w:szCs w:val="21"/>
          <w:lang w:val="zh-CN"/>
        </w:rPr>
        <w:t>招标</w:t>
      </w:r>
      <w:r>
        <w:rPr>
          <w:rFonts w:hint="eastAsia" w:ascii="宋体" w:hAnsi="宋体"/>
          <w:kern w:val="0"/>
          <w:szCs w:val="21"/>
        </w:rPr>
        <w:t>项目</w:t>
      </w:r>
      <w:r>
        <w:rPr>
          <w:rFonts w:hint="eastAsia" w:ascii="宋体" w:hAnsi="宋体"/>
          <w:kern w:val="0"/>
          <w:szCs w:val="21"/>
          <w:lang w:val="zh-CN"/>
        </w:rPr>
        <w:t>。</w:t>
      </w:r>
    </w:p>
    <w:p w14:paraId="5A58B0F5">
      <w:pPr>
        <w:spacing w:line="360" w:lineRule="auto"/>
        <w:ind w:firstLine="420" w:firstLineChars="200"/>
        <w:rPr>
          <w:rFonts w:hint="eastAsia" w:ascii="宋体" w:hAnsi="宋体"/>
          <w:kern w:val="0"/>
          <w:szCs w:val="21"/>
          <w:lang w:val="zh-CN"/>
        </w:rPr>
      </w:pPr>
      <w:r>
        <w:rPr>
          <w:rFonts w:hint="eastAsia" w:ascii="宋体" w:hAnsi="宋体"/>
          <w:kern w:val="0"/>
          <w:szCs w:val="21"/>
          <w:lang w:val="zh-CN"/>
        </w:rPr>
        <w:t>三、招标人按照《重庆市公路</w:t>
      </w:r>
      <w:r>
        <w:rPr>
          <w:rFonts w:hint="eastAsia" w:ascii="宋体" w:hAnsi="宋体"/>
          <w:kern w:val="0"/>
          <w:szCs w:val="21"/>
        </w:rPr>
        <w:t>养护</w:t>
      </w:r>
      <w:r>
        <w:rPr>
          <w:rFonts w:hint="eastAsia" w:ascii="宋体" w:hAnsi="宋体"/>
          <w:kern w:val="0"/>
          <w:szCs w:val="21"/>
          <w:lang w:val="zh-CN"/>
        </w:rPr>
        <w:t>工程施工标准招标文件》第一章的格式发布招标公告或发出投标邀请书后，将实际发布的招标公告或实际发出的投标邀请书编入招标文件中，作为投标邀请。其中，招标公告应同时注明发布所在地所有指定媒介名称。</w:t>
      </w:r>
    </w:p>
    <w:p w14:paraId="16EAB669">
      <w:pPr>
        <w:spacing w:line="360" w:lineRule="auto"/>
        <w:ind w:firstLine="420" w:firstLineChars="200"/>
        <w:rPr>
          <w:rFonts w:hint="eastAsia" w:ascii="宋体" w:hAnsi="宋体"/>
          <w:kern w:val="0"/>
          <w:szCs w:val="21"/>
          <w:lang w:val="zh-CN"/>
        </w:rPr>
      </w:pPr>
      <w:r>
        <w:rPr>
          <w:rFonts w:hint="eastAsia" w:ascii="宋体" w:hAnsi="宋体"/>
          <w:kern w:val="0"/>
          <w:szCs w:val="21"/>
          <w:lang w:val="zh-CN"/>
        </w:rPr>
        <w:t>四、《重庆市公路</w:t>
      </w:r>
      <w:r>
        <w:rPr>
          <w:rFonts w:hint="eastAsia" w:ascii="宋体" w:hAnsi="宋体"/>
          <w:kern w:val="0"/>
          <w:szCs w:val="21"/>
        </w:rPr>
        <w:t>养护</w:t>
      </w:r>
      <w:r>
        <w:rPr>
          <w:rFonts w:hint="eastAsia" w:ascii="宋体" w:hAnsi="宋体"/>
          <w:kern w:val="0"/>
          <w:szCs w:val="21"/>
          <w:lang w:val="zh-CN"/>
        </w:rPr>
        <w:t>工程施工标准招标文件》第三章“评标办法”分别规定了经评审的最低投标价法和综合评估法两种评标方法供招标人根据招标项目具体特点和实际需要选择。依法必须进行招标的工程项目，应当采用经评审的最低投标价法。其中，技术特别复杂或者招标人对其技术、性能有特殊要求，需要采用综合评估法的，招标人应当取得行业主管部门认定后报同级招标投标行政监管部门同意。</w:t>
      </w:r>
    </w:p>
    <w:p w14:paraId="28C7289F">
      <w:pPr>
        <w:spacing w:line="360" w:lineRule="auto"/>
        <w:ind w:firstLine="420" w:firstLineChars="200"/>
        <w:rPr>
          <w:rFonts w:hint="eastAsia" w:ascii="宋体" w:hAnsi="宋体"/>
          <w:lang w:val="zh-CN"/>
        </w:rPr>
      </w:pPr>
      <w:r>
        <w:rPr>
          <w:rFonts w:hint="eastAsia" w:ascii="宋体" w:hAnsi="宋体"/>
        </w:rPr>
        <w:t>五</w:t>
      </w:r>
      <w:r>
        <w:rPr>
          <w:rFonts w:ascii="宋体" w:hAnsi="宋体"/>
        </w:rPr>
        <w:t>、</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hint="eastAsia" w:ascii="宋体" w:hAnsi="宋体"/>
          <w:lang w:val="zh-CN"/>
        </w:rPr>
        <w:t>》第四章“合同条款及格式”参照《中华人民共和国</w:t>
      </w:r>
      <w:r>
        <w:rPr>
          <w:rFonts w:hint="eastAsia" w:ascii="宋体" w:hAnsi="宋体"/>
        </w:rPr>
        <w:t>标准施工招标文件</w:t>
      </w:r>
      <w:r>
        <w:rPr>
          <w:rFonts w:hint="eastAsia" w:ascii="宋体" w:hAnsi="宋体"/>
          <w:lang w:val="zh-CN"/>
        </w:rPr>
        <w:t>》（</w:t>
      </w:r>
      <w:r>
        <w:rPr>
          <w:rFonts w:hint="eastAsia" w:ascii="宋体" w:hAnsi="宋体"/>
        </w:rPr>
        <w:t>2007年版</w:t>
      </w:r>
      <w:r>
        <w:rPr>
          <w:rFonts w:hint="eastAsia" w:ascii="宋体" w:hAnsi="宋体"/>
          <w:lang w:val="zh-CN"/>
        </w:rPr>
        <w:t>）、《中华人民共和国交通运输部公路工程标准施工招标文件》（2018年版）制定，内容由通用合同条款、专用合同条款和合同附件格式三部分组成。</w:t>
      </w:r>
      <w:r>
        <w:rPr>
          <w:rFonts w:hint="eastAsia" w:ascii="宋体" w:hAnsi="宋体"/>
        </w:rPr>
        <w:t>通用合同条款不加修改的引用《中华人民共和国标准施工招标文件》</w:t>
      </w:r>
      <w:r>
        <w:rPr>
          <w:rFonts w:hint="eastAsia" w:ascii="宋体" w:hAnsi="宋体"/>
          <w:lang w:val="zh-CN"/>
        </w:rPr>
        <w:t>（</w:t>
      </w:r>
      <w:r>
        <w:rPr>
          <w:rFonts w:hint="eastAsia" w:ascii="宋体" w:hAnsi="宋体"/>
        </w:rPr>
        <w:t>2007年版</w:t>
      </w:r>
      <w:r>
        <w:rPr>
          <w:rFonts w:hint="eastAsia" w:ascii="宋体" w:hAnsi="宋体"/>
          <w:lang w:val="zh-CN"/>
        </w:rPr>
        <w:t>）</w:t>
      </w:r>
      <w:r>
        <w:rPr>
          <w:rFonts w:hint="eastAsia" w:ascii="宋体" w:hAnsi="宋体"/>
        </w:rPr>
        <w:t>通用合同条款；专用合同条款</w:t>
      </w:r>
      <w:r>
        <w:rPr>
          <w:rFonts w:hint="eastAsia" w:ascii="宋体" w:hAnsi="宋体"/>
          <w:lang w:val="zh-CN"/>
        </w:rPr>
        <w:t>结合重庆市公路行业的具体情况，参考《中华人民共和国交通运输部公路工程标准施工招标文件》（2018年版）公路工程专用合同条款的相关原则，贯彻重庆市招标投标体制机制改革精神，实现以合同为中心的履约管理机制，重点对变更原则、价格调整机制、合同实施中合同当事人的权利、义务等作了原则性规定。合同附件格式包括：合同协议书、廉政合同、安全生产合同、</w:t>
      </w:r>
      <w:r>
        <w:rPr>
          <w:rFonts w:hint="eastAsia" w:ascii="宋体" w:hAnsi="宋体"/>
        </w:rPr>
        <w:t>环保合同、</w:t>
      </w:r>
      <w:r>
        <w:rPr>
          <w:rFonts w:hint="eastAsia" w:ascii="宋体" w:hAnsi="宋体"/>
          <w:lang w:val="zh-CN"/>
        </w:rPr>
        <w:t>其他管理和技术人员最低要求、主要机械设备和试验检测设备最低要求等内容，集中约定合同当事人的基本合同权利义务。</w:t>
      </w:r>
    </w:p>
    <w:p w14:paraId="39A4F164">
      <w:pPr>
        <w:spacing w:line="360" w:lineRule="auto"/>
        <w:ind w:firstLine="420" w:firstLineChars="200"/>
        <w:rPr>
          <w:rFonts w:hint="eastAsia" w:ascii="宋体" w:hAnsi="宋体"/>
          <w:lang w:val="zh-CN"/>
        </w:rPr>
      </w:pPr>
      <w:r>
        <w:rPr>
          <w:rFonts w:hint="eastAsia" w:ascii="宋体" w:hAnsi="宋体"/>
          <w:lang w:val="zh-CN"/>
        </w:rPr>
        <w:t>六</w:t>
      </w:r>
      <w:r>
        <w:rPr>
          <w:rFonts w:ascii="宋体" w:hAnsi="宋体"/>
          <w:lang w:val="zh-CN"/>
        </w:rPr>
        <w:t>、第五章</w:t>
      </w:r>
      <w:r>
        <w:rPr>
          <w:rFonts w:hint="eastAsia" w:ascii="宋体" w:hAnsi="宋体"/>
          <w:lang w:val="zh-CN"/>
        </w:rPr>
        <w:t>“</w:t>
      </w:r>
      <w:r>
        <w:rPr>
          <w:rFonts w:ascii="宋体" w:hAnsi="宋体"/>
          <w:lang w:val="zh-CN"/>
        </w:rPr>
        <w:t>工程量清单</w:t>
      </w:r>
      <w:r>
        <w:rPr>
          <w:rFonts w:hint="eastAsia" w:ascii="宋体" w:hAnsi="宋体"/>
          <w:lang w:val="zh-CN"/>
        </w:rPr>
        <w:t>”由</w:t>
      </w:r>
      <w:r>
        <w:rPr>
          <w:rFonts w:ascii="宋体" w:hAnsi="宋体"/>
          <w:lang w:val="zh-CN"/>
        </w:rPr>
        <w:t>招标人根据</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hint="eastAsia" w:ascii="宋体" w:hAnsi="宋体"/>
          <w:lang w:val="zh-CN"/>
        </w:rPr>
        <w:t>》、</w:t>
      </w:r>
      <w:r>
        <w:rPr>
          <w:rFonts w:ascii="宋体" w:hAnsi="宋体"/>
          <w:lang w:val="zh-CN"/>
        </w:rPr>
        <w:t>交通运输部及重庆市交通行政主管部门</w:t>
      </w:r>
      <w:r>
        <w:rPr>
          <w:rFonts w:hint="eastAsia" w:ascii="宋体" w:hAnsi="宋体"/>
          <w:lang w:val="zh-CN"/>
        </w:rPr>
        <w:t>现行</w:t>
      </w:r>
      <w:r>
        <w:rPr>
          <w:rFonts w:ascii="宋体" w:hAnsi="宋体"/>
          <w:lang w:val="zh-CN"/>
        </w:rPr>
        <w:t>有关规定、招标项目具体特点和实际需要编制，并与</w:t>
      </w:r>
      <w:r>
        <w:rPr>
          <w:rFonts w:hint="eastAsia" w:ascii="宋体" w:hAnsi="宋体"/>
          <w:lang w:val="zh-CN"/>
        </w:rPr>
        <w:t>“</w:t>
      </w:r>
      <w:r>
        <w:rPr>
          <w:rFonts w:ascii="宋体" w:hAnsi="宋体"/>
          <w:lang w:val="zh-CN"/>
        </w:rPr>
        <w:t>投标人须知</w:t>
      </w:r>
      <w:r>
        <w:rPr>
          <w:rFonts w:hint="eastAsia" w:ascii="宋体" w:hAnsi="宋体"/>
          <w:lang w:val="zh-CN"/>
        </w:rPr>
        <w:t>”、“</w:t>
      </w:r>
      <w:r>
        <w:rPr>
          <w:rFonts w:ascii="宋体" w:hAnsi="宋体"/>
          <w:lang w:val="zh-CN"/>
        </w:rPr>
        <w:t>通用合同条款</w:t>
      </w:r>
      <w:r>
        <w:rPr>
          <w:rFonts w:hint="eastAsia" w:ascii="宋体" w:hAnsi="宋体"/>
          <w:lang w:val="zh-CN"/>
        </w:rPr>
        <w:t>”、“</w:t>
      </w:r>
      <w:r>
        <w:rPr>
          <w:rFonts w:ascii="宋体" w:hAnsi="宋体"/>
          <w:lang w:val="zh-CN"/>
        </w:rPr>
        <w:t>专用合同条款</w:t>
      </w:r>
      <w:r>
        <w:rPr>
          <w:rFonts w:hint="eastAsia" w:ascii="宋体" w:hAnsi="宋体"/>
          <w:lang w:val="zh-CN"/>
        </w:rPr>
        <w:t>”、“</w:t>
      </w:r>
      <w:r>
        <w:rPr>
          <w:rFonts w:ascii="宋体" w:hAnsi="宋体"/>
          <w:lang w:val="zh-CN"/>
        </w:rPr>
        <w:t>技术规范</w:t>
      </w:r>
      <w:r>
        <w:rPr>
          <w:rFonts w:hint="eastAsia" w:ascii="宋体" w:hAnsi="宋体"/>
          <w:lang w:val="zh-CN"/>
        </w:rPr>
        <w:t>”、“</w:t>
      </w:r>
      <w:r>
        <w:rPr>
          <w:rFonts w:ascii="宋体" w:hAnsi="宋体"/>
          <w:lang w:val="zh-CN"/>
        </w:rPr>
        <w:t>工程量清单计量规则</w:t>
      </w:r>
      <w:r>
        <w:rPr>
          <w:rFonts w:hint="eastAsia" w:ascii="宋体" w:hAnsi="宋体"/>
          <w:lang w:val="zh-CN"/>
        </w:rPr>
        <w:t>”、“</w:t>
      </w:r>
      <w:r>
        <w:rPr>
          <w:rFonts w:ascii="宋体" w:hAnsi="宋体"/>
          <w:lang w:val="zh-CN"/>
        </w:rPr>
        <w:t>图纸</w:t>
      </w:r>
      <w:r>
        <w:rPr>
          <w:rFonts w:hint="eastAsia" w:ascii="宋体" w:hAnsi="宋体"/>
          <w:lang w:val="zh-CN"/>
        </w:rPr>
        <w:t>”</w:t>
      </w:r>
      <w:r>
        <w:rPr>
          <w:rFonts w:ascii="宋体" w:hAnsi="宋体"/>
          <w:lang w:val="zh-CN"/>
        </w:rPr>
        <w:t>相衔接。</w:t>
      </w:r>
    </w:p>
    <w:p w14:paraId="47F33B14">
      <w:pPr>
        <w:spacing w:line="360" w:lineRule="auto"/>
        <w:ind w:firstLine="420" w:firstLineChars="200"/>
        <w:rPr>
          <w:rFonts w:hint="eastAsia" w:ascii="宋体" w:hAnsi="宋体"/>
          <w:lang w:val="zh-CN"/>
        </w:rPr>
      </w:pPr>
      <w:r>
        <w:rPr>
          <w:rFonts w:hint="eastAsia" w:ascii="宋体" w:hAnsi="宋体"/>
          <w:lang w:val="zh-CN"/>
        </w:rPr>
        <w:t>七</w:t>
      </w:r>
      <w:r>
        <w:rPr>
          <w:rFonts w:ascii="宋体" w:hAnsi="宋体"/>
          <w:lang w:val="zh-CN"/>
        </w:rPr>
        <w:t>、第六章</w:t>
      </w:r>
      <w:r>
        <w:rPr>
          <w:rFonts w:hint="eastAsia" w:ascii="宋体" w:hAnsi="宋体"/>
          <w:lang w:val="zh-CN"/>
        </w:rPr>
        <w:t>“</w:t>
      </w:r>
      <w:r>
        <w:rPr>
          <w:rFonts w:ascii="宋体" w:hAnsi="宋体"/>
          <w:lang w:val="zh-CN"/>
        </w:rPr>
        <w:t>图纸</w:t>
      </w:r>
      <w:r>
        <w:rPr>
          <w:rFonts w:hint="eastAsia" w:ascii="宋体" w:hAnsi="宋体"/>
          <w:lang w:val="zh-CN"/>
        </w:rPr>
        <w:t>”</w:t>
      </w:r>
      <w:r>
        <w:rPr>
          <w:rFonts w:ascii="宋体" w:hAnsi="宋体"/>
          <w:lang w:val="zh-CN"/>
        </w:rPr>
        <w:t>由招标人根据</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hint="eastAsia" w:ascii="宋体" w:hAnsi="宋体"/>
          <w:lang w:val="zh-CN"/>
        </w:rPr>
        <w:t>》、</w:t>
      </w:r>
      <w:r>
        <w:rPr>
          <w:rFonts w:ascii="宋体" w:hAnsi="宋体"/>
          <w:lang w:val="zh-CN"/>
        </w:rPr>
        <w:t>招标项目具体特点和实际需要编制，并与</w:t>
      </w:r>
      <w:r>
        <w:rPr>
          <w:rFonts w:hint="eastAsia" w:ascii="宋体" w:hAnsi="宋体"/>
          <w:lang w:val="zh-CN"/>
        </w:rPr>
        <w:t>“</w:t>
      </w:r>
      <w:r>
        <w:rPr>
          <w:rFonts w:ascii="宋体" w:hAnsi="宋体"/>
          <w:lang w:val="zh-CN"/>
        </w:rPr>
        <w:t>投标人须知</w:t>
      </w:r>
      <w:r>
        <w:rPr>
          <w:rFonts w:hint="eastAsia" w:ascii="宋体" w:hAnsi="宋体"/>
          <w:lang w:val="zh-CN"/>
        </w:rPr>
        <w:t>”</w:t>
      </w:r>
      <w:r>
        <w:rPr>
          <w:rFonts w:ascii="宋体" w:hAnsi="宋体"/>
          <w:lang w:val="zh-CN"/>
        </w:rPr>
        <w:t>、</w:t>
      </w:r>
      <w:r>
        <w:rPr>
          <w:rFonts w:hint="eastAsia" w:ascii="宋体" w:hAnsi="宋体"/>
          <w:lang w:val="zh-CN"/>
        </w:rPr>
        <w:t>“</w:t>
      </w:r>
      <w:r>
        <w:rPr>
          <w:rFonts w:ascii="宋体" w:hAnsi="宋体"/>
          <w:lang w:val="zh-CN"/>
        </w:rPr>
        <w:t>通用合同条款</w:t>
      </w:r>
      <w:r>
        <w:rPr>
          <w:rFonts w:hint="eastAsia" w:ascii="宋体" w:hAnsi="宋体"/>
          <w:lang w:val="zh-CN"/>
        </w:rPr>
        <w:t>”</w:t>
      </w:r>
      <w:r>
        <w:rPr>
          <w:rFonts w:ascii="宋体" w:hAnsi="宋体"/>
          <w:lang w:val="zh-CN"/>
        </w:rPr>
        <w:t>、</w:t>
      </w:r>
      <w:r>
        <w:rPr>
          <w:rFonts w:hint="eastAsia" w:ascii="宋体" w:hAnsi="宋体"/>
          <w:lang w:val="zh-CN"/>
        </w:rPr>
        <w:t>“</w:t>
      </w:r>
      <w:r>
        <w:rPr>
          <w:rFonts w:ascii="宋体" w:hAnsi="宋体"/>
          <w:lang w:val="zh-CN"/>
        </w:rPr>
        <w:t>专用合同条款</w:t>
      </w:r>
      <w:r>
        <w:rPr>
          <w:rFonts w:hint="eastAsia" w:ascii="宋体" w:hAnsi="宋体"/>
          <w:lang w:val="zh-CN"/>
        </w:rPr>
        <w:t>”</w:t>
      </w:r>
      <w:r>
        <w:rPr>
          <w:rFonts w:ascii="宋体" w:hAnsi="宋体"/>
          <w:lang w:val="zh-CN"/>
        </w:rPr>
        <w:t>、</w:t>
      </w:r>
      <w:r>
        <w:rPr>
          <w:rFonts w:hint="eastAsia" w:ascii="宋体" w:hAnsi="宋体"/>
          <w:lang w:val="zh-CN"/>
        </w:rPr>
        <w:t>“</w:t>
      </w:r>
      <w:r>
        <w:rPr>
          <w:rFonts w:ascii="宋体" w:hAnsi="宋体"/>
          <w:lang w:val="zh-CN"/>
        </w:rPr>
        <w:t>技术规范</w:t>
      </w:r>
      <w:r>
        <w:rPr>
          <w:rFonts w:hint="eastAsia" w:ascii="宋体" w:hAnsi="宋体"/>
          <w:lang w:val="zh-CN"/>
        </w:rPr>
        <w:t>”</w:t>
      </w:r>
      <w:r>
        <w:rPr>
          <w:rFonts w:ascii="宋体" w:hAnsi="宋体"/>
          <w:lang w:val="zh-CN"/>
        </w:rPr>
        <w:t>相衔接。</w:t>
      </w:r>
    </w:p>
    <w:p w14:paraId="36EB7DC3">
      <w:pPr>
        <w:spacing w:line="360" w:lineRule="auto"/>
        <w:ind w:firstLine="420" w:firstLineChars="200"/>
        <w:rPr>
          <w:rFonts w:ascii="宋体" w:hAnsi="宋体"/>
          <w:lang w:val="zh-CN"/>
        </w:rPr>
      </w:pPr>
      <w:r>
        <w:rPr>
          <w:rFonts w:hint="eastAsia" w:ascii="宋体" w:hAnsi="宋体"/>
          <w:lang w:val="zh-CN"/>
        </w:rPr>
        <w:t>八</w:t>
      </w:r>
      <w:r>
        <w:rPr>
          <w:rFonts w:ascii="宋体" w:hAnsi="宋体"/>
          <w:lang w:val="zh-CN"/>
        </w:rPr>
        <w:t>、第七章</w:t>
      </w:r>
      <w:r>
        <w:rPr>
          <w:rFonts w:hint="eastAsia" w:ascii="宋体" w:hAnsi="宋体"/>
          <w:lang w:val="zh-CN"/>
        </w:rPr>
        <w:t>“</w:t>
      </w:r>
      <w:r>
        <w:rPr>
          <w:rFonts w:ascii="宋体" w:hAnsi="宋体"/>
          <w:lang w:val="zh-CN"/>
        </w:rPr>
        <w:t>技术规范</w:t>
      </w:r>
      <w:r>
        <w:rPr>
          <w:rFonts w:hint="eastAsia" w:ascii="宋体" w:hAnsi="宋体"/>
          <w:lang w:val="zh-CN"/>
        </w:rPr>
        <w:t>”</w:t>
      </w:r>
      <w:r>
        <w:rPr>
          <w:rFonts w:ascii="宋体" w:hAnsi="宋体"/>
          <w:lang w:val="zh-CN"/>
        </w:rPr>
        <w:t>、第八章</w:t>
      </w:r>
      <w:r>
        <w:rPr>
          <w:rFonts w:hint="eastAsia" w:ascii="宋体" w:hAnsi="宋体"/>
          <w:lang w:val="zh-CN"/>
        </w:rPr>
        <w:t>“</w:t>
      </w:r>
      <w:r>
        <w:rPr>
          <w:rFonts w:ascii="宋体" w:hAnsi="宋体"/>
          <w:lang w:val="zh-CN"/>
        </w:rPr>
        <w:t>工程量清单计量规则</w:t>
      </w:r>
      <w:r>
        <w:rPr>
          <w:rFonts w:hint="eastAsia" w:ascii="宋体" w:hAnsi="宋体"/>
          <w:lang w:val="zh-CN"/>
        </w:rPr>
        <w:t>”</w:t>
      </w:r>
      <w:r>
        <w:rPr>
          <w:rFonts w:ascii="宋体" w:hAnsi="宋体"/>
          <w:lang w:val="zh-CN"/>
        </w:rPr>
        <w:t>由招标人根据</w:t>
      </w:r>
      <w:r>
        <w:rPr>
          <w:rFonts w:hint="eastAsia" w:ascii="宋体" w:hAnsi="宋体"/>
          <w:lang w:val="zh-CN"/>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hint="eastAsia" w:ascii="宋体" w:hAnsi="宋体"/>
          <w:lang w:val="zh-CN"/>
        </w:rPr>
        <w:t>》、</w:t>
      </w:r>
      <w:r>
        <w:rPr>
          <w:rFonts w:ascii="宋体" w:hAnsi="宋体"/>
          <w:lang w:val="zh-CN"/>
        </w:rPr>
        <w:t>招标项目具体特点和实际需要编制。</w:t>
      </w:r>
      <w:r>
        <w:rPr>
          <w:rFonts w:hint="eastAsia" w:ascii="宋体" w:hAnsi="宋体"/>
          <w:lang w:val="zh-CN"/>
        </w:rPr>
        <w:t>“</w:t>
      </w:r>
      <w:r>
        <w:rPr>
          <w:rFonts w:ascii="宋体" w:hAnsi="宋体"/>
          <w:lang w:val="zh-CN"/>
        </w:rPr>
        <w:t>技术规范</w:t>
      </w:r>
      <w:r>
        <w:rPr>
          <w:rFonts w:hint="eastAsia" w:ascii="宋体" w:hAnsi="宋体"/>
          <w:lang w:val="zh-CN"/>
        </w:rPr>
        <w:t>”</w:t>
      </w:r>
      <w:r>
        <w:rPr>
          <w:rFonts w:ascii="宋体" w:hAnsi="宋体"/>
          <w:lang w:val="zh-CN"/>
        </w:rPr>
        <w:t>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w:t>
      </w:r>
      <w:r>
        <w:rPr>
          <w:rFonts w:hint="eastAsia" w:ascii="宋体" w:hAnsi="宋体"/>
          <w:lang w:val="zh-CN"/>
        </w:rPr>
        <w:t>“</w:t>
      </w:r>
      <w:r>
        <w:rPr>
          <w:rFonts w:ascii="宋体" w:hAnsi="宋体"/>
          <w:lang w:val="zh-CN"/>
        </w:rPr>
        <w:t>参照</w:t>
      </w:r>
      <w:r>
        <w:rPr>
          <w:rFonts w:hint="eastAsia" w:ascii="宋体" w:hAnsi="宋体"/>
          <w:lang w:val="zh-CN"/>
        </w:rPr>
        <w:t>”</w:t>
      </w:r>
      <w:r>
        <w:rPr>
          <w:rFonts w:ascii="宋体" w:hAnsi="宋体"/>
          <w:lang w:val="zh-CN"/>
        </w:rPr>
        <w:t>或</w:t>
      </w:r>
      <w:r>
        <w:rPr>
          <w:rFonts w:hint="eastAsia" w:ascii="宋体" w:hAnsi="宋体"/>
          <w:lang w:val="zh-CN"/>
        </w:rPr>
        <w:t>“</w:t>
      </w:r>
      <w:r>
        <w:rPr>
          <w:rFonts w:ascii="宋体" w:hAnsi="宋体"/>
          <w:lang w:val="zh-CN"/>
        </w:rPr>
        <w:t>相当于</w:t>
      </w:r>
      <w:r>
        <w:rPr>
          <w:rFonts w:hint="eastAsia" w:ascii="宋体" w:hAnsi="宋体"/>
          <w:lang w:val="zh-CN"/>
        </w:rPr>
        <w:t>”</w:t>
      </w:r>
      <w:r>
        <w:rPr>
          <w:rFonts w:ascii="宋体" w:hAnsi="宋体"/>
          <w:lang w:val="zh-CN"/>
        </w:rPr>
        <w:t>字样。</w:t>
      </w:r>
    </w:p>
    <w:p w14:paraId="20FE6391">
      <w:pPr>
        <w:spacing w:line="360" w:lineRule="auto"/>
        <w:ind w:firstLine="420" w:firstLineChars="200"/>
        <w:rPr>
          <w:rFonts w:ascii="宋体" w:hAnsi="宋体"/>
        </w:rPr>
      </w:pPr>
      <w:r>
        <w:rPr>
          <w:rFonts w:hint="eastAsia" w:ascii="宋体" w:hAnsi="宋体"/>
        </w:rPr>
        <w:t>九</w:t>
      </w:r>
      <w:r>
        <w:rPr>
          <w:rFonts w:ascii="宋体" w:hAnsi="宋体"/>
        </w:rPr>
        <w:t>、</w:t>
      </w:r>
      <w:r>
        <w:rPr>
          <w:rFonts w:hint="eastAsia" w:ascii="宋体" w:hAnsi="宋体"/>
        </w:rPr>
        <w:t>第二章“投标人须知前附表”与其正文不一致的以“投标人须知前附表”为准，第三章“评标办法前附表”与其正文不一致的以“评标办法前附表”为准，第二章“投标人须知正文”与第三章“评标办法正文”不允许修改。招标人必须将所有涉及否决投标的情形逐条清晰的列入第三章“否决投标情况一览表”中，否则不得作为否决投标的依据。第四章“合同条款及格式”中的第一部分通用合同条款不允许修改。</w:t>
      </w:r>
    </w:p>
    <w:p w14:paraId="47511F63">
      <w:pPr>
        <w:spacing w:line="360" w:lineRule="auto"/>
        <w:ind w:firstLine="420" w:firstLineChars="200"/>
        <w:rPr>
          <w:rFonts w:ascii="宋体" w:hAnsi="宋体"/>
        </w:rPr>
      </w:pPr>
      <w:r>
        <w:rPr>
          <w:rFonts w:hint="eastAsia" w:ascii="宋体" w:hAnsi="宋体"/>
        </w:rPr>
        <w:t>十</w:t>
      </w:r>
      <w:r>
        <w:rPr>
          <w:rFonts w:ascii="宋体" w:hAnsi="宋体"/>
        </w:rPr>
        <w:t>、</w:t>
      </w:r>
      <w:r>
        <w:rPr>
          <w:rFonts w:hint="eastAsia" w:ascii="宋体" w:hAnsi="宋体"/>
        </w:rPr>
        <w:t>《</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hint="eastAsia" w:ascii="宋体" w:hAnsi="宋体"/>
        </w:rPr>
        <w:t>》凡以“□”标示的为选择项目，供招标人在实际使用中在相应“□”中用“√”标示选择，未勾选的项目由招标人在编制过程中自行删除；以空格或下划线标示的，招标人应根据招标项目具体特点和实际需要进行填写，也可以直接引用或修改完善下划线上已有的示范性填写内容，确实没有需要填写的，在空格中或下划线上用“/”标示；除“□”、空格、下划线可以根据项目实际情况进行必要的勾选、细化补充以及“[提示]”明确可以增加补充的外，不得对《</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hint="eastAsia" w:ascii="宋体" w:hAnsi="宋体"/>
        </w:rPr>
        <w:t>》实质性内容进行修改，补充细化的内容不得与《</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hint="eastAsia" w:ascii="宋体" w:hAnsi="宋体"/>
        </w:rPr>
        <w:t>》已约定的内容矛盾，不得违反法律、行政法规的强制性规定和平等、自愿、公平、诚实信用原则。文中标注为“[提示]”的内容在具体招标文件编制过程中应删除。</w:t>
      </w:r>
    </w:p>
    <w:p w14:paraId="6D4BEB21">
      <w:pPr>
        <w:spacing w:line="360" w:lineRule="auto"/>
        <w:ind w:firstLine="420" w:firstLineChars="200"/>
        <w:rPr>
          <w:rFonts w:ascii="宋体" w:hAnsi="宋体"/>
          <w:lang w:val="zh-CN"/>
        </w:rPr>
        <w:sectPr>
          <w:footerReference r:id="rId6" w:type="default"/>
          <w:pgSz w:w="11907" w:h="16840"/>
          <w:pgMar w:top="1304" w:right="1134" w:bottom="1304" w:left="1304" w:header="851" w:footer="992" w:gutter="0"/>
          <w:pgNumType w:start="1"/>
          <w:cols w:space="720" w:num="1"/>
          <w:docGrid w:linePitch="312" w:charSpace="0"/>
        </w:sectPr>
      </w:pPr>
      <w:r>
        <w:rPr>
          <w:rFonts w:ascii="宋体" w:hAnsi="宋体"/>
          <w:lang w:val="zh-CN"/>
        </w:rPr>
        <w:t>十一、《</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ascii="宋体" w:hAnsi="宋体"/>
          <w:lang w:val="zh-CN"/>
        </w:rPr>
        <w:t>》将根据实际使用过程中出现的问题及时进行修改。各使用单位或个人对《</w:t>
      </w:r>
      <w:r>
        <w:rPr>
          <w:rFonts w:hint="eastAsia" w:ascii="宋体" w:hAnsi="宋体"/>
          <w:kern w:val="0"/>
          <w:szCs w:val="21"/>
          <w:lang w:val="zh-CN"/>
        </w:rPr>
        <w:t>重庆市公路</w:t>
      </w:r>
      <w:r>
        <w:rPr>
          <w:rFonts w:hint="eastAsia" w:ascii="宋体" w:hAnsi="宋体"/>
          <w:kern w:val="0"/>
          <w:szCs w:val="21"/>
        </w:rPr>
        <w:t>养护</w:t>
      </w:r>
      <w:r>
        <w:rPr>
          <w:rFonts w:hint="eastAsia" w:ascii="宋体" w:hAnsi="宋体"/>
          <w:kern w:val="0"/>
          <w:szCs w:val="21"/>
          <w:lang w:val="zh-CN"/>
        </w:rPr>
        <w:t>工程施工标准招标文件</w:t>
      </w:r>
      <w:r>
        <w:rPr>
          <w:rFonts w:ascii="宋体" w:hAnsi="宋体"/>
          <w:lang w:val="zh-CN"/>
        </w:rPr>
        <w:t>》的修改意见和建议，可向重庆市公共资源交易监督管理局反映。</w:t>
      </w:r>
      <w:r>
        <w:rPr>
          <w:rFonts w:ascii="宋体" w:hAnsi="宋体"/>
          <w:kern w:val="0"/>
          <w:szCs w:val="21"/>
          <w:lang w:val="zh-CN"/>
        </w:rPr>
        <w:t>联系电话</w:t>
      </w:r>
      <w:r>
        <w:rPr>
          <w:rFonts w:hint="eastAsia" w:ascii="宋体" w:hAnsi="宋体"/>
          <w:kern w:val="0"/>
          <w:szCs w:val="21"/>
          <w:lang w:val="zh-CN"/>
        </w:rPr>
        <w:t>：023-67575990或023-</w:t>
      </w:r>
      <w:r>
        <w:rPr>
          <w:rFonts w:ascii="宋体" w:hAnsi="宋体"/>
          <w:kern w:val="0"/>
          <w:szCs w:val="21"/>
          <w:lang w:val="zh-CN"/>
        </w:rPr>
        <w:t>6367</w:t>
      </w:r>
      <w:r>
        <w:rPr>
          <w:rFonts w:hint="eastAsia" w:ascii="宋体" w:hAnsi="宋体"/>
          <w:kern w:val="0"/>
          <w:szCs w:val="21"/>
        </w:rPr>
        <w:t>2099</w:t>
      </w:r>
      <w:r>
        <w:rPr>
          <w:rFonts w:hint="eastAsia" w:ascii="宋体" w:hAnsi="宋体"/>
          <w:kern w:val="0"/>
          <w:szCs w:val="21"/>
          <w:lang w:val="zh-CN"/>
        </w:rPr>
        <w:t>。</w:t>
      </w:r>
    </w:p>
    <w:p w14:paraId="6C1BE5EC">
      <w:pPr>
        <w:jc w:val="center"/>
        <w:rPr>
          <w:rFonts w:ascii="宋体" w:hAnsi="宋体"/>
          <w:b/>
          <w:sz w:val="44"/>
          <w:szCs w:val="44"/>
        </w:rPr>
      </w:pPr>
      <w:bookmarkStart w:id="1" w:name="_Toc536628229"/>
      <w:bookmarkStart w:id="2" w:name="_Toc509218549"/>
      <w:bookmarkStart w:id="3" w:name="_Toc536800622"/>
      <w:bookmarkStart w:id="4" w:name="_Toc536621766"/>
      <w:bookmarkStart w:id="5" w:name="_Toc536781693"/>
      <w:bookmarkStart w:id="6" w:name="_Toc37531048"/>
      <w:bookmarkStart w:id="7" w:name="_Toc43278824"/>
      <w:bookmarkStart w:id="8" w:name="_Toc536782092"/>
      <w:bookmarkStart w:id="9" w:name="_Toc28400"/>
    </w:p>
    <w:p w14:paraId="033D4830">
      <w:pPr>
        <w:spacing w:line="360" w:lineRule="auto"/>
        <w:jc w:val="center"/>
        <w:rPr>
          <w:rFonts w:hint="eastAsia" w:ascii="宋体" w:hAnsi="宋体"/>
          <w:kern w:val="0"/>
          <w:sz w:val="32"/>
          <w:szCs w:val="32"/>
          <w:u w:val="single"/>
        </w:rPr>
      </w:pPr>
      <w:r>
        <w:rPr>
          <w:rFonts w:hint="eastAsia" w:ascii="宋体" w:hAnsi="宋体"/>
          <w:kern w:val="0"/>
          <w:sz w:val="32"/>
          <w:szCs w:val="32"/>
          <w:u w:val="single"/>
        </w:rPr>
        <w:t xml:space="preserve">                   （项目名称）</w:t>
      </w:r>
    </w:p>
    <w:p w14:paraId="0113828B">
      <w:pPr>
        <w:autoSpaceDE w:val="0"/>
        <w:autoSpaceDN w:val="0"/>
        <w:adjustRightInd w:val="0"/>
        <w:snapToGrid w:val="0"/>
        <w:spacing w:line="360" w:lineRule="auto"/>
        <w:jc w:val="left"/>
        <w:rPr>
          <w:rFonts w:ascii="宋体" w:hAnsi="宋体"/>
          <w:kern w:val="0"/>
          <w:sz w:val="20"/>
          <w:szCs w:val="20"/>
        </w:rPr>
      </w:pPr>
    </w:p>
    <w:p w14:paraId="1DA306B8">
      <w:pPr>
        <w:autoSpaceDE w:val="0"/>
        <w:autoSpaceDN w:val="0"/>
        <w:adjustRightInd w:val="0"/>
        <w:snapToGrid w:val="0"/>
        <w:spacing w:line="360" w:lineRule="auto"/>
        <w:jc w:val="left"/>
        <w:rPr>
          <w:rFonts w:ascii="宋体" w:hAnsi="宋体"/>
          <w:kern w:val="0"/>
          <w:sz w:val="20"/>
          <w:szCs w:val="20"/>
        </w:rPr>
      </w:pPr>
    </w:p>
    <w:p w14:paraId="7EE9F2CE">
      <w:pPr>
        <w:autoSpaceDE w:val="0"/>
        <w:autoSpaceDN w:val="0"/>
        <w:adjustRightInd w:val="0"/>
        <w:snapToGrid w:val="0"/>
        <w:spacing w:line="360" w:lineRule="auto"/>
        <w:jc w:val="left"/>
        <w:rPr>
          <w:rFonts w:ascii="宋体" w:hAnsi="宋体"/>
          <w:kern w:val="0"/>
          <w:sz w:val="20"/>
          <w:szCs w:val="20"/>
        </w:rPr>
      </w:pPr>
    </w:p>
    <w:p w14:paraId="5ECE4ED8">
      <w:pPr>
        <w:autoSpaceDE w:val="0"/>
        <w:autoSpaceDN w:val="0"/>
        <w:adjustRightInd w:val="0"/>
        <w:snapToGrid w:val="0"/>
        <w:spacing w:line="360" w:lineRule="auto"/>
        <w:jc w:val="left"/>
        <w:rPr>
          <w:rFonts w:ascii="宋体" w:hAnsi="宋体"/>
          <w:kern w:val="0"/>
          <w:sz w:val="20"/>
          <w:szCs w:val="20"/>
        </w:rPr>
      </w:pPr>
    </w:p>
    <w:p w14:paraId="28D22B9C">
      <w:pPr>
        <w:autoSpaceDE w:val="0"/>
        <w:autoSpaceDN w:val="0"/>
        <w:adjustRightInd w:val="0"/>
        <w:snapToGrid w:val="0"/>
        <w:spacing w:line="360" w:lineRule="auto"/>
        <w:jc w:val="left"/>
        <w:rPr>
          <w:rFonts w:ascii="宋体" w:hAnsi="宋体"/>
          <w:kern w:val="0"/>
          <w:sz w:val="20"/>
          <w:szCs w:val="20"/>
        </w:rPr>
      </w:pPr>
    </w:p>
    <w:p w14:paraId="4C30D30E">
      <w:pPr>
        <w:autoSpaceDE w:val="0"/>
        <w:autoSpaceDN w:val="0"/>
        <w:adjustRightInd w:val="0"/>
        <w:snapToGrid w:val="0"/>
        <w:spacing w:line="360" w:lineRule="auto"/>
        <w:jc w:val="left"/>
        <w:rPr>
          <w:rFonts w:ascii="宋体" w:hAnsi="宋体"/>
          <w:kern w:val="0"/>
          <w:sz w:val="20"/>
          <w:szCs w:val="20"/>
        </w:rPr>
      </w:pPr>
    </w:p>
    <w:p w14:paraId="7CB4A4D4">
      <w:pPr>
        <w:autoSpaceDE w:val="0"/>
        <w:autoSpaceDN w:val="0"/>
        <w:adjustRightInd w:val="0"/>
        <w:snapToGrid w:val="0"/>
        <w:spacing w:line="360" w:lineRule="auto"/>
        <w:jc w:val="center"/>
        <w:rPr>
          <w:rFonts w:ascii="宋体" w:hAnsi="宋体"/>
          <w:kern w:val="0"/>
          <w:sz w:val="72"/>
          <w:szCs w:val="72"/>
        </w:rPr>
      </w:pPr>
      <w:r>
        <w:rPr>
          <w:rFonts w:ascii="宋体" w:hAnsi="宋体"/>
          <w:kern w:val="0"/>
          <w:sz w:val="72"/>
          <w:szCs w:val="72"/>
        </w:rPr>
        <w:t>招</w:t>
      </w:r>
      <w:r>
        <w:rPr>
          <w:rFonts w:hint="eastAsia" w:ascii="宋体" w:hAnsi="宋体"/>
          <w:kern w:val="0"/>
          <w:sz w:val="72"/>
          <w:szCs w:val="72"/>
        </w:rPr>
        <w:t xml:space="preserve">  </w:t>
      </w:r>
      <w:r>
        <w:rPr>
          <w:rFonts w:ascii="宋体" w:hAnsi="宋体"/>
          <w:kern w:val="0"/>
          <w:sz w:val="72"/>
          <w:szCs w:val="72"/>
        </w:rPr>
        <w:t>标</w:t>
      </w:r>
      <w:r>
        <w:rPr>
          <w:rFonts w:hint="eastAsia" w:ascii="宋体" w:hAnsi="宋体"/>
          <w:kern w:val="0"/>
          <w:sz w:val="72"/>
          <w:szCs w:val="72"/>
        </w:rPr>
        <w:t xml:space="preserve">  </w:t>
      </w:r>
      <w:r>
        <w:rPr>
          <w:rFonts w:ascii="宋体" w:hAnsi="宋体"/>
          <w:kern w:val="0"/>
          <w:sz w:val="72"/>
          <w:szCs w:val="72"/>
        </w:rPr>
        <w:t>文</w:t>
      </w:r>
      <w:r>
        <w:rPr>
          <w:rFonts w:hint="eastAsia" w:ascii="宋体" w:hAnsi="宋体"/>
          <w:kern w:val="0"/>
          <w:sz w:val="72"/>
          <w:szCs w:val="72"/>
        </w:rPr>
        <w:t xml:space="preserve">  </w:t>
      </w:r>
      <w:r>
        <w:rPr>
          <w:rFonts w:ascii="宋体" w:hAnsi="宋体"/>
          <w:kern w:val="0"/>
          <w:sz w:val="72"/>
          <w:szCs w:val="72"/>
        </w:rPr>
        <w:t>件</w:t>
      </w:r>
    </w:p>
    <w:p w14:paraId="723D3A45">
      <w:pPr>
        <w:autoSpaceDE w:val="0"/>
        <w:autoSpaceDN w:val="0"/>
        <w:adjustRightInd w:val="0"/>
        <w:snapToGrid w:val="0"/>
        <w:spacing w:line="360" w:lineRule="auto"/>
        <w:jc w:val="left"/>
        <w:rPr>
          <w:rFonts w:ascii="宋体" w:hAnsi="宋体"/>
          <w:kern w:val="0"/>
          <w:sz w:val="10"/>
          <w:szCs w:val="10"/>
        </w:rPr>
      </w:pPr>
    </w:p>
    <w:p w14:paraId="31F7A121">
      <w:pPr>
        <w:autoSpaceDE w:val="0"/>
        <w:autoSpaceDN w:val="0"/>
        <w:adjustRightInd w:val="0"/>
        <w:snapToGrid w:val="0"/>
        <w:spacing w:line="360" w:lineRule="auto"/>
        <w:jc w:val="left"/>
        <w:rPr>
          <w:rFonts w:ascii="宋体" w:hAnsi="宋体"/>
          <w:kern w:val="0"/>
          <w:sz w:val="20"/>
          <w:szCs w:val="20"/>
        </w:rPr>
      </w:pPr>
    </w:p>
    <w:p w14:paraId="49283122">
      <w:pPr>
        <w:autoSpaceDE w:val="0"/>
        <w:autoSpaceDN w:val="0"/>
        <w:adjustRightInd w:val="0"/>
        <w:snapToGrid w:val="0"/>
        <w:spacing w:line="360" w:lineRule="auto"/>
        <w:jc w:val="left"/>
        <w:rPr>
          <w:rFonts w:ascii="宋体" w:hAnsi="宋体"/>
          <w:kern w:val="0"/>
          <w:sz w:val="20"/>
          <w:szCs w:val="20"/>
        </w:rPr>
      </w:pPr>
    </w:p>
    <w:p w14:paraId="44F1A195">
      <w:pPr>
        <w:autoSpaceDE w:val="0"/>
        <w:autoSpaceDN w:val="0"/>
        <w:adjustRightInd w:val="0"/>
        <w:snapToGrid w:val="0"/>
        <w:spacing w:line="360" w:lineRule="auto"/>
        <w:jc w:val="left"/>
        <w:rPr>
          <w:rFonts w:ascii="宋体" w:hAnsi="宋体"/>
          <w:kern w:val="0"/>
          <w:sz w:val="20"/>
          <w:szCs w:val="20"/>
        </w:rPr>
      </w:pPr>
    </w:p>
    <w:p w14:paraId="19C0F1BF">
      <w:pPr>
        <w:autoSpaceDE w:val="0"/>
        <w:autoSpaceDN w:val="0"/>
        <w:adjustRightInd w:val="0"/>
        <w:snapToGrid w:val="0"/>
        <w:spacing w:line="360" w:lineRule="auto"/>
        <w:jc w:val="left"/>
        <w:rPr>
          <w:rFonts w:ascii="宋体" w:hAnsi="宋体"/>
          <w:kern w:val="0"/>
          <w:sz w:val="20"/>
          <w:szCs w:val="20"/>
        </w:rPr>
      </w:pPr>
    </w:p>
    <w:p w14:paraId="336FE248">
      <w:pPr>
        <w:autoSpaceDE w:val="0"/>
        <w:autoSpaceDN w:val="0"/>
        <w:adjustRightInd w:val="0"/>
        <w:snapToGrid w:val="0"/>
        <w:spacing w:line="360" w:lineRule="auto"/>
        <w:jc w:val="left"/>
        <w:rPr>
          <w:rFonts w:ascii="宋体" w:hAnsi="宋体"/>
          <w:kern w:val="0"/>
          <w:sz w:val="20"/>
          <w:szCs w:val="20"/>
        </w:rPr>
      </w:pPr>
    </w:p>
    <w:p w14:paraId="7D582851">
      <w:pPr>
        <w:autoSpaceDE w:val="0"/>
        <w:autoSpaceDN w:val="0"/>
        <w:adjustRightInd w:val="0"/>
        <w:snapToGrid w:val="0"/>
        <w:spacing w:line="360" w:lineRule="auto"/>
        <w:jc w:val="left"/>
        <w:rPr>
          <w:rFonts w:hint="eastAsia" w:ascii="宋体" w:hAnsi="宋体"/>
          <w:kern w:val="0"/>
          <w:sz w:val="20"/>
          <w:szCs w:val="20"/>
        </w:rPr>
      </w:pPr>
    </w:p>
    <w:p w14:paraId="1344BDF6">
      <w:pPr>
        <w:autoSpaceDE w:val="0"/>
        <w:autoSpaceDN w:val="0"/>
        <w:adjustRightInd w:val="0"/>
        <w:snapToGrid w:val="0"/>
        <w:spacing w:line="360" w:lineRule="auto"/>
        <w:jc w:val="left"/>
        <w:rPr>
          <w:rFonts w:hint="eastAsia" w:ascii="宋体" w:hAnsi="宋体"/>
          <w:kern w:val="0"/>
          <w:sz w:val="20"/>
          <w:szCs w:val="20"/>
        </w:rPr>
      </w:pPr>
    </w:p>
    <w:p w14:paraId="52795C43">
      <w:pPr>
        <w:autoSpaceDE w:val="0"/>
        <w:autoSpaceDN w:val="0"/>
        <w:adjustRightInd w:val="0"/>
        <w:snapToGrid w:val="0"/>
        <w:spacing w:line="360" w:lineRule="auto"/>
        <w:rPr>
          <w:rFonts w:hint="eastAsia" w:ascii="宋体" w:hAnsi="宋体"/>
          <w:kern w:val="0"/>
          <w:sz w:val="20"/>
          <w:szCs w:val="20"/>
        </w:rPr>
      </w:pPr>
    </w:p>
    <w:p w14:paraId="7905B3B6">
      <w:pPr>
        <w:autoSpaceDE w:val="0"/>
        <w:autoSpaceDN w:val="0"/>
        <w:adjustRightInd w:val="0"/>
        <w:snapToGrid w:val="0"/>
        <w:spacing w:line="360" w:lineRule="auto"/>
        <w:jc w:val="left"/>
        <w:rPr>
          <w:rFonts w:hint="eastAsia" w:ascii="宋体" w:hAnsi="宋体"/>
          <w:kern w:val="0"/>
          <w:sz w:val="20"/>
          <w:szCs w:val="20"/>
        </w:rPr>
      </w:pPr>
    </w:p>
    <w:p w14:paraId="5F766C21">
      <w:pPr>
        <w:autoSpaceDE w:val="0"/>
        <w:autoSpaceDN w:val="0"/>
        <w:adjustRightInd w:val="0"/>
        <w:snapToGrid w:val="0"/>
        <w:spacing w:line="360" w:lineRule="auto"/>
        <w:rPr>
          <w:rFonts w:hint="eastAsia" w:ascii="宋体" w:hAnsi="宋体"/>
          <w:kern w:val="0"/>
          <w:sz w:val="20"/>
          <w:szCs w:val="20"/>
        </w:rPr>
      </w:pPr>
    </w:p>
    <w:p w14:paraId="2FD480F3">
      <w:pPr>
        <w:autoSpaceDE w:val="0"/>
        <w:autoSpaceDN w:val="0"/>
        <w:adjustRightInd w:val="0"/>
        <w:snapToGrid w:val="0"/>
        <w:spacing w:line="360" w:lineRule="auto"/>
        <w:rPr>
          <w:rFonts w:hint="eastAsia" w:ascii="宋体" w:hAnsi="宋体"/>
          <w:kern w:val="0"/>
          <w:sz w:val="20"/>
          <w:szCs w:val="20"/>
        </w:rPr>
      </w:pPr>
    </w:p>
    <w:p w14:paraId="30BDF6EF">
      <w:pPr>
        <w:autoSpaceDE w:val="0"/>
        <w:autoSpaceDN w:val="0"/>
        <w:adjustRightInd w:val="0"/>
        <w:snapToGrid w:val="0"/>
        <w:spacing w:line="360" w:lineRule="auto"/>
        <w:rPr>
          <w:rFonts w:ascii="宋体" w:hAnsi="宋体"/>
          <w:kern w:val="0"/>
          <w:sz w:val="20"/>
          <w:szCs w:val="20"/>
        </w:rPr>
      </w:pPr>
    </w:p>
    <w:p w14:paraId="3B827A5D">
      <w:pPr>
        <w:tabs>
          <w:tab w:val="left" w:pos="6219"/>
        </w:tabs>
        <w:autoSpaceDE w:val="0"/>
        <w:autoSpaceDN w:val="0"/>
        <w:adjustRightInd w:val="0"/>
        <w:snapToGrid w:val="0"/>
        <w:spacing w:line="360" w:lineRule="auto"/>
        <w:jc w:val="center"/>
        <w:rPr>
          <w:rFonts w:ascii="宋体" w:hAnsi="宋体"/>
          <w:b/>
          <w:w w:val="99"/>
          <w:kern w:val="0"/>
          <w:sz w:val="28"/>
          <w:szCs w:val="28"/>
        </w:rPr>
      </w:pPr>
      <w:r>
        <w:rPr>
          <w:rFonts w:ascii="宋体" w:hAnsi="宋体"/>
          <w:b/>
          <w:w w:val="99"/>
          <w:kern w:val="0"/>
          <w:sz w:val="28"/>
          <w:szCs w:val="28"/>
        </w:rPr>
        <w:t>招　　标　 人：</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35D7ACB8">
      <w:pPr>
        <w:tabs>
          <w:tab w:val="left" w:pos="6252"/>
        </w:tabs>
        <w:autoSpaceDE w:val="0"/>
        <w:autoSpaceDN w:val="0"/>
        <w:adjustRightInd w:val="0"/>
        <w:snapToGrid w:val="0"/>
        <w:spacing w:line="360" w:lineRule="auto"/>
        <w:jc w:val="center"/>
        <w:rPr>
          <w:rFonts w:ascii="宋体" w:hAnsi="宋体"/>
          <w:b/>
          <w:w w:val="99"/>
          <w:kern w:val="0"/>
          <w:sz w:val="28"/>
          <w:szCs w:val="28"/>
        </w:rPr>
      </w:pPr>
      <w:r>
        <w:rPr>
          <w:rFonts w:ascii="宋体" w:hAnsi="宋体"/>
          <w:b/>
          <w:spacing w:val="8"/>
          <w:kern w:val="0"/>
          <w:sz w:val="28"/>
          <w:szCs w:val="28"/>
        </w:rPr>
        <w:t>招标代理机构：</w:t>
      </w:r>
      <w:r>
        <w:rPr>
          <w:rFonts w:ascii="宋体" w:hAnsi="宋体"/>
          <w:kern w:val="0"/>
          <w:sz w:val="28"/>
          <w:szCs w:val="28"/>
          <w:u w:val="single"/>
        </w:rPr>
        <w:tab/>
      </w:r>
      <w:r>
        <w:rPr>
          <w:rFonts w:ascii="宋体" w:hAnsi="宋体"/>
          <w:kern w:val="0"/>
          <w:sz w:val="28"/>
          <w:szCs w:val="28"/>
          <w:u w:val="single"/>
        </w:rPr>
        <w:t xml:space="preserve">   </w:t>
      </w:r>
      <w:r>
        <w:rPr>
          <w:rFonts w:ascii="宋体" w:hAnsi="宋体"/>
          <w:b/>
          <w:w w:val="99"/>
          <w:kern w:val="0"/>
          <w:sz w:val="28"/>
          <w:szCs w:val="28"/>
        </w:rPr>
        <w:t>（盖单位法人章）</w:t>
      </w:r>
    </w:p>
    <w:p w14:paraId="1747CA39">
      <w:pPr>
        <w:autoSpaceDE w:val="0"/>
        <w:autoSpaceDN w:val="0"/>
        <w:adjustRightInd w:val="0"/>
        <w:snapToGrid w:val="0"/>
        <w:spacing w:line="360" w:lineRule="auto"/>
        <w:jc w:val="center"/>
        <w:rPr>
          <w:rFonts w:ascii="宋体" w:hAnsi="宋体"/>
          <w:b/>
          <w:kern w:val="0"/>
          <w:sz w:val="20"/>
          <w:szCs w:val="20"/>
        </w:rPr>
      </w:pPr>
    </w:p>
    <w:p w14:paraId="3493C507">
      <w:pPr>
        <w:autoSpaceDE w:val="0"/>
        <w:autoSpaceDN w:val="0"/>
        <w:adjustRightInd w:val="0"/>
        <w:snapToGrid w:val="0"/>
        <w:spacing w:line="360" w:lineRule="auto"/>
        <w:jc w:val="center"/>
        <w:rPr>
          <w:rFonts w:ascii="宋体" w:hAnsi="宋体"/>
          <w:b/>
          <w:kern w:val="0"/>
          <w:sz w:val="28"/>
          <w:szCs w:val="28"/>
        </w:rPr>
      </w:pPr>
    </w:p>
    <w:p w14:paraId="3DFCBB97">
      <w:pPr>
        <w:autoSpaceDE w:val="0"/>
        <w:autoSpaceDN w:val="0"/>
        <w:adjustRightInd w:val="0"/>
        <w:snapToGrid w:val="0"/>
        <w:spacing w:line="360" w:lineRule="auto"/>
        <w:jc w:val="center"/>
        <w:rPr>
          <w:rFonts w:ascii="宋体" w:hAnsi="宋体"/>
          <w:b/>
          <w:kern w:val="0"/>
          <w:sz w:val="28"/>
          <w:szCs w:val="28"/>
        </w:rPr>
      </w:pPr>
    </w:p>
    <w:p w14:paraId="3D9D9F8A">
      <w:pPr>
        <w:jc w:val="center"/>
        <w:rPr>
          <w:rFonts w:ascii="宋体" w:hAnsi="宋体"/>
          <w:b/>
          <w:bCs/>
          <w:sz w:val="24"/>
        </w:rPr>
      </w:pPr>
      <w:r>
        <w:rPr>
          <w:rFonts w:ascii="宋体" w:hAnsi="宋体"/>
          <w:b/>
          <w:bCs/>
          <w:sz w:val="24"/>
          <w:u w:val="single"/>
        </w:rPr>
        <w:t>　　　</w:t>
      </w:r>
      <w:r>
        <w:rPr>
          <w:rFonts w:ascii="宋体" w:hAnsi="宋体"/>
          <w:b/>
          <w:bCs/>
          <w:sz w:val="24"/>
        </w:rPr>
        <w:t>年</w:t>
      </w:r>
      <w:r>
        <w:rPr>
          <w:rFonts w:ascii="宋体" w:hAnsi="宋体"/>
          <w:b/>
          <w:bCs/>
          <w:sz w:val="24"/>
          <w:u w:val="single"/>
        </w:rPr>
        <w:t>　　　</w:t>
      </w:r>
      <w:r>
        <w:rPr>
          <w:rFonts w:ascii="宋体" w:hAnsi="宋体"/>
          <w:b/>
          <w:bCs/>
          <w:sz w:val="24"/>
        </w:rPr>
        <w:t>月</w:t>
      </w:r>
      <w:r>
        <w:rPr>
          <w:rFonts w:ascii="宋体" w:hAnsi="宋体"/>
          <w:b/>
          <w:bCs/>
          <w:sz w:val="24"/>
          <w:u w:val="single"/>
        </w:rPr>
        <w:t>　　　</w:t>
      </w:r>
      <w:r>
        <w:rPr>
          <w:rFonts w:ascii="宋体" w:hAnsi="宋体"/>
          <w:b/>
          <w:bCs/>
          <w:sz w:val="24"/>
        </w:rPr>
        <w:t>日</w:t>
      </w:r>
      <w:bookmarkEnd w:id="1"/>
      <w:bookmarkEnd w:id="2"/>
      <w:bookmarkEnd w:id="3"/>
      <w:bookmarkEnd w:id="4"/>
      <w:bookmarkEnd w:id="5"/>
      <w:bookmarkEnd w:id="6"/>
      <w:bookmarkEnd w:id="7"/>
      <w:bookmarkEnd w:id="8"/>
      <w:bookmarkEnd w:id="9"/>
    </w:p>
    <w:p w14:paraId="3BDBEF6B">
      <w:pPr>
        <w:autoSpaceDE w:val="0"/>
        <w:autoSpaceDN w:val="0"/>
        <w:adjustRightInd w:val="0"/>
        <w:snapToGrid w:val="0"/>
        <w:spacing w:line="360" w:lineRule="auto"/>
        <w:jc w:val="center"/>
        <w:rPr>
          <w:rFonts w:ascii="宋体" w:hAnsi="宋体"/>
          <w:b/>
          <w:kern w:val="0"/>
          <w:sz w:val="20"/>
          <w:szCs w:val="20"/>
        </w:rPr>
      </w:pPr>
    </w:p>
    <w:p w14:paraId="3AE9814E">
      <w:pPr>
        <w:pStyle w:val="3"/>
        <w:spacing w:line="360" w:lineRule="auto"/>
        <w:rPr>
          <w:rFonts w:ascii="宋体" w:hAnsi="宋体"/>
          <w:spacing w:val="8"/>
          <w:kern w:val="0"/>
          <w:sz w:val="28"/>
          <w:szCs w:val="28"/>
          <w:u w:val="single"/>
        </w:rPr>
        <w:sectPr>
          <w:footerReference r:id="rId7" w:type="default"/>
          <w:pgSz w:w="11907" w:h="16840"/>
          <w:pgMar w:top="1304" w:right="1134" w:bottom="1304" w:left="1304" w:header="851" w:footer="992" w:gutter="0"/>
          <w:pgNumType w:start="1"/>
          <w:cols w:space="720" w:num="1"/>
          <w:docGrid w:linePitch="312" w:charSpace="0"/>
        </w:sectPr>
      </w:pPr>
    </w:p>
    <w:bookmarkEnd w:id="0"/>
    <w:p w14:paraId="028C50DB">
      <w:pPr>
        <w:pStyle w:val="50"/>
        <w:jc w:val="center"/>
        <w:rPr>
          <w:rFonts w:ascii="宋体" w:hAnsi="宋体"/>
          <w:color w:val="auto"/>
          <w:sz w:val="44"/>
          <w:szCs w:val="44"/>
        </w:rPr>
      </w:pPr>
      <w:bookmarkStart w:id="10" w:name="_Toc15741"/>
      <w:bookmarkStart w:id="11" w:name="_Toc430530414"/>
      <w:r>
        <w:rPr>
          <w:rFonts w:ascii="宋体" w:hAnsi="宋体"/>
          <w:color w:val="auto"/>
          <w:sz w:val="44"/>
          <w:szCs w:val="44"/>
          <w:lang w:val="zh-CN"/>
        </w:rPr>
        <w:t>目</w:t>
      </w:r>
      <w:r>
        <w:rPr>
          <w:rFonts w:hint="eastAsia" w:ascii="宋体" w:hAnsi="宋体"/>
          <w:color w:val="auto"/>
          <w:sz w:val="44"/>
          <w:szCs w:val="44"/>
        </w:rPr>
        <w:t xml:space="preserve"> </w:t>
      </w:r>
      <w:r>
        <w:rPr>
          <w:rFonts w:ascii="宋体" w:hAnsi="宋体"/>
          <w:color w:val="auto"/>
          <w:sz w:val="44"/>
          <w:szCs w:val="44"/>
          <w:lang w:val="zh-CN"/>
        </w:rPr>
        <w:t>录</w:t>
      </w:r>
      <w:bookmarkEnd w:id="10"/>
    </w:p>
    <w:p w14:paraId="622EA582">
      <w:pPr>
        <w:pStyle w:val="22"/>
        <w:tabs>
          <w:tab w:val="right" w:leader="dot" w:pos="9469"/>
        </w:tabs>
      </w:pPr>
      <w:r>
        <w:rPr>
          <w:rFonts w:ascii="宋体" w:hAnsi="宋体"/>
          <w:sz w:val="21"/>
          <w:szCs w:val="21"/>
        </w:rPr>
        <w:fldChar w:fldCharType="begin"/>
      </w:r>
      <w:r>
        <w:rPr>
          <w:rFonts w:ascii="宋体" w:hAnsi="宋体"/>
          <w:sz w:val="21"/>
          <w:szCs w:val="21"/>
        </w:rPr>
        <w:instrText xml:space="preserve"> TOC \o "1-3" \h \z \u </w:instrText>
      </w:r>
      <w:r>
        <w:rPr>
          <w:rFonts w:ascii="宋体" w:hAnsi="宋体"/>
          <w:sz w:val="21"/>
          <w:szCs w:val="21"/>
        </w:rPr>
        <w:fldChar w:fldCharType="separate"/>
      </w:r>
      <w:r>
        <w:rPr>
          <w:rFonts w:ascii="宋体" w:hAnsi="宋体"/>
          <w:szCs w:val="21"/>
        </w:rPr>
        <w:fldChar w:fldCharType="begin"/>
      </w:r>
      <w:r>
        <w:rPr>
          <w:rFonts w:ascii="宋体" w:hAnsi="宋体"/>
          <w:szCs w:val="21"/>
        </w:rPr>
        <w:instrText xml:space="preserve"> HYPERLINK \l _Toc15741 </w:instrText>
      </w:r>
      <w:r>
        <w:rPr>
          <w:rFonts w:ascii="宋体" w:hAnsi="宋体"/>
          <w:szCs w:val="21"/>
        </w:rPr>
        <w:fldChar w:fldCharType="separate"/>
      </w:r>
      <w:r>
        <w:rPr>
          <w:rFonts w:ascii="宋体" w:hAnsi="宋体"/>
          <w:szCs w:val="44"/>
          <w:lang w:val="zh-CN"/>
        </w:rPr>
        <w:t>目</w:t>
      </w:r>
      <w:r>
        <w:rPr>
          <w:rFonts w:hint="eastAsia" w:ascii="宋体" w:hAnsi="宋体"/>
          <w:szCs w:val="44"/>
        </w:rPr>
        <w:t xml:space="preserve"> </w:t>
      </w:r>
      <w:r>
        <w:rPr>
          <w:rFonts w:ascii="宋体" w:hAnsi="宋体"/>
          <w:szCs w:val="44"/>
          <w:lang w:val="zh-CN"/>
        </w:rPr>
        <w:t>录</w:t>
      </w:r>
      <w:r>
        <w:tab/>
      </w:r>
      <w:r>
        <w:fldChar w:fldCharType="begin"/>
      </w:r>
      <w:r>
        <w:instrText xml:space="preserve"> PAGEREF _Toc15741 \h </w:instrText>
      </w:r>
      <w:r>
        <w:fldChar w:fldCharType="separate"/>
      </w:r>
      <w:r>
        <w:t>1</w:t>
      </w:r>
      <w:r>
        <w:fldChar w:fldCharType="end"/>
      </w:r>
      <w:r>
        <w:rPr>
          <w:rFonts w:ascii="宋体" w:hAnsi="宋体"/>
          <w:szCs w:val="21"/>
        </w:rPr>
        <w:fldChar w:fldCharType="end"/>
      </w:r>
    </w:p>
    <w:p w14:paraId="6B6C4E82">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_Toc31826 </w:instrText>
      </w:r>
      <w:r>
        <w:rPr>
          <w:rFonts w:ascii="宋体" w:hAnsi="宋体"/>
          <w:bCs/>
          <w:szCs w:val="21"/>
          <w:lang w:val="zh-CN"/>
        </w:rPr>
        <w:fldChar w:fldCharType="separate"/>
      </w:r>
      <w:r>
        <w:rPr>
          <w:rFonts w:hint="eastAsia" w:ascii="宋体" w:hAnsi="宋体"/>
          <w:szCs w:val="52"/>
        </w:rPr>
        <w:t>第 一 卷</w:t>
      </w:r>
      <w:r>
        <w:tab/>
      </w:r>
      <w:r>
        <w:fldChar w:fldCharType="begin"/>
      </w:r>
      <w:r>
        <w:instrText xml:space="preserve"> PAGEREF _Toc31826 \h </w:instrText>
      </w:r>
      <w:r>
        <w:fldChar w:fldCharType="separate"/>
      </w:r>
      <w:r>
        <w:t>5</w:t>
      </w:r>
      <w:r>
        <w:fldChar w:fldCharType="end"/>
      </w:r>
      <w:r>
        <w:rPr>
          <w:rFonts w:ascii="宋体" w:hAnsi="宋体"/>
          <w:bCs/>
          <w:szCs w:val="21"/>
          <w:lang w:val="zh-CN"/>
        </w:rPr>
        <w:fldChar w:fldCharType="end"/>
      </w:r>
    </w:p>
    <w:p w14:paraId="15496418">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_Toc25158 </w:instrText>
      </w:r>
      <w:r>
        <w:rPr>
          <w:rFonts w:ascii="宋体" w:hAnsi="宋体"/>
          <w:bCs/>
          <w:szCs w:val="21"/>
          <w:lang w:val="zh-CN"/>
        </w:rPr>
        <w:fldChar w:fldCharType="separate"/>
      </w:r>
      <w:r>
        <w:rPr>
          <w:rFonts w:ascii="宋体" w:hAnsi="宋体"/>
          <w:snapToGrid w:val="0"/>
          <w:kern w:val="0"/>
        </w:rPr>
        <w:t>第一章</w:t>
      </w:r>
      <w:r>
        <w:rPr>
          <w:rFonts w:hint="eastAsia" w:ascii="宋体" w:hAnsi="宋体"/>
          <w:snapToGrid w:val="0"/>
          <w:kern w:val="0"/>
        </w:rPr>
        <w:t xml:space="preserve">  </w:t>
      </w:r>
      <w:r>
        <w:rPr>
          <w:rFonts w:ascii="宋体" w:hAnsi="宋体"/>
          <w:snapToGrid w:val="0"/>
          <w:kern w:val="0"/>
        </w:rPr>
        <w:t>招标公告（</w:t>
      </w:r>
      <w:r>
        <w:rPr>
          <w:rFonts w:hint="eastAsia" w:ascii="宋体" w:hAnsi="宋体"/>
          <w:snapToGrid w:val="0"/>
        </w:rPr>
        <w:t>适用于公开招标</w:t>
      </w:r>
      <w:r>
        <w:rPr>
          <w:rFonts w:ascii="宋体" w:hAnsi="宋体"/>
          <w:snapToGrid w:val="0"/>
          <w:kern w:val="0"/>
        </w:rPr>
        <w:t>）</w:t>
      </w:r>
      <w:r>
        <w:tab/>
      </w:r>
      <w:r>
        <w:fldChar w:fldCharType="begin"/>
      </w:r>
      <w:r>
        <w:instrText xml:space="preserve"> PAGEREF _Toc25158 \h </w:instrText>
      </w:r>
      <w:r>
        <w:fldChar w:fldCharType="separate"/>
      </w:r>
      <w:r>
        <w:t>6</w:t>
      </w:r>
      <w:r>
        <w:fldChar w:fldCharType="end"/>
      </w:r>
      <w:r>
        <w:rPr>
          <w:rFonts w:ascii="宋体" w:hAnsi="宋体"/>
          <w:bCs/>
          <w:szCs w:val="21"/>
          <w:lang w:val="zh-CN"/>
        </w:rPr>
        <w:fldChar w:fldCharType="end"/>
      </w:r>
    </w:p>
    <w:p w14:paraId="2915DBA2">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_Toc6401 </w:instrText>
      </w:r>
      <w:r>
        <w:rPr>
          <w:rFonts w:ascii="宋体" w:hAnsi="宋体"/>
          <w:bCs/>
          <w:szCs w:val="21"/>
          <w:lang w:val="zh-CN"/>
        </w:rPr>
        <w:fldChar w:fldCharType="separate"/>
      </w:r>
      <w:r>
        <w:rPr>
          <w:rFonts w:hint="eastAsia" w:ascii="宋体" w:hAnsi="宋体" w:cs="宋体"/>
          <w:snapToGrid w:val="0"/>
        </w:rPr>
        <w:t>1. 招标条件</w:t>
      </w:r>
      <w:r>
        <w:tab/>
      </w:r>
      <w:r>
        <w:fldChar w:fldCharType="begin"/>
      </w:r>
      <w:r>
        <w:instrText xml:space="preserve"> PAGEREF _Toc6401 \h </w:instrText>
      </w:r>
      <w:r>
        <w:fldChar w:fldCharType="separate"/>
      </w:r>
      <w:r>
        <w:t>6</w:t>
      </w:r>
      <w:r>
        <w:fldChar w:fldCharType="end"/>
      </w:r>
      <w:r>
        <w:rPr>
          <w:rFonts w:ascii="宋体" w:hAnsi="宋体"/>
          <w:bCs/>
          <w:szCs w:val="21"/>
          <w:lang w:val="zh-CN"/>
        </w:rPr>
        <w:fldChar w:fldCharType="end"/>
      </w:r>
    </w:p>
    <w:p w14:paraId="4B6B7D12">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_Toc2877 </w:instrText>
      </w:r>
      <w:r>
        <w:rPr>
          <w:rFonts w:ascii="宋体" w:hAnsi="宋体"/>
          <w:bCs/>
          <w:szCs w:val="21"/>
          <w:lang w:val="zh-CN"/>
        </w:rPr>
        <w:fldChar w:fldCharType="separate"/>
      </w:r>
      <w:r>
        <w:rPr>
          <w:rFonts w:hint="eastAsia" w:ascii="宋体" w:hAnsi="宋体" w:cs="宋体"/>
          <w:snapToGrid w:val="0"/>
        </w:rPr>
        <w:t>2. 项目概况与招标范围</w:t>
      </w:r>
      <w:r>
        <w:tab/>
      </w:r>
      <w:r>
        <w:fldChar w:fldCharType="begin"/>
      </w:r>
      <w:r>
        <w:instrText xml:space="preserve"> PAGEREF _Toc2877 \h </w:instrText>
      </w:r>
      <w:r>
        <w:fldChar w:fldCharType="separate"/>
      </w:r>
      <w:r>
        <w:t>6</w:t>
      </w:r>
      <w:r>
        <w:fldChar w:fldCharType="end"/>
      </w:r>
      <w:r>
        <w:rPr>
          <w:rFonts w:ascii="宋体" w:hAnsi="宋体"/>
          <w:bCs/>
          <w:szCs w:val="21"/>
          <w:lang w:val="zh-CN"/>
        </w:rPr>
        <w:fldChar w:fldCharType="end"/>
      </w:r>
    </w:p>
    <w:p w14:paraId="6C32FF90">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_Toc16562 </w:instrText>
      </w:r>
      <w:r>
        <w:rPr>
          <w:rFonts w:ascii="宋体" w:hAnsi="宋体"/>
          <w:bCs/>
          <w:szCs w:val="21"/>
          <w:lang w:val="zh-CN"/>
        </w:rPr>
        <w:fldChar w:fldCharType="separate"/>
      </w:r>
      <w:r>
        <w:rPr>
          <w:rFonts w:hint="eastAsia" w:ascii="宋体" w:hAnsi="宋体" w:cs="宋体"/>
          <w:snapToGrid w:val="0"/>
        </w:rPr>
        <w:t>3. 投标人资格要求</w:t>
      </w:r>
      <w:r>
        <w:tab/>
      </w:r>
      <w:r>
        <w:fldChar w:fldCharType="begin"/>
      </w:r>
      <w:r>
        <w:instrText xml:space="preserve"> PAGEREF _Toc16562 \h </w:instrText>
      </w:r>
      <w:r>
        <w:fldChar w:fldCharType="separate"/>
      </w:r>
      <w:r>
        <w:t>6</w:t>
      </w:r>
      <w:r>
        <w:fldChar w:fldCharType="end"/>
      </w:r>
      <w:r>
        <w:rPr>
          <w:rFonts w:ascii="宋体" w:hAnsi="宋体"/>
          <w:bCs/>
          <w:szCs w:val="21"/>
          <w:lang w:val="zh-CN"/>
        </w:rPr>
        <w:fldChar w:fldCharType="end"/>
      </w:r>
    </w:p>
    <w:p w14:paraId="13CB0A54">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_Toc19848 </w:instrText>
      </w:r>
      <w:r>
        <w:rPr>
          <w:rFonts w:ascii="宋体" w:hAnsi="宋体"/>
          <w:bCs/>
          <w:szCs w:val="21"/>
          <w:lang w:val="zh-CN"/>
        </w:rPr>
        <w:fldChar w:fldCharType="separate"/>
      </w:r>
      <w:r>
        <w:rPr>
          <w:rFonts w:hint="eastAsia" w:ascii="宋体" w:hAnsi="宋体" w:cs="宋体"/>
          <w:snapToGrid w:val="0"/>
        </w:rPr>
        <w:t>4. 招标文件的获取</w:t>
      </w:r>
      <w:r>
        <w:tab/>
      </w:r>
      <w:r>
        <w:fldChar w:fldCharType="begin"/>
      </w:r>
      <w:r>
        <w:instrText xml:space="preserve"> PAGEREF _Toc19848 \h </w:instrText>
      </w:r>
      <w:r>
        <w:fldChar w:fldCharType="separate"/>
      </w:r>
      <w:r>
        <w:t>7</w:t>
      </w:r>
      <w:r>
        <w:fldChar w:fldCharType="end"/>
      </w:r>
      <w:r>
        <w:rPr>
          <w:rFonts w:ascii="宋体" w:hAnsi="宋体"/>
          <w:bCs/>
          <w:szCs w:val="21"/>
          <w:lang w:val="zh-CN"/>
        </w:rPr>
        <w:fldChar w:fldCharType="end"/>
      </w:r>
    </w:p>
    <w:p w14:paraId="048CCBCE">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_Toc27221 </w:instrText>
      </w:r>
      <w:r>
        <w:rPr>
          <w:rFonts w:ascii="宋体" w:hAnsi="宋体"/>
          <w:bCs/>
          <w:szCs w:val="21"/>
          <w:lang w:val="zh-CN"/>
        </w:rPr>
        <w:fldChar w:fldCharType="separate"/>
      </w:r>
      <w:r>
        <w:rPr>
          <w:rFonts w:hint="eastAsia" w:ascii="宋体" w:hAnsi="宋体" w:cs="宋体"/>
          <w:snapToGrid w:val="0"/>
        </w:rPr>
        <w:t>5. 投标文件的递交</w:t>
      </w:r>
      <w:r>
        <w:tab/>
      </w:r>
      <w:r>
        <w:fldChar w:fldCharType="begin"/>
      </w:r>
      <w:r>
        <w:instrText xml:space="preserve"> PAGEREF _Toc27221 \h </w:instrText>
      </w:r>
      <w:r>
        <w:fldChar w:fldCharType="separate"/>
      </w:r>
      <w:r>
        <w:t>7</w:t>
      </w:r>
      <w:r>
        <w:fldChar w:fldCharType="end"/>
      </w:r>
      <w:r>
        <w:rPr>
          <w:rFonts w:ascii="宋体" w:hAnsi="宋体"/>
          <w:bCs/>
          <w:szCs w:val="21"/>
          <w:lang w:val="zh-CN"/>
        </w:rPr>
        <w:fldChar w:fldCharType="end"/>
      </w:r>
    </w:p>
    <w:p w14:paraId="3F38718A">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_Toc10547 </w:instrText>
      </w:r>
      <w:r>
        <w:rPr>
          <w:rFonts w:ascii="宋体" w:hAnsi="宋体"/>
          <w:bCs/>
          <w:szCs w:val="21"/>
          <w:lang w:val="zh-CN"/>
        </w:rPr>
        <w:fldChar w:fldCharType="separate"/>
      </w:r>
      <w:r>
        <w:rPr>
          <w:rFonts w:hint="eastAsia" w:ascii="宋体" w:hAnsi="宋体" w:cs="宋体"/>
          <w:snapToGrid w:val="0"/>
        </w:rPr>
        <w:t>6. 发布公告的媒介</w:t>
      </w:r>
      <w:r>
        <w:tab/>
      </w:r>
      <w:r>
        <w:fldChar w:fldCharType="begin"/>
      </w:r>
      <w:r>
        <w:instrText xml:space="preserve"> PAGEREF _Toc10547 \h </w:instrText>
      </w:r>
      <w:r>
        <w:fldChar w:fldCharType="separate"/>
      </w:r>
      <w:r>
        <w:t>7</w:t>
      </w:r>
      <w:r>
        <w:fldChar w:fldCharType="end"/>
      </w:r>
      <w:r>
        <w:rPr>
          <w:rFonts w:ascii="宋体" w:hAnsi="宋体"/>
          <w:bCs/>
          <w:szCs w:val="21"/>
          <w:lang w:val="zh-CN"/>
        </w:rPr>
        <w:fldChar w:fldCharType="end"/>
      </w:r>
    </w:p>
    <w:p w14:paraId="2B9495DB">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_Toc20281 </w:instrText>
      </w:r>
      <w:r>
        <w:rPr>
          <w:rFonts w:ascii="宋体" w:hAnsi="宋体"/>
          <w:bCs/>
          <w:szCs w:val="21"/>
          <w:lang w:val="zh-CN"/>
        </w:rPr>
        <w:fldChar w:fldCharType="separate"/>
      </w:r>
      <w:r>
        <w:rPr>
          <w:rFonts w:hint="eastAsia" w:ascii="宋体" w:hAnsi="宋体" w:cs="宋体"/>
          <w:snapToGrid w:val="0"/>
        </w:rPr>
        <w:t>7. 异议、投诉</w:t>
      </w:r>
      <w:r>
        <w:tab/>
      </w:r>
      <w:r>
        <w:fldChar w:fldCharType="begin"/>
      </w:r>
      <w:r>
        <w:instrText xml:space="preserve"> PAGEREF _Toc20281 \h </w:instrText>
      </w:r>
      <w:r>
        <w:fldChar w:fldCharType="separate"/>
      </w:r>
      <w:r>
        <w:t>8</w:t>
      </w:r>
      <w:r>
        <w:fldChar w:fldCharType="end"/>
      </w:r>
      <w:r>
        <w:rPr>
          <w:rFonts w:ascii="宋体" w:hAnsi="宋体"/>
          <w:bCs/>
          <w:szCs w:val="21"/>
          <w:lang w:val="zh-CN"/>
        </w:rPr>
        <w:fldChar w:fldCharType="end"/>
      </w:r>
    </w:p>
    <w:p w14:paraId="663C680F">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_Toc3579 </w:instrText>
      </w:r>
      <w:r>
        <w:rPr>
          <w:rFonts w:ascii="宋体" w:hAnsi="宋体"/>
          <w:bCs/>
          <w:szCs w:val="21"/>
          <w:lang w:val="zh-CN"/>
        </w:rPr>
        <w:fldChar w:fldCharType="separate"/>
      </w:r>
      <w:r>
        <w:rPr>
          <w:rFonts w:hint="eastAsia" w:ascii="宋体" w:hAnsi="宋体" w:cs="宋体"/>
          <w:snapToGrid w:val="0"/>
        </w:rPr>
        <w:t>8. 联系方式</w:t>
      </w:r>
      <w:r>
        <w:tab/>
      </w:r>
      <w:r>
        <w:fldChar w:fldCharType="begin"/>
      </w:r>
      <w:r>
        <w:instrText xml:space="preserve"> PAGEREF _Toc3579 \h </w:instrText>
      </w:r>
      <w:r>
        <w:fldChar w:fldCharType="separate"/>
      </w:r>
      <w:r>
        <w:t>8</w:t>
      </w:r>
      <w:r>
        <w:fldChar w:fldCharType="end"/>
      </w:r>
      <w:r>
        <w:rPr>
          <w:rFonts w:ascii="宋体" w:hAnsi="宋体"/>
          <w:bCs/>
          <w:szCs w:val="21"/>
          <w:lang w:val="zh-CN"/>
        </w:rPr>
        <w:fldChar w:fldCharType="end"/>
      </w:r>
    </w:p>
    <w:p w14:paraId="1A630272">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_Toc29991 </w:instrText>
      </w:r>
      <w:r>
        <w:rPr>
          <w:rFonts w:ascii="宋体" w:hAnsi="宋体"/>
          <w:bCs/>
          <w:szCs w:val="21"/>
          <w:lang w:val="zh-CN"/>
        </w:rPr>
        <w:fldChar w:fldCharType="separate"/>
      </w:r>
      <w:r>
        <w:rPr>
          <w:rFonts w:hint="eastAsia" w:ascii="宋体" w:hAnsi="宋体" w:cs="宋体"/>
          <w:snapToGrid w:val="0"/>
        </w:rPr>
        <w:t>第一章  投标邀请书（适用于邀请招标）</w:t>
      </w:r>
      <w:r>
        <w:tab/>
      </w:r>
      <w:r>
        <w:fldChar w:fldCharType="begin"/>
      </w:r>
      <w:r>
        <w:instrText xml:space="preserve"> PAGEREF _Toc29991 \h </w:instrText>
      </w:r>
      <w:r>
        <w:fldChar w:fldCharType="separate"/>
      </w:r>
      <w:r>
        <w:t>9</w:t>
      </w:r>
      <w:r>
        <w:fldChar w:fldCharType="end"/>
      </w:r>
      <w:r>
        <w:rPr>
          <w:rFonts w:ascii="宋体" w:hAnsi="宋体"/>
          <w:bCs/>
          <w:szCs w:val="21"/>
          <w:lang w:val="zh-CN"/>
        </w:rPr>
        <w:fldChar w:fldCharType="end"/>
      </w:r>
    </w:p>
    <w:p w14:paraId="1A89468D">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_Toc29564 </w:instrText>
      </w:r>
      <w:r>
        <w:rPr>
          <w:rFonts w:ascii="宋体" w:hAnsi="宋体"/>
          <w:bCs/>
          <w:szCs w:val="21"/>
          <w:lang w:val="zh-CN"/>
        </w:rPr>
        <w:fldChar w:fldCharType="separate"/>
      </w:r>
      <w:r>
        <w:rPr>
          <w:rFonts w:hint="eastAsia" w:ascii="宋体" w:hAnsi="宋体" w:cs="宋体"/>
          <w:snapToGrid w:val="0"/>
        </w:rPr>
        <w:t>1. 招标条件</w:t>
      </w:r>
      <w:r>
        <w:tab/>
      </w:r>
      <w:r>
        <w:fldChar w:fldCharType="begin"/>
      </w:r>
      <w:r>
        <w:instrText xml:space="preserve"> PAGEREF _Toc29564 \h </w:instrText>
      </w:r>
      <w:r>
        <w:fldChar w:fldCharType="separate"/>
      </w:r>
      <w:r>
        <w:t>9</w:t>
      </w:r>
      <w:r>
        <w:fldChar w:fldCharType="end"/>
      </w:r>
      <w:r>
        <w:rPr>
          <w:rFonts w:ascii="宋体" w:hAnsi="宋体"/>
          <w:bCs/>
          <w:szCs w:val="21"/>
          <w:lang w:val="zh-CN"/>
        </w:rPr>
        <w:fldChar w:fldCharType="end"/>
      </w:r>
    </w:p>
    <w:p w14:paraId="415B60E3">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_Toc16990 </w:instrText>
      </w:r>
      <w:r>
        <w:rPr>
          <w:rFonts w:ascii="宋体" w:hAnsi="宋体"/>
          <w:bCs/>
          <w:szCs w:val="21"/>
          <w:lang w:val="zh-CN"/>
        </w:rPr>
        <w:fldChar w:fldCharType="separate"/>
      </w:r>
      <w:r>
        <w:rPr>
          <w:rFonts w:hint="eastAsia" w:ascii="宋体" w:hAnsi="宋体" w:cs="宋体"/>
          <w:snapToGrid w:val="0"/>
        </w:rPr>
        <w:t>2. 项目概况与招标范围</w:t>
      </w:r>
      <w:r>
        <w:tab/>
      </w:r>
      <w:r>
        <w:fldChar w:fldCharType="begin"/>
      </w:r>
      <w:r>
        <w:instrText xml:space="preserve"> PAGEREF _Toc16990 \h </w:instrText>
      </w:r>
      <w:r>
        <w:fldChar w:fldCharType="separate"/>
      </w:r>
      <w:r>
        <w:t>9</w:t>
      </w:r>
      <w:r>
        <w:fldChar w:fldCharType="end"/>
      </w:r>
      <w:r>
        <w:rPr>
          <w:rFonts w:ascii="宋体" w:hAnsi="宋体"/>
          <w:bCs/>
          <w:szCs w:val="21"/>
          <w:lang w:val="zh-CN"/>
        </w:rPr>
        <w:fldChar w:fldCharType="end"/>
      </w:r>
    </w:p>
    <w:p w14:paraId="676AEBDA">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_Toc1992 </w:instrText>
      </w:r>
      <w:r>
        <w:rPr>
          <w:rFonts w:ascii="宋体" w:hAnsi="宋体"/>
          <w:bCs/>
          <w:szCs w:val="21"/>
          <w:lang w:val="zh-CN"/>
        </w:rPr>
        <w:fldChar w:fldCharType="separate"/>
      </w:r>
      <w:r>
        <w:rPr>
          <w:rFonts w:hint="eastAsia" w:ascii="宋体" w:hAnsi="宋体" w:cs="宋体"/>
          <w:snapToGrid w:val="0"/>
        </w:rPr>
        <w:t>3. 投标人资格要求</w:t>
      </w:r>
      <w:r>
        <w:tab/>
      </w:r>
      <w:r>
        <w:fldChar w:fldCharType="begin"/>
      </w:r>
      <w:r>
        <w:instrText xml:space="preserve"> PAGEREF _Toc1992 \h </w:instrText>
      </w:r>
      <w:r>
        <w:fldChar w:fldCharType="separate"/>
      </w:r>
      <w:r>
        <w:t>10</w:t>
      </w:r>
      <w:r>
        <w:fldChar w:fldCharType="end"/>
      </w:r>
      <w:r>
        <w:rPr>
          <w:rFonts w:ascii="宋体" w:hAnsi="宋体"/>
          <w:bCs/>
          <w:szCs w:val="21"/>
          <w:lang w:val="zh-CN"/>
        </w:rPr>
        <w:fldChar w:fldCharType="end"/>
      </w:r>
    </w:p>
    <w:p w14:paraId="1574946A">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_Toc12876 </w:instrText>
      </w:r>
      <w:r>
        <w:rPr>
          <w:rFonts w:ascii="宋体" w:hAnsi="宋体"/>
          <w:bCs/>
          <w:szCs w:val="21"/>
          <w:lang w:val="zh-CN"/>
        </w:rPr>
        <w:fldChar w:fldCharType="separate"/>
      </w:r>
      <w:r>
        <w:rPr>
          <w:rFonts w:hint="eastAsia" w:ascii="宋体" w:hAnsi="宋体" w:cs="宋体"/>
          <w:snapToGrid w:val="0"/>
        </w:rPr>
        <w:t>4. 招标文件的获取</w:t>
      </w:r>
      <w:r>
        <w:tab/>
      </w:r>
      <w:r>
        <w:fldChar w:fldCharType="begin"/>
      </w:r>
      <w:r>
        <w:instrText xml:space="preserve"> PAGEREF _Toc12876 \h </w:instrText>
      </w:r>
      <w:r>
        <w:fldChar w:fldCharType="separate"/>
      </w:r>
      <w:r>
        <w:t>10</w:t>
      </w:r>
      <w:r>
        <w:fldChar w:fldCharType="end"/>
      </w:r>
      <w:r>
        <w:rPr>
          <w:rFonts w:ascii="宋体" w:hAnsi="宋体"/>
          <w:bCs/>
          <w:szCs w:val="21"/>
          <w:lang w:val="zh-CN"/>
        </w:rPr>
        <w:fldChar w:fldCharType="end"/>
      </w:r>
    </w:p>
    <w:p w14:paraId="3F22EF41">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_Toc20395 </w:instrText>
      </w:r>
      <w:r>
        <w:rPr>
          <w:rFonts w:ascii="宋体" w:hAnsi="宋体"/>
          <w:bCs/>
          <w:szCs w:val="21"/>
          <w:lang w:val="zh-CN"/>
        </w:rPr>
        <w:fldChar w:fldCharType="separate"/>
      </w:r>
      <w:r>
        <w:rPr>
          <w:rFonts w:hint="eastAsia" w:ascii="宋体" w:hAnsi="宋体" w:cs="宋体"/>
          <w:snapToGrid w:val="0"/>
        </w:rPr>
        <w:t>5. 投标文件的递交</w:t>
      </w:r>
      <w:r>
        <w:tab/>
      </w:r>
      <w:r>
        <w:fldChar w:fldCharType="begin"/>
      </w:r>
      <w:r>
        <w:instrText xml:space="preserve"> PAGEREF _Toc20395 \h </w:instrText>
      </w:r>
      <w:r>
        <w:fldChar w:fldCharType="separate"/>
      </w:r>
      <w:r>
        <w:t>10</w:t>
      </w:r>
      <w:r>
        <w:fldChar w:fldCharType="end"/>
      </w:r>
      <w:r>
        <w:rPr>
          <w:rFonts w:ascii="宋体" w:hAnsi="宋体"/>
          <w:bCs/>
          <w:szCs w:val="21"/>
          <w:lang w:val="zh-CN"/>
        </w:rPr>
        <w:fldChar w:fldCharType="end"/>
      </w:r>
    </w:p>
    <w:p w14:paraId="70E45091">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_Toc14652 </w:instrText>
      </w:r>
      <w:r>
        <w:rPr>
          <w:rFonts w:ascii="宋体" w:hAnsi="宋体"/>
          <w:bCs/>
          <w:szCs w:val="21"/>
          <w:lang w:val="zh-CN"/>
        </w:rPr>
        <w:fldChar w:fldCharType="separate"/>
      </w:r>
      <w:r>
        <w:rPr>
          <w:rFonts w:hint="eastAsia" w:ascii="宋体" w:hAnsi="宋体" w:cs="宋体"/>
          <w:snapToGrid w:val="0"/>
        </w:rPr>
        <w:t>6. 确认</w:t>
      </w:r>
      <w:r>
        <w:tab/>
      </w:r>
      <w:r>
        <w:fldChar w:fldCharType="begin"/>
      </w:r>
      <w:r>
        <w:instrText xml:space="preserve"> PAGEREF _Toc14652 \h </w:instrText>
      </w:r>
      <w:r>
        <w:fldChar w:fldCharType="separate"/>
      </w:r>
      <w:r>
        <w:t>10</w:t>
      </w:r>
      <w:r>
        <w:fldChar w:fldCharType="end"/>
      </w:r>
      <w:r>
        <w:rPr>
          <w:rFonts w:ascii="宋体" w:hAnsi="宋体"/>
          <w:bCs/>
          <w:szCs w:val="21"/>
          <w:lang w:val="zh-CN"/>
        </w:rPr>
        <w:fldChar w:fldCharType="end"/>
      </w:r>
    </w:p>
    <w:p w14:paraId="3129CB35">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_Toc11822 </w:instrText>
      </w:r>
      <w:r>
        <w:rPr>
          <w:rFonts w:ascii="宋体" w:hAnsi="宋体"/>
          <w:bCs/>
          <w:szCs w:val="21"/>
          <w:lang w:val="zh-CN"/>
        </w:rPr>
        <w:fldChar w:fldCharType="separate"/>
      </w:r>
      <w:r>
        <w:rPr>
          <w:rFonts w:ascii="宋体" w:hAnsi="宋体" w:cs="宋体"/>
          <w:snapToGrid w:val="0"/>
        </w:rPr>
        <w:t>7</w:t>
      </w:r>
      <w:r>
        <w:rPr>
          <w:rFonts w:hint="eastAsia" w:ascii="宋体" w:hAnsi="宋体" w:cs="宋体"/>
          <w:snapToGrid w:val="0"/>
        </w:rPr>
        <w:t>. 异议投诉</w:t>
      </w:r>
      <w:r>
        <w:tab/>
      </w:r>
      <w:r>
        <w:fldChar w:fldCharType="begin"/>
      </w:r>
      <w:r>
        <w:instrText xml:space="preserve"> PAGEREF _Toc11822 \h </w:instrText>
      </w:r>
      <w:r>
        <w:fldChar w:fldCharType="separate"/>
      </w:r>
      <w:r>
        <w:t>10</w:t>
      </w:r>
      <w:r>
        <w:fldChar w:fldCharType="end"/>
      </w:r>
      <w:r>
        <w:rPr>
          <w:rFonts w:ascii="宋体" w:hAnsi="宋体"/>
          <w:bCs/>
          <w:szCs w:val="21"/>
          <w:lang w:val="zh-CN"/>
        </w:rPr>
        <w:fldChar w:fldCharType="end"/>
      </w:r>
    </w:p>
    <w:p w14:paraId="7233228D">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_Toc5717 </w:instrText>
      </w:r>
      <w:r>
        <w:rPr>
          <w:rFonts w:ascii="宋体" w:hAnsi="宋体"/>
          <w:bCs/>
          <w:szCs w:val="21"/>
          <w:lang w:val="zh-CN"/>
        </w:rPr>
        <w:fldChar w:fldCharType="separate"/>
      </w:r>
      <w:r>
        <w:rPr>
          <w:rFonts w:hint="eastAsia" w:ascii="宋体" w:hAnsi="宋体" w:cs="宋体"/>
          <w:snapToGrid w:val="0"/>
        </w:rPr>
        <w:t>8. 联系方式</w:t>
      </w:r>
      <w:r>
        <w:tab/>
      </w:r>
      <w:r>
        <w:fldChar w:fldCharType="begin"/>
      </w:r>
      <w:r>
        <w:instrText xml:space="preserve"> PAGEREF _Toc5717 \h </w:instrText>
      </w:r>
      <w:r>
        <w:fldChar w:fldCharType="separate"/>
      </w:r>
      <w:r>
        <w:t>11</w:t>
      </w:r>
      <w:r>
        <w:fldChar w:fldCharType="end"/>
      </w:r>
      <w:r>
        <w:rPr>
          <w:rFonts w:ascii="宋体" w:hAnsi="宋体"/>
          <w:bCs/>
          <w:szCs w:val="21"/>
          <w:lang w:val="zh-CN"/>
        </w:rPr>
        <w:fldChar w:fldCharType="end"/>
      </w:r>
    </w:p>
    <w:p w14:paraId="2354730F">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_Toc13593 </w:instrText>
      </w:r>
      <w:r>
        <w:rPr>
          <w:rFonts w:ascii="宋体" w:hAnsi="宋体"/>
          <w:bCs/>
          <w:szCs w:val="21"/>
          <w:lang w:val="zh-CN"/>
        </w:rPr>
        <w:fldChar w:fldCharType="separate"/>
      </w:r>
      <w:r>
        <w:rPr>
          <w:rFonts w:hint="eastAsia" w:ascii="宋体" w:hAnsi="宋体" w:cs="宋体"/>
          <w:snapToGrid w:val="0"/>
        </w:rPr>
        <w:t>第二章  投标人须知</w:t>
      </w:r>
      <w:r>
        <w:tab/>
      </w:r>
      <w:r>
        <w:fldChar w:fldCharType="begin"/>
      </w:r>
      <w:r>
        <w:instrText xml:space="preserve"> PAGEREF _Toc13593 \h </w:instrText>
      </w:r>
      <w:r>
        <w:fldChar w:fldCharType="separate"/>
      </w:r>
      <w:r>
        <w:t>12</w:t>
      </w:r>
      <w:r>
        <w:fldChar w:fldCharType="end"/>
      </w:r>
      <w:r>
        <w:rPr>
          <w:rFonts w:ascii="宋体" w:hAnsi="宋体"/>
          <w:bCs/>
          <w:szCs w:val="21"/>
          <w:lang w:val="zh-CN"/>
        </w:rPr>
        <w:fldChar w:fldCharType="end"/>
      </w:r>
    </w:p>
    <w:p w14:paraId="3EDEECA3">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_Toc3734 </w:instrText>
      </w:r>
      <w:r>
        <w:rPr>
          <w:rFonts w:ascii="宋体" w:hAnsi="宋体"/>
          <w:bCs/>
          <w:szCs w:val="21"/>
          <w:lang w:val="zh-CN"/>
        </w:rPr>
        <w:fldChar w:fldCharType="separate"/>
      </w:r>
      <w:r>
        <w:rPr>
          <w:rFonts w:hint="eastAsia" w:ascii="宋体" w:hAnsi="宋体" w:cs="宋体"/>
          <w:szCs w:val="28"/>
        </w:rPr>
        <w:t>投标人须知前附表</w:t>
      </w:r>
      <w:r>
        <w:tab/>
      </w:r>
      <w:r>
        <w:fldChar w:fldCharType="begin"/>
      </w:r>
      <w:r>
        <w:instrText xml:space="preserve"> PAGEREF _Toc3734 \h </w:instrText>
      </w:r>
      <w:r>
        <w:fldChar w:fldCharType="separate"/>
      </w:r>
      <w:r>
        <w:t>12</w:t>
      </w:r>
      <w:r>
        <w:fldChar w:fldCharType="end"/>
      </w:r>
      <w:r>
        <w:rPr>
          <w:rFonts w:ascii="宋体" w:hAnsi="宋体"/>
          <w:bCs/>
          <w:szCs w:val="21"/>
          <w:lang w:val="zh-CN"/>
        </w:rPr>
        <w:fldChar w:fldCharType="end"/>
      </w:r>
    </w:p>
    <w:p w14:paraId="6CD5CCCB">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_Toc28280 </w:instrText>
      </w:r>
      <w:r>
        <w:rPr>
          <w:rFonts w:ascii="宋体" w:hAnsi="宋体"/>
          <w:bCs/>
          <w:szCs w:val="21"/>
          <w:lang w:val="zh-CN"/>
        </w:rPr>
        <w:fldChar w:fldCharType="separate"/>
      </w:r>
      <w:r>
        <w:rPr>
          <w:rFonts w:hint="eastAsia" w:ascii="宋体" w:hAnsi="宋体" w:cs="宋体"/>
          <w:szCs w:val="28"/>
        </w:rPr>
        <w:t>1. 总则</w:t>
      </w:r>
      <w:r>
        <w:tab/>
      </w:r>
      <w:r>
        <w:fldChar w:fldCharType="begin"/>
      </w:r>
      <w:r>
        <w:instrText xml:space="preserve"> PAGEREF _Toc28280 \h </w:instrText>
      </w:r>
      <w:r>
        <w:fldChar w:fldCharType="separate"/>
      </w:r>
      <w:r>
        <w:t>40</w:t>
      </w:r>
      <w:r>
        <w:fldChar w:fldCharType="end"/>
      </w:r>
      <w:r>
        <w:rPr>
          <w:rFonts w:ascii="宋体" w:hAnsi="宋体"/>
          <w:bCs/>
          <w:szCs w:val="21"/>
          <w:lang w:val="zh-CN"/>
        </w:rPr>
        <w:fldChar w:fldCharType="end"/>
      </w:r>
    </w:p>
    <w:p w14:paraId="15268243">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_Toc8374 </w:instrText>
      </w:r>
      <w:r>
        <w:rPr>
          <w:rFonts w:ascii="宋体" w:hAnsi="宋体"/>
          <w:bCs/>
          <w:i w:val="0"/>
          <w:iCs w:val="0"/>
          <w:szCs w:val="21"/>
          <w:lang w:val="zh-CN"/>
        </w:rPr>
        <w:fldChar w:fldCharType="separate"/>
      </w:r>
      <w:r>
        <w:rPr>
          <w:rFonts w:hint="eastAsia" w:ascii="宋体" w:hAnsi="宋体" w:cs="宋体"/>
          <w:i w:val="0"/>
          <w:iCs w:val="0"/>
          <w:szCs w:val="21"/>
        </w:rPr>
        <w:t>1.1 项目概况</w:t>
      </w:r>
      <w:r>
        <w:rPr>
          <w:i w:val="0"/>
          <w:iCs w:val="0"/>
        </w:rPr>
        <w:tab/>
      </w:r>
      <w:r>
        <w:rPr>
          <w:i w:val="0"/>
          <w:iCs w:val="0"/>
        </w:rPr>
        <w:fldChar w:fldCharType="begin"/>
      </w:r>
      <w:r>
        <w:rPr>
          <w:i w:val="0"/>
          <w:iCs w:val="0"/>
        </w:rPr>
        <w:instrText xml:space="preserve"> PAGEREF _Toc8374 \h </w:instrText>
      </w:r>
      <w:r>
        <w:rPr>
          <w:i w:val="0"/>
          <w:iCs w:val="0"/>
        </w:rPr>
        <w:fldChar w:fldCharType="separate"/>
      </w:r>
      <w:r>
        <w:rPr>
          <w:i w:val="0"/>
          <w:iCs w:val="0"/>
        </w:rPr>
        <w:t>40</w:t>
      </w:r>
      <w:r>
        <w:rPr>
          <w:i w:val="0"/>
          <w:iCs w:val="0"/>
        </w:rPr>
        <w:fldChar w:fldCharType="end"/>
      </w:r>
      <w:r>
        <w:rPr>
          <w:rFonts w:ascii="宋体" w:hAnsi="宋体"/>
          <w:bCs/>
          <w:i w:val="0"/>
          <w:iCs w:val="0"/>
          <w:szCs w:val="21"/>
          <w:lang w:val="zh-CN"/>
        </w:rPr>
        <w:fldChar w:fldCharType="end"/>
      </w:r>
    </w:p>
    <w:p w14:paraId="010E2E0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_Toc3964 </w:instrText>
      </w:r>
      <w:r>
        <w:rPr>
          <w:rFonts w:ascii="宋体" w:hAnsi="宋体"/>
          <w:bCs/>
          <w:i w:val="0"/>
          <w:iCs w:val="0"/>
          <w:szCs w:val="21"/>
          <w:lang w:val="zh-CN"/>
        </w:rPr>
        <w:fldChar w:fldCharType="separate"/>
      </w:r>
      <w:r>
        <w:rPr>
          <w:rFonts w:hint="eastAsia" w:ascii="宋体" w:hAnsi="宋体" w:cs="宋体"/>
          <w:i w:val="0"/>
          <w:iCs w:val="0"/>
          <w:szCs w:val="21"/>
        </w:rPr>
        <w:t>1.2 招标项目的资金来源和落实情况</w:t>
      </w:r>
      <w:r>
        <w:rPr>
          <w:i w:val="0"/>
          <w:iCs w:val="0"/>
        </w:rPr>
        <w:tab/>
      </w:r>
      <w:r>
        <w:rPr>
          <w:i w:val="0"/>
          <w:iCs w:val="0"/>
        </w:rPr>
        <w:fldChar w:fldCharType="begin"/>
      </w:r>
      <w:r>
        <w:rPr>
          <w:i w:val="0"/>
          <w:iCs w:val="0"/>
        </w:rPr>
        <w:instrText xml:space="preserve"> PAGEREF _Toc3964 \h </w:instrText>
      </w:r>
      <w:r>
        <w:rPr>
          <w:i w:val="0"/>
          <w:iCs w:val="0"/>
        </w:rPr>
        <w:fldChar w:fldCharType="separate"/>
      </w:r>
      <w:r>
        <w:rPr>
          <w:i w:val="0"/>
          <w:iCs w:val="0"/>
        </w:rPr>
        <w:t>40</w:t>
      </w:r>
      <w:r>
        <w:rPr>
          <w:i w:val="0"/>
          <w:iCs w:val="0"/>
        </w:rPr>
        <w:fldChar w:fldCharType="end"/>
      </w:r>
      <w:r>
        <w:rPr>
          <w:rFonts w:ascii="宋体" w:hAnsi="宋体"/>
          <w:bCs/>
          <w:i w:val="0"/>
          <w:iCs w:val="0"/>
          <w:szCs w:val="21"/>
          <w:lang w:val="zh-CN"/>
        </w:rPr>
        <w:fldChar w:fldCharType="end"/>
      </w:r>
    </w:p>
    <w:p w14:paraId="3B2E97B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_Toc280 </w:instrText>
      </w:r>
      <w:r>
        <w:rPr>
          <w:rFonts w:ascii="宋体" w:hAnsi="宋体"/>
          <w:bCs/>
          <w:i w:val="0"/>
          <w:iCs w:val="0"/>
          <w:szCs w:val="21"/>
          <w:lang w:val="zh-CN"/>
        </w:rPr>
        <w:fldChar w:fldCharType="separate"/>
      </w:r>
      <w:r>
        <w:rPr>
          <w:rFonts w:hint="eastAsia" w:ascii="宋体" w:hAnsi="宋体" w:cs="宋体"/>
          <w:i w:val="0"/>
          <w:iCs w:val="0"/>
          <w:szCs w:val="21"/>
        </w:rPr>
        <w:t>1.3 招标范围、计划工期、质量要求和安全目标</w:t>
      </w:r>
      <w:r>
        <w:rPr>
          <w:i w:val="0"/>
          <w:iCs w:val="0"/>
        </w:rPr>
        <w:tab/>
      </w:r>
      <w:r>
        <w:rPr>
          <w:i w:val="0"/>
          <w:iCs w:val="0"/>
        </w:rPr>
        <w:fldChar w:fldCharType="begin"/>
      </w:r>
      <w:r>
        <w:rPr>
          <w:i w:val="0"/>
          <w:iCs w:val="0"/>
        </w:rPr>
        <w:instrText xml:space="preserve"> PAGEREF _Toc280 \h </w:instrText>
      </w:r>
      <w:r>
        <w:rPr>
          <w:i w:val="0"/>
          <w:iCs w:val="0"/>
        </w:rPr>
        <w:fldChar w:fldCharType="separate"/>
      </w:r>
      <w:r>
        <w:rPr>
          <w:i w:val="0"/>
          <w:iCs w:val="0"/>
        </w:rPr>
        <w:t>40</w:t>
      </w:r>
      <w:r>
        <w:rPr>
          <w:i w:val="0"/>
          <w:iCs w:val="0"/>
        </w:rPr>
        <w:fldChar w:fldCharType="end"/>
      </w:r>
      <w:r>
        <w:rPr>
          <w:rFonts w:ascii="宋体" w:hAnsi="宋体"/>
          <w:bCs/>
          <w:i w:val="0"/>
          <w:iCs w:val="0"/>
          <w:szCs w:val="21"/>
          <w:lang w:val="zh-CN"/>
        </w:rPr>
        <w:fldChar w:fldCharType="end"/>
      </w:r>
    </w:p>
    <w:p w14:paraId="760B202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_Toc18220 </w:instrText>
      </w:r>
      <w:r>
        <w:rPr>
          <w:rFonts w:ascii="宋体" w:hAnsi="宋体"/>
          <w:bCs/>
          <w:i w:val="0"/>
          <w:iCs w:val="0"/>
          <w:szCs w:val="21"/>
          <w:lang w:val="zh-CN"/>
        </w:rPr>
        <w:fldChar w:fldCharType="separate"/>
      </w:r>
      <w:r>
        <w:rPr>
          <w:rFonts w:hint="eastAsia" w:ascii="宋体" w:hAnsi="宋体" w:cs="宋体"/>
          <w:i w:val="0"/>
          <w:iCs w:val="0"/>
          <w:szCs w:val="21"/>
        </w:rPr>
        <w:t>1.4 投标人资格要求</w:t>
      </w:r>
      <w:r>
        <w:rPr>
          <w:i w:val="0"/>
          <w:iCs w:val="0"/>
        </w:rPr>
        <w:tab/>
      </w:r>
      <w:r>
        <w:rPr>
          <w:i w:val="0"/>
          <w:iCs w:val="0"/>
        </w:rPr>
        <w:fldChar w:fldCharType="begin"/>
      </w:r>
      <w:r>
        <w:rPr>
          <w:i w:val="0"/>
          <w:iCs w:val="0"/>
        </w:rPr>
        <w:instrText xml:space="preserve"> PAGEREF _Toc18220 \h </w:instrText>
      </w:r>
      <w:r>
        <w:rPr>
          <w:i w:val="0"/>
          <w:iCs w:val="0"/>
        </w:rPr>
        <w:fldChar w:fldCharType="separate"/>
      </w:r>
      <w:r>
        <w:rPr>
          <w:i w:val="0"/>
          <w:iCs w:val="0"/>
        </w:rPr>
        <w:t>40</w:t>
      </w:r>
      <w:r>
        <w:rPr>
          <w:i w:val="0"/>
          <w:iCs w:val="0"/>
        </w:rPr>
        <w:fldChar w:fldCharType="end"/>
      </w:r>
      <w:r>
        <w:rPr>
          <w:rFonts w:ascii="宋体" w:hAnsi="宋体"/>
          <w:bCs/>
          <w:i w:val="0"/>
          <w:iCs w:val="0"/>
          <w:szCs w:val="21"/>
          <w:lang w:val="zh-CN"/>
        </w:rPr>
        <w:fldChar w:fldCharType="end"/>
      </w:r>
    </w:p>
    <w:p w14:paraId="45D9A0E4">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_Toc26152 </w:instrText>
      </w:r>
      <w:r>
        <w:rPr>
          <w:rFonts w:ascii="宋体" w:hAnsi="宋体"/>
          <w:bCs/>
          <w:i w:val="0"/>
          <w:iCs w:val="0"/>
          <w:szCs w:val="21"/>
          <w:lang w:val="zh-CN"/>
        </w:rPr>
        <w:fldChar w:fldCharType="separate"/>
      </w:r>
      <w:r>
        <w:rPr>
          <w:rFonts w:hint="eastAsia" w:ascii="宋体" w:hAnsi="宋体" w:cs="宋体"/>
          <w:i w:val="0"/>
          <w:iCs w:val="0"/>
          <w:szCs w:val="21"/>
        </w:rPr>
        <w:t>1.5 费用承担</w:t>
      </w:r>
      <w:r>
        <w:rPr>
          <w:i w:val="0"/>
          <w:iCs w:val="0"/>
        </w:rPr>
        <w:tab/>
      </w:r>
      <w:r>
        <w:rPr>
          <w:i w:val="0"/>
          <w:iCs w:val="0"/>
        </w:rPr>
        <w:fldChar w:fldCharType="begin"/>
      </w:r>
      <w:r>
        <w:rPr>
          <w:i w:val="0"/>
          <w:iCs w:val="0"/>
        </w:rPr>
        <w:instrText xml:space="preserve"> PAGEREF _Toc26152 \h </w:instrText>
      </w:r>
      <w:r>
        <w:rPr>
          <w:i w:val="0"/>
          <w:iCs w:val="0"/>
        </w:rPr>
        <w:fldChar w:fldCharType="separate"/>
      </w:r>
      <w:r>
        <w:rPr>
          <w:i w:val="0"/>
          <w:iCs w:val="0"/>
        </w:rPr>
        <w:t>41</w:t>
      </w:r>
      <w:r>
        <w:rPr>
          <w:i w:val="0"/>
          <w:iCs w:val="0"/>
        </w:rPr>
        <w:fldChar w:fldCharType="end"/>
      </w:r>
      <w:r>
        <w:rPr>
          <w:rFonts w:ascii="宋体" w:hAnsi="宋体"/>
          <w:bCs/>
          <w:i w:val="0"/>
          <w:iCs w:val="0"/>
          <w:szCs w:val="21"/>
          <w:lang w:val="zh-CN"/>
        </w:rPr>
        <w:fldChar w:fldCharType="end"/>
      </w:r>
    </w:p>
    <w:p w14:paraId="6C4D6204">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_Toc12219 </w:instrText>
      </w:r>
      <w:r>
        <w:rPr>
          <w:rFonts w:ascii="宋体" w:hAnsi="宋体"/>
          <w:bCs/>
          <w:i w:val="0"/>
          <w:iCs w:val="0"/>
          <w:szCs w:val="21"/>
          <w:lang w:val="zh-CN"/>
        </w:rPr>
        <w:fldChar w:fldCharType="separate"/>
      </w:r>
      <w:r>
        <w:rPr>
          <w:rFonts w:hint="eastAsia" w:ascii="宋体" w:hAnsi="宋体" w:cs="宋体"/>
          <w:i w:val="0"/>
          <w:iCs w:val="0"/>
          <w:szCs w:val="21"/>
        </w:rPr>
        <w:t>1.6 保密</w:t>
      </w:r>
      <w:r>
        <w:rPr>
          <w:i w:val="0"/>
          <w:iCs w:val="0"/>
        </w:rPr>
        <w:tab/>
      </w:r>
      <w:r>
        <w:rPr>
          <w:i w:val="0"/>
          <w:iCs w:val="0"/>
        </w:rPr>
        <w:fldChar w:fldCharType="begin"/>
      </w:r>
      <w:r>
        <w:rPr>
          <w:i w:val="0"/>
          <w:iCs w:val="0"/>
        </w:rPr>
        <w:instrText xml:space="preserve"> PAGEREF _Toc12219 \h </w:instrText>
      </w:r>
      <w:r>
        <w:rPr>
          <w:i w:val="0"/>
          <w:iCs w:val="0"/>
        </w:rPr>
        <w:fldChar w:fldCharType="separate"/>
      </w:r>
      <w:r>
        <w:rPr>
          <w:i w:val="0"/>
          <w:iCs w:val="0"/>
        </w:rPr>
        <w:t>41</w:t>
      </w:r>
      <w:r>
        <w:rPr>
          <w:i w:val="0"/>
          <w:iCs w:val="0"/>
        </w:rPr>
        <w:fldChar w:fldCharType="end"/>
      </w:r>
      <w:r>
        <w:rPr>
          <w:rFonts w:ascii="宋体" w:hAnsi="宋体"/>
          <w:bCs/>
          <w:i w:val="0"/>
          <w:iCs w:val="0"/>
          <w:szCs w:val="21"/>
          <w:lang w:val="zh-CN"/>
        </w:rPr>
        <w:fldChar w:fldCharType="end"/>
      </w:r>
    </w:p>
    <w:p w14:paraId="796A531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_Toc12511 </w:instrText>
      </w:r>
      <w:r>
        <w:rPr>
          <w:rFonts w:ascii="宋体" w:hAnsi="宋体"/>
          <w:bCs/>
          <w:i w:val="0"/>
          <w:iCs w:val="0"/>
          <w:szCs w:val="21"/>
          <w:lang w:val="zh-CN"/>
        </w:rPr>
        <w:fldChar w:fldCharType="separate"/>
      </w:r>
      <w:r>
        <w:rPr>
          <w:rFonts w:hint="eastAsia" w:ascii="宋体" w:hAnsi="宋体" w:cs="宋体"/>
          <w:i w:val="0"/>
          <w:iCs w:val="0"/>
          <w:szCs w:val="21"/>
        </w:rPr>
        <w:t>1.7 语言文字</w:t>
      </w:r>
      <w:r>
        <w:rPr>
          <w:i w:val="0"/>
          <w:iCs w:val="0"/>
        </w:rPr>
        <w:tab/>
      </w:r>
      <w:r>
        <w:rPr>
          <w:i w:val="0"/>
          <w:iCs w:val="0"/>
        </w:rPr>
        <w:fldChar w:fldCharType="begin"/>
      </w:r>
      <w:r>
        <w:rPr>
          <w:i w:val="0"/>
          <w:iCs w:val="0"/>
        </w:rPr>
        <w:instrText xml:space="preserve"> PAGEREF _Toc12511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14:paraId="4F25B8E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_Toc24454 </w:instrText>
      </w:r>
      <w:r>
        <w:rPr>
          <w:rFonts w:ascii="宋体" w:hAnsi="宋体"/>
          <w:bCs/>
          <w:i w:val="0"/>
          <w:iCs w:val="0"/>
          <w:szCs w:val="21"/>
          <w:lang w:val="zh-CN"/>
        </w:rPr>
        <w:fldChar w:fldCharType="separate"/>
      </w:r>
      <w:r>
        <w:rPr>
          <w:rFonts w:hint="eastAsia" w:ascii="宋体" w:hAnsi="宋体" w:cs="宋体"/>
          <w:i w:val="0"/>
          <w:iCs w:val="0"/>
          <w:szCs w:val="21"/>
        </w:rPr>
        <w:t>1.8 计量单位</w:t>
      </w:r>
      <w:r>
        <w:rPr>
          <w:i w:val="0"/>
          <w:iCs w:val="0"/>
        </w:rPr>
        <w:tab/>
      </w:r>
      <w:r>
        <w:rPr>
          <w:i w:val="0"/>
          <w:iCs w:val="0"/>
        </w:rPr>
        <w:fldChar w:fldCharType="begin"/>
      </w:r>
      <w:r>
        <w:rPr>
          <w:i w:val="0"/>
          <w:iCs w:val="0"/>
        </w:rPr>
        <w:instrText xml:space="preserve"> PAGEREF _Toc24454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14:paraId="7E6B911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_Toc6731 </w:instrText>
      </w:r>
      <w:r>
        <w:rPr>
          <w:rFonts w:ascii="宋体" w:hAnsi="宋体"/>
          <w:bCs/>
          <w:i w:val="0"/>
          <w:iCs w:val="0"/>
          <w:szCs w:val="21"/>
          <w:lang w:val="zh-CN"/>
        </w:rPr>
        <w:fldChar w:fldCharType="separate"/>
      </w:r>
      <w:r>
        <w:rPr>
          <w:rFonts w:hint="eastAsia" w:ascii="宋体" w:hAnsi="宋体" w:cs="宋体"/>
          <w:i w:val="0"/>
          <w:iCs w:val="0"/>
          <w:szCs w:val="21"/>
        </w:rPr>
        <w:t>1.9 踏勘现场</w:t>
      </w:r>
      <w:r>
        <w:rPr>
          <w:i w:val="0"/>
          <w:iCs w:val="0"/>
        </w:rPr>
        <w:tab/>
      </w:r>
      <w:r>
        <w:rPr>
          <w:i w:val="0"/>
          <w:iCs w:val="0"/>
        </w:rPr>
        <w:fldChar w:fldCharType="begin"/>
      </w:r>
      <w:r>
        <w:rPr>
          <w:i w:val="0"/>
          <w:iCs w:val="0"/>
        </w:rPr>
        <w:instrText xml:space="preserve"> PAGEREF _Toc6731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14:paraId="165AB39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_Toc16129 </w:instrText>
      </w:r>
      <w:r>
        <w:rPr>
          <w:rFonts w:ascii="宋体" w:hAnsi="宋体"/>
          <w:bCs/>
          <w:i w:val="0"/>
          <w:iCs w:val="0"/>
          <w:szCs w:val="21"/>
          <w:lang w:val="zh-CN"/>
        </w:rPr>
        <w:fldChar w:fldCharType="separate"/>
      </w:r>
      <w:r>
        <w:rPr>
          <w:rFonts w:hint="eastAsia" w:ascii="宋体" w:hAnsi="宋体" w:cs="宋体"/>
          <w:i w:val="0"/>
          <w:iCs w:val="0"/>
          <w:szCs w:val="21"/>
        </w:rPr>
        <w:t>1.10 投标预备会</w:t>
      </w:r>
      <w:r>
        <w:rPr>
          <w:i w:val="0"/>
          <w:iCs w:val="0"/>
        </w:rPr>
        <w:tab/>
      </w:r>
      <w:r>
        <w:rPr>
          <w:i w:val="0"/>
          <w:iCs w:val="0"/>
        </w:rPr>
        <w:fldChar w:fldCharType="begin"/>
      </w:r>
      <w:r>
        <w:rPr>
          <w:i w:val="0"/>
          <w:iCs w:val="0"/>
        </w:rPr>
        <w:instrText xml:space="preserve"> PAGEREF _Toc16129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14:paraId="5C8C7C0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_Toc5692 </w:instrText>
      </w:r>
      <w:r>
        <w:rPr>
          <w:rFonts w:ascii="宋体" w:hAnsi="宋体"/>
          <w:bCs/>
          <w:i w:val="0"/>
          <w:iCs w:val="0"/>
          <w:szCs w:val="21"/>
          <w:lang w:val="zh-CN"/>
        </w:rPr>
        <w:fldChar w:fldCharType="separate"/>
      </w:r>
      <w:r>
        <w:rPr>
          <w:rFonts w:hint="eastAsia" w:ascii="宋体" w:hAnsi="宋体" w:cs="宋体"/>
          <w:i w:val="0"/>
          <w:iCs w:val="0"/>
          <w:szCs w:val="21"/>
        </w:rPr>
        <w:t>1.11 分包</w:t>
      </w:r>
      <w:r>
        <w:rPr>
          <w:i w:val="0"/>
          <w:iCs w:val="0"/>
        </w:rPr>
        <w:tab/>
      </w:r>
      <w:r>
        <w:rPr>
          <w:i w:val="0"/>
          <w:iCs w:val="0"/>
        </w:rPr>
        <w:fldChar w:fldCharType="begin"/>
      </w:r>
      <w:r>
        <w:rPr>
          <w:i w:val="0"/>
          <w:iCs w:val="0"/>
        </w:rPr>
        <w:instrText xml:space="preserve"> PAGEREF _Toc5692 \h </w:instrText>
      </w:r>
      <w:r>
        <w:rPr>
          <w:i w:val="0"/>
          <w:iCs w:val="0"/>
        </w:rPr>
        <w:fldChar w:fldCharType="separate"/>
      </w:r>
      <w:r>
        <w:rPr>
          <w:i w:val="0"/>
          <w:iCs w:val="0"/>
        </w:rPr>
        <w:t>42</w:t>
      </w:r>
      <w:r>
        <w:rPr>
          <w:i w:val="0"/>
          <w:iCs w:val="0"/>
        </w:rPr>
        <w:fldChar w:fldCharType="end"/>
      </w:r>
      <w:r>
        <w:rPr>
          <w:rFonts w:ascii="宋体" w:hAnsi="宋体"/>
          <w:bCs/>
          <w:i w:val="0"/>
          <w:iCs w:val="0"/>
          <w:szCs w:val="21"/>
          <w:lang w:val="zh-CN"/>
        </w:rPr>
        <w:fldChar w:fldCharType="end"/>
      </w:r>
    </w:p>
    <w:p w14:paraId="4217D4C3">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_Toc13092 </w:instrText>
      </w:r>
      <w:r>
        <w:rPr>
          <w:rFonts w:ascii="宋体" w:hAnsi="宋体"/>
          <w:bCs/>
          <w:i w:val="0"/>
          <w:iCs w:val="0"/>
          <w:szCs w:val="21"/>
          <w:lang w:val="zh-CN"/>
        </w:rPr>
        <w:fldChar w:fldCharType="separate"/>
      </w:r>
      <w:r>
        <w:rPr>
          <w:rFonts w:hint="eastAsia" w:ascii="宋体" w:hAnsi="宋体" w:cs="宋体"/>
          <w:i w:val="0"/>
          <w:iCs w:val="0"/>
          <w:szCs w:val="21"/>
        </w:rPr>
        <w:t>1.12 响应和偏差</w:t>
      </w:r>
      <w:r>
        <w:rPr>
          <w:i w:val="0"/>
          <w:iCs w:val="0"/>
        </w:rPr>
        <w:tab/>
      </w:r>
      <w:r>
        <w:rPr>
          <w:i w:val="0"/>
          <w:iCs w:val="0"/>
        </w:rPr>
        <w:fldChar w:fldCharType="begin"/>
      </w:r>
      <w:r>
        <w:rPr>
          <w:i w:val="0"/>
          <w:iCs w:val="0"/>
        </w:rPr>
        <w:instrText xml:space="preserve"> PAGEREF _Toc13092 \h </w:instrText>
      </w:r>
      <w:r>
        <w:rPr>
          <w:i w:val="0"/>
          <w:iCs w:val="0"/>
        </w:rPr>
        <w:fldChar w:fldCharType="separate"/>
      </w:r>
      <w:r>
        <w:rPr>
          <w:i w:val="0"/>
          <w:iCs w:val="0"/>
        </w:rPr>
        <w:t>43</w:t>
      </w:r>
      <w:r>
        <w:rPr>
          <w:i w:val="0"/>
          <w:iCs w:val="0"/>
        </w:rPr>
        <w:fldChar w:fldCharType="end"/>
      </w:r>
      <w:r>
        <w:rPr>
          <w:rFonts w:ascii="宋体" w:hAnsi="宋体"/>
          <w:bCs/>
          <w:i w:val="0"/>
          <w:iCs w:val="0"/>
          <w:szCs w:val="21"/>
          <w:lang w:val="zh-CN"/>
        </w:rPr>
        <w:fldChar w:fldCharType="end"/>
      </w:r>
    </w:p>
    <w:p w14:paraId="0B23BDEF">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_Toc23696 </w:instrText>
      </w:r>
      <w:r>
        <w:rPr>
          <w:rFonts w:ascii="宋体" w:hAnsi="宋体"/>
          <w:bCs/>
          <w:szCs w:val="21"/>
          <w:lang w:val="zh-CN"/>
        </w:rPr>
        <w:fldChar w:fldCharType="separate"/>
      </w:r>
      <w:r>
        <w:rPr>
          <w:rFonts w:hint="eastAsia" w:ascii="宋体" w:hAnsi="宋体" w:cs="宋体"/>
          <w:szCs w:val="28"/>
        </w:rPr>
        <w:t>2. 招标文件</w:t>
      </w:r>
      <w:r>
        <w:tab/>
      </w:r>
      <w:r>
        <w:fldChar w:fldCharType="begin"/>
      </w:r>
      <w:r>
        <w:instrText xml:space="preserve"> PAGEREF _Toc23696 \h </w:instrText>
      </w:r>
      <w:r>
        <w:fldChar w:fldCharType="separate"/>
      </w:r>
      <w:r>
        <w:t>43</w:t>
      </w:r>
      <w:r>
        <w:fldChar w:fldCharType="end"/>
      </w:r>
      <w:r>
        <w:rPr>
          <w:rFonts w:ascii="宋体" w:hAnsi="宋体"/>
          <w:bCs/>
          <w:szCs w:val="21"/>
          <w:lang w:val="zh-CN"/>
        </w:rPr>
        <w:fldChar w:fldCharType="end"/>
      </w:r>
    </w:p>
    <w:p w14:paraId="399B19D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_Toc26641 </w:instrText>
      </w:r>
      <w:r>
        <w:rPr>
          <w:rFonts w:ascii="宋体" w:hAnsi="宋体"/>
          <w:bCs/>
          <w:i w:val="0"/>
          <w:iCs w:val="0"/>
          <w:szCs w:val="21"/>
          <w:lang w:val="zh-CN"/>
        </w:rPr>
        <w:fldChar w:fldCharType="separate"/>
      </w:r>
      <w:r>
        <w:rPr>
          <w:rFonts w:hint="eastAsia" w:ascii="宋体" w:hAnsi="宋体" w:cs="宋体"/>
          <w:i w:val="0"/>
          <w:iCs w:val="0"/>
          <w:szCs w:val="21"/>
        </w:rPr>
        <w:t>2.1 招标文件的组成</w:t>
      </w:r>
      <w:r>
        <w:rPr>
          <w:i w:val="0"/>
          <w:iCs w:val="0"/>
        </w:rPr>
        <w:tab/>
      </w:r>
      <w:r>
        <w:rPr>
          <w:i w:val="0"/>
          <w:iCs w:val="0"/>
        </w:rPr>
        <w:fldChar w:fldCharType="begin"/>
      </w:r>
      <w:r>
        <w:rPr>
          <w:i w:val="0"/>
          <w:iCs w:val="0"/>
        </w:rPr>
        <w:instrText xml:space="preserve"> PAGEREF _Toc26641 \h </w:instrText>
      </w:r>
      <w:r>
        <w:rPr>
          <w:i w:val="0"/>
          <w:iCs w:val="0"/>
        </w:rPr>
        <w:fldChar w:fldCharType="separate"/>
      </w:r>
      <w:r>
        <w:rPr>
          <w:i w:val="0"/>
          <w:iCs w:val="0"/>
        </w:rPr>
        <w:t>43</w:t>
      </w:r>
      <w:r>
        <w:rPr>
          <w:i w:val="0"/>
          <w:iCs w:val="0"/>
        </w:rPr>
        <w:fldChar w:fldCharType="end"/>
      </w:r>
      <w:r>
        <w:rPr>
          <w:rFonts w:ascii="宋体" w:hAnsi="宋体"/>
          <w:bCs/>
          <w:i w:val="0"/>
          <w:iCs w:val="0"/>
          <w:szCs w:val="21"/>
          <w:lang w:val="zh-CN"/>
        </w:rPr>
        <w:fldChar w:fldCharType="end"/>
      </w:r>
    </w:p>
    <w:p w14:paraId="0584FB6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_Toc21941 </w:instrText>
      </w:r>
      <w:r>
        <w:rPr>
          <w:rFonts w:ascii="宋体" w:hAnsi="宋体"/>
          <w:bCs/>
          <w:i w:val="0"/>
          <w:iCs w:val="0"/>
          <w:szCs w:val="21"/>
          <w:lang w:val="zh-CN"/>
        </w:rPr>
        <w:fldChar w:fldCharType="separate"/>
      </w:r>
      <w:r>
        <w:rPr>
          <w:rFonts w:hint="eastAsia" w:ascii="宋体" w:hAnsi="宋体" w:cs="宋体"/>
          <w:i w:val="0"/>
          <w:iCs w:val="0"/>
          <w:szCs w:val="21"/>
        </w:rPr>
        <w:t>2.2 招标文件的澄清</w:t>
      </w:r>
      <w:r>
        <w:rPr>
          <w:i w:val="0"/>
          <w:iCs w:val="0"/>
        </w:rPr>
        <w:tab/>
      </w:r>
      <w:r>
        <w:rPr>
          <w:i w:val="0"/>
          <w:iCs w:val="0"/>
        </w:rPr>
        <w:fldChar w:fldCharType="begin"/>
      </w:r>
      <w:r>
        <w:rPr>
          <w:i w:val="0"/>
          <w:iCs w:val="0"/>
        </w:rPr>
        <w:instrText xml:space="preserve"> PAGEREF _Toc21941 \h </w:instrText>
      </w:r>
      <w:r>
        <w:rPr>
          <w:i w:val="0"/>
          <w:iCs w:val="0"/>
        </w:rPr>
        <w:fldChar w:fldCharType="separate"/>
      </w:r>
      <w:r>
        <w:rPr>
          <w:i w:val="0"/>
          <w:iCs w:val="0"/>
        </w:rPr>
        <w:t>44</w:t>
      </w:r>
      <w:r>
        <w:rPr>
          <w:i w:val="0"/>
          <w:iCs w:val="0"/>
        </w:rPr>
        <w:fldChar w:fldCharType="end"/>
      </w:r>
      <w:r>
        <w:rPr>
          <w:rFonts w:ascii="宋体" w:hAnsi="宋体"/>
          <w:bCs/>
          <w:i w:val="0"/>
          <w:iCs w:val="0"/>
          <w:szCs w:val="21"/>
          <w:lang w:val="zh-CN"/>
        </w:rPr>
        <w:fldChar w:fldCharType="end"/>
      </w:r>
    </w:p>
    <w:p w14:paraId="5309156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_Toc9731 </w:instrText>
      </w:r>
      <w:r>
        <w:rPr>
          <w:rFonts w:ascii="宋体" w:hAnsi="宋体"/>
          <w:bCs/>
          <w:i w:val="0"/>
          <w:iCs w:val="0"/>
          <w:szCs w:val="21"/>
          <w:lang w:val="zh-CN"/>
        </w:rPr>
        <w:fldChar w:fldCharType="separate"/>
      </w:r>
      <w:r>
        <w:rPr>
          <w:rFonts w:hint="eastAsia" w:ascii="宋体" w:hAnsi="宋体" w:cs="宋体"/>
          <w:i w:val="0"/>
          <w:iCs w:val="0"/>
          <w:szCs w:val="21"/>
        </w:rPr>
        <w:t>2.3 招标文件的修改</w:t>
      </w:r>
      <w:r>
        <w:rPr>
          <w:i w:val="0"/>
          <w:iCs w:val="0"/>
        </w:rPr>
        <w:tab/>
      </w:r>
      <w:r>
        <w:rPr>
          <w:i w:val="0"/>
          <w:iCs w:val="0"/>
        </w:rPr>
        <w:fldChar w:fldCharType="begin"/>
      </w:r>
      <w:r>
        <w:rPr>
          <w:i w:val="0"/>
          <w:iCs w:val="0"/>
        </w:rPr>
        <w:instrText xml:space="preserve"> PAGEREF _Toc9731 \h </w:instrText>
      </w:r>
      <w:r>
        <w:rPr>
          <w:i w:val="0"/>
          <w:iCs w:val="0"/>
        </w:rPr>
        <w:fldChar w:fldCharType="separate"/>
      </w:r>
      <w:r>
        <w:rPr>
          <w:i w:val="0"/>
          <w:iCs w:val="0"/>
        </w:rPr>
        <w:t>44</w:t>
      </w:r>
      <w:r>
        <w:rPr>
          <w:i w:val="0"/>
          <w:iCs w:val="0"/>
        </w:rPr>
        <w:fldChar w:fldCharType="end"/>
      </w:r>
      <w:r>
        <w:rPr>
          <w:rFonts w:ascii="宋体" w:hAnsi="宋体"/>
          <w:bCs/>
          <w:i w:val="0"/>
          <w:iCs w:val="0"/>
          <w:szCs w:val="21"/>
          <w:lang w:val="zh-CN"/>
        </w:rPr>
        <w:fldChar w:fldCharType="end"/>
      </w:r>
    </w:p>
    <w:p w14:paraId="5F6F2A1C">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_Toc19542 </w:instrText>
      </w:r>
      <w:r>
        <w:rPr>
          <w:rFonts w:ascii="宋体" w:hAnsi="宋体"/>
          <w:bCs/>
          <w:szCs w:val="21"/>
          <w:lang w:val="zh-CN"/>
        </w:rPr>
        <w:fldChar w:fldCharType="separate"/>
      </w:r>
      <w:r>
        <w:rPr>
          <w:rFonts w:hint="eastAsia" w:ascii="宋体" w:hAnsi="宋体" w:cs="宋体"/>
          <w:szCs w:val="28"/>
        </w:rPr>
        <w:t>3. 投标文件</w:t>
      </w:r>
      <w:r>
        <w:tab/>
      </w:r>
      <w:r>
        <w:fldChar w:fldCharType="begin"/>
      </w:r>
      <w:r>
        <w:instrText xml:space="preserve"> PAGEREF _Toc19542 \h </w:instrText>
      </w:r>
      <w:r>
        <w:fldChar w:fldCharType="separate"/>
      </w:r>
      <w:r>
        <w:t>44</w:t>
      </w:r>
      <w:r>
        <w:fldChar w:fldCharType="end"/>
      </w:r>
      <w:r>
        <w:rPr>
          <w:rFonts w:ascii="宋体" w:hAnsi="宋体"/>
          <w:bCs/>
          <w:szCs w:val="21"/>
          <w:lang w:val="zh-CN"/>
        </w:rPr>
        <w:fldChar w:fldCharType="end"/>
      </w:r>
    </w:p>
    <w:p w14:paraId="2DA8A6A5">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_Toc10969 </w:instrText>
      </w:r>
      <w:r>
        <w:rPr>
          <w:rFonts w:ascii="宋体" w:hAnsi="宋体"/>
          <w:bCs/>
          <w:i w:val="0"/>
          <w:iCs w:val="0"/>
          <w:szCs w:val="21"/>
          <w:lang w:val="zh-CN"/>
        </w:rPr>
        <w:fldChar w:fldCharType="separate"/>
      </w:r>
      <w:r>
        <w:rPr>
          <w:rFonts w:hint="eastAsia" w:ascii="宋体" w:hAnsi="宋体" w:cs="宋体"/>
          <w:i w:val="0"/>
          <w:iCs w:val="0"/>
          <w:szCs w:val="21"/>
        </w:rPr>
        <w:t>3.1投标文件的组成</w:t>
      </w:r>
      <w:r>
        <w:rPr>
          <w:i w:val="0"/>
          <w:iCs w:val="0"/>
        </w:rPr>
        <w:tab/>
      </w:r>
      <w:r>
        <w:rPr>
          <w:i w:val="0"/>
          <w:iCs w:val="0"/>
        </w:rPr>
        <w:fldChar w:fldCharType="begin"/>
      </w:r>
      <w:r>
        <w:rPr>
          <w:i w:val="0"/>
          <w:iCs w:val="0"/>
        </w:rPr>
        <w:instrText xml:space="preserve"> PAGEREF _Toc10969 \h </w:instrText>
      </w:r>
      <w:r>
        <w:rPr>
          <w:i w:val="0"/>
          <w:iCs w:val="0"/>
        </w:rPr>
        <w:fldChar w:fldCharType="separate"/>
      </w:r>
      <w:r>
        <w:rPr>
          <w:i w:val="0"/>
          <w:iCs w:val="0"/>
        </w:rPr>
        <w:t>44</w:t>
      </w:r>
      <w:r>
        <w:rPr>
          <w:i w:val="0"/>
          <w:iCs w:val="0"/>
        </w:rPr>
        <w:fldChar w:fldCharType="end"/>
      </w:r>
      <w:r>
        <w:rPr>
          <w:rFonts w:ascii="宋体" w:hAnsi="宋体"/>
          <w:bCs/>
          <w:i w:val="0"/>
          <w:iCs w:val="0"/>
          <w:szCs w:val="21"/>
          <w:lang w:val="zh-CN"/>
        </w:rPr>
        <w:fldChar w:fldCharType="end"/>
      </w:r>
    </w:p>
    <w:p w14:paraId="48DB414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_Toc5453 </w:instrText>
      </w:r>
      <w:r>
        <w:rPr>
          <w:rFonts w:ascii="宋体" w:hAnsi="宋体"/>
          <w:bCs/>
          <w:i w:val="0"/>
          <w:iCs w:val="0"/>
          <w:szCs w:val="21"/>
          <w:lang w:val="zh-CN"/>
        </w:rPr>
        <w:fldChar w:fldCharType="separate"/>
      </w:r>
      <w:r>
        <w:rPr>
          <w:rFonts w:hint="eastAsia" w:ascii="宋体" w:hAnsi="宋体" w:cs="宋体"/>
          <w:i w:val="0"/>
          <w:iCs w:val="0"/>
          <w:szCs w:val="21"/>
        </w:rPr>
        <w:t>3.2 投标报价</w:t>
      </w:r>
      <w:r>
        <w:rPr>
          <w:i w:val="0"/>
          <w:iCs w:val="0"/>
        </w:rPr>
        <w:tab/>
      </w:r>
      <w:r>
        <w:rPr>
          <w:i w:val="0"/>
          <w:iCs w:val="0"/>
        </w:rPr>
        <w:fldChar w:fldCharType="begin"/>
      </w:r>
      <w:r>
        <w:rPr>
          <w:i w:val="0"/>
          <w:iCs w:val="0"/>
        </w:rPr>
        <w:instrText xml:space="preserve"> PAGEREF _Toc5453 \h </w:instrText>
      </w:r>
      <w:r>
        <w:rPr>
          <w:i w:val="0"/>
          <w:iCs w:val="0"/>
        </w:rPr>
        <w:fldChar w:fldCharType="separate"/>
      </w:r>
      <w:r>
        <w:rPr>
          <w:i w:val="0"/>
          <w:iCs w:val="0"/>
        </w:rPr>
        <w:t>45</w:t>
      </w:r>
      <w:r>
        <w:rPr>
          <w:i w:val="0"/>
          <w:iCs w:val="0"/>
        </w:rPr>
        <w:fldChar w:fldCharType="end"/>
      </w:r>
      <w:r>
        <w:rPr>
          <w:rFonts w:ascii="宋体" w:hAnsi="宋体"/>
          <w:bCs/>
          <w:i w:val="0"/>
          <w:iCs w:val="0"/>
          <w:szCs w:val="21"/>
          <w:lang w:val="zh-CN"/>
        </w:rPr>
        <w:fldChar w:fldCharType="end"/>
      </w:r>
    </w:p>
    <w:p w14:paraId="0F9F75A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_Toc5290 </w:instrText>
      </w:r>
      <w:r>
        <w:rPr>
          <w:rFonts w:ascii="宋体" w:hAnsi="宋体"/>
          <w:bCs/>
          <w:i w:val="0"/>
          <w:iCs w:val="0"/>
          <w:szCs w:val="21"/>
          <w:lang w:val="zh-CN"/>
        </w:rPr>
        <w:fldChar w:fldCharType="separate"/>
      </w:r>
      <w:r>
        <w:rPr>
          <w:rFonts w:hint="eastAsia" w:ascii="宋体" w:hAnsi="宋体" w:cs="宋体"/>
          <w:i w:val="0"/>
          <w:iCs w:val="0"/>
          <w:szCs w:val="21"/>
        </w:rPr>
        <w:t>3.3投标有效期</w:t>
      </w:r>
      <w:r>
        <w:rPr>
          <w:i w:val="0"/>
          <w:iCs w:val="0"/>
        </w:rPr>
        <w:tab/>
      </w:r>
      <w:r>
        <w:rPr>
          <w:i w:val="0"/>
          <w:iCs w:val="0"/>
        </w:rPr>
        <w:fldChar w:fldCharType="begin"/>
      </w:r>
      <w:r>
        <w:rPr>
          <w:i w:val="0"/>
          <w:iCs w:val="0"/>
        </w:rPr>
        <w:instrText xml:space="preserve"> PAGEREF _Toc5290 \h </w:instrText>
      </w:r>
      <w:r>
        <w:rPr>
          <w:i w:val="0"/>
          <w:iCs w:val="0"/>
        </w:rPr>
        <w:fldChar w:fldCharType="separate"/>
      </w:r>
      <w:r>
        <w:rPr>
          <w:i w:val="0"/>
          <w:iCs w:val="0"/>
        </w:rPr>
        <w:t>46</w:t>
      </w:r>
      <w:r>
        <w:rPr>
          <w:i w:val="0"/>
          <w:iCs w:val="0"/>
        </w:rPr>
        <w:fldChar w:fldCharType="end"/>
      </w:r>
      <w:r>
        <w:rPr>
          <w:rFonts w:ascii="宋体" w:hAnsi="宋体"/>
          <w:bCs/>
          <w:i w:val="0"/>
          <w:iCs w:val="0"/>
          <w:szCs w:val="21"/>
          <w:lang w:val="zh-CN"/>
        </w:rPr>
        <w:fldChar w:fldCharType="end"/>
      </w:r>
    </w:p>
    <w:p w14:paraId="04D6EAAE">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_Toc10323 </w:instrText>
      </w:r>
      <w:r>
        <w:rPr>
          <w:rFonts w:ascii="宋体" w:hAnsi="宋体"/>
          <w:bCs/>
          <w:i w:val="0"/>
          <w:iCs w:val="0"/>
          <w:szCs w:val="21"/>
          <w:lang w:val="zh-CN"/>
        </w:rPr>
        <w:fldChar w:fldCharType="separate"/>
      </w:r>
      <w:r>
        <w:rPr>
          <w:rFonts w:hint="eastAsia" w:ascii="宋体" w:hAnsi="宋体" w:cs="宋体"/>
          <w:i w:val="0"/>
          <w:iCs w:val="0"/>
          <w:szCs w:val="21"/>
        </w:rPr>
        <w:t>3.4 投标保证金</w:t>
      </w:r>
      <w:r>
        <w:rPr>
          <w:i w:val="0"/>
          <w:iCs w:val="0"/>
        </w:rPr>
        <w:tab/>
      </w:r>
      <w:r>
        <w:rPr>
          <w:i w:val="0"/>
          <w:iCs w:val="0"/>
        </w:rPr>
        <w:fldChar w:fldCharType="begin"/>
      </w:r>
      <w:r>
        <w:rPr>
          <w:i w:val="0"/>
          <w:iCs w:val="0"/>
        </w:rPr>
        <w:instrText xml:space="preserve"> PAGEREF _Toc10323 \h </w:instrText>
      </w:r>
      <w:r>
        <w:rPr>
          <w:i w:val="0"/>
          <w:iCs w:val="0"/>
        </w:rPr>
        <w:fldChar w:fldCharType="separate"/>
      </w:r>
      <w:r>
        <w:rPr>
          <w:i w:val="0"/>
          <w:iCs w:val="0"/>
        </w:rPr>
        <w:t>46</w:t>
      </w:r>
      <w:r>
        <w:rPr>
          <w:i w:val="0"/>
          <w:iCs w:val="0"/>
        </w:rPr>
        <w:fldChar w:fldCharType="end"/>
      </w:r>
      <w:r>
        <w:rPr>
          <w:rFonts w:ascii="宋体" w:hAnsi="宋体"/>
          <w:bCs/>
          <w:i w:val="0"/>
          <w:iCs w:val="0"/>
          <w:szCs w:val="21"/>
          <w:lang w:val="zh-CN"/>
        </w:rPr>
        <w:fldChar w:fldCharType="end"/>
      </w:r>
    </w:p>
    <w:p w14:paraId="5675CFE6">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_Toc3657 </w:instrText>
      </w:r>
      <w:r>
        <w:rPr>
          <w:rFonts w:ascii="宋体" w:hAnsi="宋体"/>
          <w:bCs/>
          <w:i w:val="0"/>
          <w:iCs w:val="0"/>
          <w:szCs w:val="21"/>
          <w:lang w:val="zh-CN"/>
        </w:rPr>
        <w:fldChar w:fldCharType="separate"/>
      </w:r>
      <w:r>
        <w:rPr>
          <w:rFonts w:hint="eastAsia" w:ascii="宋体" w:hAnsi="宋体" w:cs="宋体"/>
          <w:i w:val="0"/>
          <w:iCs w:val="0"/>
          <w:szCs w:val="21"/>
        </w:rPr>
        <w:t>3.5资格审查资料</w:t>
      </w:r>
      <w:r>
        <w:rPr>
          <w:i w:val="0"/>
          <w:iCs w:val="0"/>
        </w:rPr>
        <w:tab/>
      </w:r>
      <w:r>
        <w:rPr>
          <w:i w:val="0"/>
          <w:iCs w:val="0"/>
        </w:rPr>
        <w:fldChar w:fldCharType="begin"/>
      </w:r>
      <w:r>
        <w:rPr>
          <w:i w:val="0"/>
          <w:iCs w:val="0"/>
        </w:rPr>
        <w:instrText xml:space="preserve"> PAGEREF _Toc3657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14:paraId="6E20E76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_Toc14086 </w:instrText>
      </w:r>
      <w:r>
        <w:rPr>
          <w:rFonts w:ascii="宋体" w:hAnsi="宋体"/>
          <w:bCs/>
          <w:i w:val="0"/>
          <w:iCs w:val="0"/>
          <w:szCs w:val="21"/>
          <w:lang w:val="zh-CN"/>
        </w:rPr>
        <w:fldChar w:fldCharType="separate"/>
      </w:r>
      <w:r>
        <w:rPr>
          <w:rFonts w:hint="eastAsia" w:ascii="宋体" w:hAnsi="宋体" w:cs="宋体"/>
          <w:i w:val="0"/>
          <w:iCs w:val="0"/>
          <w:szCs w:val="21"/>
        </w:rPr>
        <w:t>3.6 备选投标方案</w:t>
      </w:r>
      <w:r>
        <w:rPr>
          <w:i w:val="0"/>
          <w:iCs w:val="0"/>
        </w:rPr>
        <w:tab/>
      </w:r>
      <w:r>
        <w:rPr>
          <w:i w:val="0"/>
          <w:iCs w:val="0"/>
        </w:rPr>
        <w:fldChar w:fldCharType="begin"/>
      </w:r>
      <w:r>
        <w:rPr>
          <w:i w:val="0"/>
          <w:iCs w:val="0"/>
        </w:rPr>
        <w:instrText xml:space="preserve"> PAGEREF _Toc14086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14:paraId="39A4F7F5">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_Toc13477 </w:instrText>
      </w:r>
      <w:r>
        <w:rPr>
          <w:rFonts w:ascii="宋体" w:hAnsi="宋体"/>
          <w:bCs/>
          <w:i w:val="0"/>
          <w:iCs w:val="0"/>
          <w:szCs w:val="21"/>
          <w:lang w:val="zh-CN"/>
        </w:rPr>
        <w:fldChar w:fldCharType="separate"/>
      </w:r>
      <w:r>
        <w:rPr>
          <w:rFonts w:hint="eastAsia" w:ascii="宋体" w:hAnsi="宋体" w:cs="宋体"/>
          <w:i w:val="0"/>
          <w:iCs w:val="0"/>
          <w:szCs w:val="21"/>
        </w:rPr>
        <w:t>3.7 投标文件的编制</w:t>
      </w:r>
      <w:r>
        <w:rPr>
          <w:i w:val="0"/>
          <w:iCs w:val="0"/>
        </w:rPr>
        <w:tab/>
      </w:r>
      <w:r>
        <w:rPr>
          <w:i w:val="0"/>
          <w:iCs w:val="0"/>
        </w:rPr>
        <w:fldChar w:fldCharType="begin"/>
      </w:r>
      <w:r>
        <w:rPr>
          <w:i w:val="0"/>
          <w:iCs w:val="0"/>
        </w:rPr>
        <w:instrText xml:space="preserve"> PAGEREF _Toc13477 \h </w:instrText>
      </w:r>
      <w:r>
        <w:rPr>
          <w:i w:val="0"/>
          <w:iCs w:val="0"/>
        </w:rPr>
        <w:fldChar w:fldCharType="separate"/>
      </w:r>
      <w:r>
        <w:rPr>
          <w:i w:val="0"/>
          <w:iCs w:val="0"/>
        </w:rPr>
        <w:t>47</w:t>
      </w:r>
      <w:r>
        <w:rPr>
          <w:i w:val="0"/>
          <w:iCs w:val="0"/>
        </w:rPr>
        <w:fldChar w:fldCharType="end"/>
      </w:r>
      <w:r>
        <w:rPr>
          <w:rFonts w:ascii="宋体" w:hAnsi="宋体"/>
          <w:bCs/>
          <w:i w:val="0"/>
          <w:iCs w:val="0"/>
          <w:szCs w:val="21"/>
          <w:lang w:val="zh-CN"/>
        </w:rPr>
        <w:fldChar w:fldCharType="end"/>
      </w:r>
    </w:p>
    <w:p w14:paraId="116649E1">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_Toc32054 </w:instrText>
      </w:r>
      <w:r>
        <w:rPr>
          <w:rFonts w:ascii="宋体" w:hAnsi="宋体"/>
          <w:bCs/>
          <w:szCs w:val="21"/>
          <w:lang w:val="zh-CN"/>
        </w:rPr>
        <w:fldChar w:fldCharType="separate"/>
      </w:r>
      <w:r>
        <w:rPr>
          <w:rFonts w:hint="eastAsia" w:ascii="宋体" w:hAnsi="宋体" w:cs="宋体"/>
          <w:szCs w:val="28"/>
        </w:rPr>
        <w:t>4. 投标</w:t>
      </w:r>
      <w:r>
        <w:tab/>
      </w:r>
      <w:r>
        <w:fldChar w:fldCharType="begin"/>
      </w:r>
      <w:r>
        <w:instrText xml:space="preserve"> PAGEREF _Toc32054 \h </w:instrText>
      </w:r>
      <w:r>
        <w:fldChar w:fldCharType="separate"/>
      </w:r>
      <w:r>
        <w:t>48</w:t>
      </w:r>
      <w:r>
        <w:fldChar w:fldCharType="end"/>
      </w:r>
      <w:r>
        <w:rPr>
          <w:rFonts w:ascii="宋体" w:hAnsi="宋体"/>
          <w:bCs/>
          <w:szCs w:val="21"/>
          <w:lang w:val="zh-CN"/>
        </w:rPr>
        <w:fldChar w:fldCharType="end"/>
      </w:r>
    </w:p>
    <w:p w14:paraId="04AAB409">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_Toc9317 </w:instrText>
      </w:r>
      <w:r>
        <w:rPr>
          <w:rFonts w:ascii="宋体" w:hAnsi="宋体"/>
          <w:bCs/>
          <w:i w:val="0"/>
          <w:iCs w:val="0"/>
          <w:szCs w:val="21"/>
          <w:lang w:val="zh-CN"/>
        </w:rPr>
        <w:fldChar w:fldCharType="separate"/>
      </w:r>
      <w:r>
        <w:rPr>
          <w:rFonts w:hint="eastAsia" w:ascii="宋体" w:hAnsi="宋体" w:cs="宋体"/>
          <w:i w:val="0"/>
          <w:iCs w:val="0"/>
          <w:szCs w:val="21"/>
        </w:rPr>
        <w:t>4.1 投标文件的密封和标识</w:t>
      </w:r>
      <w:r>
        <w:rPr>
          <w:i w:val="0"/>
          <w:iCs w:val="0"/>
        </w:rPr>
        <w:tab/>
      </w:r>
      <w:r>
        <w:rPr>
          <w:i w:val="0"/>
          <w:iCs w:val="0"/>
        </w:rPr>
        <w:fldChar w:fldCharType="begin"/>
      </w:r>
      <w:r>
        <w:rPr>
          <w:i w:val="0"/>
          <w:iCs w:val="0"/>
        </w:rPr>
        <w:instrText xml:space="preserve"> PAGEREF _Toc9317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14:paraId="75839746">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_Toc7331 </w:instrText>
      </w:r>
      <w:r>
        <w:rPr>
          <w:rFonts w:ascii="宋体" w:hAnsi="宋体"/>
          <w:bCs/>
          <w:i w:val="0"/>
          <w:iCs w:val="0"/>
          <w:szCs w:val="21"/>
          <w:lang w:val="zh-CN"/>
        </w:rPr>
        <w:fldChar w:fldCharType="separate"/>
      </w:r>
      <w:r>
        <w:rPr>
          <w:rFonts w:hint="eastAsia" w:ascii="宋体" w:hAnsi="宋体" w:cs="宋体"/>
          <w:i w:val="0"/>
          <w:iCs w:val="0"/>
          <w:szCs w:val="21"/>
        </w:rPr>
        <w:t>4.2投标文件的递交</w:t>
      </w:r>
      <w:r>
        <w:rPr>
          <w:i w:val="0"/>
          <w:iCs w:val="0"/>
        </w:rPr>
        <w:tab/>
      </w:r>
      <w:r>
        <w:rPr>
          <w:i w:val="0"/>
          <w:iCs w:val="0"/>
        </w:rPr>
        <w:fldChar w:fldCharType="begin"/>
      </w:r>
      <w:r>
        <w:rPr>
          <w:i w:val="0"/>
          <w:iCs w:val="0"/>
        </w:rPr>
        <w:instrText xml:space="preserve"> PAGEREF _Toc7331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14:paraId="46F1D8D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_Toc22837 </w:instrText>
      </w:r>
      <w:r>
        <w:rPr>
          <w:rFonts w:ascii="宋体" w:hAnsi="宋体"/>
          <w:bCs/>
          <w:i w:val="0"/>
          <w:iCs w:val="0"/>
          <w:szCs w:val="21"/>
          <w:lang w:val="zh-CN"/>
        </w:rPr>
        <w:fldChar w:fldCharType="separate"/>
      </w:r>
      <w:r>
        <w:rPr>
          <w:rFonts w:hint="eastAsia" w:ascii="宋体" w:hAnsi="宋体" w:cs="宋体"/>
          <w:i w:val="0"/>
          <w:iCs w:val="0"/>
          <w:szCs w:val="21"/>
        </w:rPr>
        <w:t>4.3 投标文件的修改与撤回</w:t>
      </w:r>
      <w:r>
        <w:rPr>
          <w:i w:val="0"/>
          <w:iCs w:val="0"/>
        </w:rPr>
        <w:tab/>
      </w:r>
      <w:r>
        <w:rPr>
          <w:i w:val="0"/>
          <w:iCs w:val="0"/>
        </w:rPr>
        <w:fldChar w:fldCharType="begin"/>
      </w:r>
      <w:r>
        <w:rPr>
          <w:i w:val="0"/>
          <w:iCs w:val="0"/>
        </w:rPr>
        <w:instrText xml:space="preserve"> PAGEREF _Toc22837 \h </w:instrText>
      </w:r>
      <w:r>
        <w:rPr>
          <w:i w:val="0"/>
          <w:iCs w:val="0"/>
        </w:rPr>
        <w:fldChar w:fldCharType="separate"/>
      </w:r>
      <w:r>
        <w:rPr>
          <w:i w:val="0"/>
          <w:iCs w:val="0"/>
        </w:rPr>
        <w:t>48</w:t>
      </w:r>
      <w:r>
        <w:rPr>
          <w:i w:val="0"/>
          <w:iCs w:val="0"/>
        </w:rPr>
        <w:fldChar w:fldCharType="end"/>
      </w:r>
      <w:r>
        <w:rPr>
          <w:rFonts w:ascii="宋体" w:hAnsi="宋体"/>
          <w:bCs/>
          <w:i w:val="0"/>
          <w:iCs w:val="0"/>
          <w:szCs w:val="21"/>
          <w:lang w:val="zh-CN"/>
        </w:rPr>
        <w:fldChar w:fldCharType="end"/>
      </w:r>
    </w:p>
    <w:p w14:paraId="62B5E022">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_Toc10122 </w:instrText>
      </w:r>
      <w:r>
        <w:rPr>
          <w:rFonts w:ascii="宋体" w:hAnsi="宋体"/>
          <w:bCs/>
          <w:szCs w:val="21"/>
          <w:lang w:val="zh-CN"/>
        </w:rPr>
        <w:fldChar w:fldCharType="separate"/>
      </w:r>
      <w:r>
        <w:rPr>
          <w:rFonts w:hint="eastAsia" w:ascii="宋体" w:hAnsi="宋体" w:cs="宋体"/>
          <w:szCs w:val="28"/>
        </w:rPr>
        <w:t>5. 开标</w:t>
      </w:r>
      <w:r>
        <w:tab/>
      </w:r>
      <w:r>
        <w:fldChar w:fldCharType="begin"/>
      </w:r>
      <w:r>
        <w:instrText xml:space="preserve"> PAGEREF _Toc10122 \h </w:instrText>
      </w:r>
      <w:r>
        <w:fldChar w:fldCharType="separate"/>
      </w:r>
      <w:r>
        <w:t>49</w:t>
      </w:r>
      <w:r>
        <w:fldChar w:fldCharType="end"/>
      </w:r>
      <w:r>
        <w:rPr>
          <w:rFonts w:ascii="宋体" w:hAnsi="宋体"/>
          <w:bCs/>
          <w:szCs w:val="21"/>
          <w:lang w:val="zh-CN"/>
        </w:rPr>
        <w:fldChar w:fldCharType="end"/>
      </w:r>
    </w:p>
    <w:p w14:paraId="7358A19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_Toc5273 </w:instrText>
      </w:r>
      <w:r>
        <w:rPr>
          <w:rFonts w:ascii="宋体" w:hAnsi="宋体"/>
          <w:bCs/>
          <w:i w:val="0"/>
          <w:iCs w:val="0"/>
          <w:szCs w:val="21"/>
          <w:lang w:val="zh-CN"/>
        </w:rPr>
        <w:fldChar w:fldCharType="separate"/>
      </w:r>
      <w:r>
        <w:rPr>
          <w:rFonts w:hint="eastAsia" w:ascii="宋体" w:hAnsi="宋体" w:cs="宋体"/>
          <w:i w:val="0"/>
          <w:iCs w:val="0"/>
          <w:szCs w:val="21"/>
        </w:rPr>
        <w:t>5.1 开标时间和地点</w:t>
      </w:r>
      <w:r>
        <w:rPr>
          <w:i w:val="0"/>
          <w:iCs w:val="0"/>
        </w:rPr>
        <w:tab/>
      </w:r>
      <w:r>
        <w:rPr>
          <w:i w:val="0"/>
          <w:iCs w:val="0"/>
        </w:rPr>
        <w:fldChar w:fldCharType="begin"/>
      </w:r>
      <w:r>
        <w:rPr>
          <w:i w:val="0"/>
          <w:iCs w:val="0"/>
        </w:rPr>
        <w:instrText xml:space="preserve"> PAGEREF _Toc5273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14:paraId="7B5DBBFF">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_Toc22706 </w:instrText>
      </w:r>
      <w:r>
        <w:rPr>
          <w:rFonts w:ascii="宋体" w:hAnsi="宋体"/>
          <w:bCs/>
          <w:i w:val="0"/>
          <w:iCs w:val="0"/>
          <w:szCs w:val="21"/>
          <w:lang w:val="zh-CN"/>
        </w:rPr>
        <w:fldChar w:fldCharType="separate"/>
      </w:r>
      <w:r>
        <w:rPr>
          <w:rFonts w:hint="eastAsia" w:ascii="宋体" w:hAnsi="宋体" w:cs="宋体"/>
          <w:i w:val="0"/>
          <w:iCs w:val="0"/>
          <w:szCs w:val="21"/>
        </w:rPr>
        <w:t>5.2开标程序</w:t>
      </w:r>
      <w:r>
        <w:rPr>
          <w:i w:val="0"/>
          <w:iCs w:val="0"/>
        </w:rPr>
        <w:tab/>
      </w:r>
      <w:r>
        <w:rPr>
          <w:i w:val="0"/>
          <w:iCs w:val="0"/>
        </w:rPr>
        <w:fldChar w:fldCharType="begin"/>
      </w:r>
      <w:r>
        <w:rPr>
          <w:i w:val="0"/>
          <w:iCs w:val="0"/>
        </w:rPr>
        <w:instrText xml:space="preserve"> PAGEREF _Toc22706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14:paraId="57477564">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_Toc28742 </w:instrText>
      </w:r>
      <w:r>
        <w:rPr>
          <w:rFonts w:ascii="宋体" w:hAnsi="宋体"/>
          <w:bCs/>
          <w:i w:val="0"/>
          <w:iCs w:val="0"/>
          <w:szCs w:val="21"/>
          <w:lang w:val="zh-CN"/>
        </w:rPr>
        <w:fldChar w:fldCharType="separate"/>
      </w:r>
      <w:r>
        <w:rPr>
          <w:rFonts w:hint="eastAsia" w:ascii="宋体" w:hAnsi="宋体" w:cs="宋体"/>
          <w:i w:val="0"/>
          <w:iCs w:val="0"/>
          <w:szCs w:val="21"/>
        </w:rPr>
        <w:t>5.3 开标异议</w:t>
      </w:r>
      <w:r>
        <w:rPr>
          <w:i w:val="0"/>
          <w:iCs w:val="0"/>
        </w:rPr>
        <w:tab/>
      </w:r>
      <w:r>
        <w:rPr>
          <w:i w:val="0"/>
          <w:iCs w:val="0"/>
        </w:rPr>
        <w:fldChar w:fldCharType="begin"/>
      </w:r>
      <w:r>
        <w:rPr>
          <w:i w:val="0"/>
          <w:iCs w:val="0"/>
        </w:rPr>
        <w:instrText xml:space="preserve"> PAGEREF _Toc28742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14:paraId="46C7D272">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_Toc11486 </w:instrText>
      </w:r>
      <w:r>
        <w:rPr>
          <w:rFonts w:ascii="宋体" w:hAnsi="宋体"/>
          <w:bCs/>
          <w:szCs w:val="21"/>
          <w:lang w:val="zh-CN"/>
        </w:rPr>
        <w:fldChar w:fldCharType="separate"/>
      </w:r>
      <w:r>
        <w:rPr>
          <w:rFonts w:hint="eastAsia" w:ascii="宋体" w:hAnsi="宋体" w:cs="宋体"/>
          <w:szCs w:val="28"/>
        </w:rPr>
        <w:t>6. 评标</w:t>
      </w:r>
      <w:r>
        <w:tab/>
      </w:r>
      <w:r>
        <w:fldChar w:fldCharType="begin"/>
      </w:r>
      <w:r>
        <w:instrText xml:space="preserve"> PAGEREF _Toc11486 \h </w:instrText>
      </w:r>
      <w:r>
        <w:fldChar w:fldCharType="separate"/>
      </w:r>
      <w:r>
        <w:t>49</w:t>
      </w:r>
      <w:r>
        <w:fldChar w:fldCharType="end"/>
      </w:r>
      <w:r>
        <w:rPr>
          <w:rFonts w:ascii="宋体" w:hAnsi="宋体"/>
          <w:bCs/>
          <w:szCs w:val="21"/>
          <w:lang w:val="zh-CN"/>
        </w:rPr>
        <w:fldChar w:fldCharType="end"/>
      </w:r>
    </w:p>
    <w:p w14:paraId="069FC749">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_Toc8269 </w:instrText>
      </w:r>
      <w:r>
        <w:rPr>
          <w:rFonts w:ascii="宋体" w:hAnsi="宋体"/>
          <w:bCs/>
          <w:i w:val="0"/>
          <w:iCs w:val="0"/>
          <w:szCs w:val="21"/>
          <w:lang w:val="zh-CN"/>
        </w:rPr>
        <w:fldChar w:fldCharType="separate"/>
      </w:r>
      <w:r>
        <w:rPr>
          <w:rFonts w:hint="eastAsia" w:ascii="宋体" w:hAnsi="宋体" w:cs="宋体"/>
          <w:i w:val="0"/>
          <w:iCs w:val="0"/>
          <w:szCs w:val="21"/>
        </w:rPr>
        <w:t>6.1 评标委员会</w:t>
      </w:r>
      <w:r>
        <w:rPr>
          <w:i w:val="0"/>
          <w:iCs w:val="0"/>
        </w:rPr>
        <w:tab/>
      </w:r>
      <w:r>
        <w:rPr>
          <w:i w:val="0"/>
          <w:iCs w:val="0"/>
        </w:rPr>
        <w:fldChar w:fldCharType="begin"/>
      </w:r>
      <w:r>
        <w:rPr>
          <w:i w:val="0"/>
          <w:iCs w:val="0"/>
        </w:rPr>
        <w:instrText xml:space="preserve"> PAGEREF _Toc8269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14:paraId="2F4A112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_Toc28874 </w:instrText>
      </w:r>
      <w:r>
        <w:rPr>
          <w:rFonts w:ascii="宋体" w:hAnsi="宋体"/>
          <w:bCs/>
          <w:i w:val="0"/>
          <w:iCs w:val="0"/>
          <w:szCs w:val="21"/>
          <w:lang w:val="zh-CN"/>
        </w:rPr>
        <w:fldChar w:fldCharType="separate"/>
      </w:r>
      <w:r>
        <w:rPr>
          <w:rFonts w:hint="eastAsia" w:ascii="宋体" w:hAnsi="宋体" w:cs="宋体"/>
          <w:i w:val="0"/>
          <w:iCs w:val="0"/>
          <w:szCs w:val="21"/>
        </w:rPr>
        <w:t>6.2 评标原则</w:t>
      </w:r>
      <w:r>
        <w:rPr>
          <w:i w:val="0"/>
          <w:iCs w:val="0"/>
        </w:rPr>
        <w:tab/>
      </w:r>
      <w:r>
        <w:rPr>
          <w:i w:val="0"/>
          <w:iCs w:val="0"/>
        </w:rPr>
        <w:fldChar w:fldCharType="begin"/>
      </w:r>
      <w:r>
        <w:rPr>
          <w:i w:val="0"/>
          <w:iCs w:val="0"/>
        </w:rPr>
        <w:instrText xml:space="preserve"> PAGEREF _Toc28874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14:paraId="31FB5DF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_Toc19361 </w:instrText>
      </w:r>
      <w:r>
        <w:rPr>
          <w:rFonts w:ascii="宋体" w:hAnsi="宋体"/>
          <w:bCs/>
          <w:i w:val="0"/>
          <w:iCs w:val="0"/>
          <w:szCs w:val="21"/>
          <w:lang w:val="zh-CN"/>
        </w:rPr>
        <w:fldChar w:fldCharType="separate"/>
      </w:r>
      <w:r>
        <w:rPr>
          <w:rFonts w:hint="eastAsia" w:ascii="宋体" w:hAnsi="宋体" w:cs="宋体"/>
          <w:i w:val="0"/>
          <w:iCs w:val="0"/>
          <w:szCs w:val="21"/>
        </w:rPr>
        <w:t>6.3 评标</w:t>
      </w:r>
      <w:r>
        <w:rPr>
          <w:i w:val="0"/>
          <w:iCs w:val="0"/>
        </w:rPr>
        <w:tab/>
      </w:r>
      <w:r>
        <w:rPr>
          <w:i w:val="0"/>
          <w:iCs w:val="0"/>
        </w:rPr>
        <w:fldChar w:fldCharType="begin"/>
      </w:r>
      <w:r>
        <w:rPr>
          <w:i w:val="0"/>
          <w:iCs w:val="0"/>
        </w:rPr>
        <w:instrText xml:space="preserve"> PAGEREF _Toc19361 \h </w:instrText>
      </w:r>
      <w:r>
        <w:rPr>
          <w:i w:val="0"/>
          <w:iCs w:val="0"/>
        </w:rPr>
        <w:fldChar w:fldCharType="separate"/>
      </w:r>
      <w:r>
        <w:rPr>
          <w:i w:val="0"/>
          <w:iCs w:val="0"/>
        </w:rPr>
        <w:t>49</w:t>
      </w:r>
      <w:r>
        <w:rPr>
          <w:i w:val="0"/>
          <w:iCs w:val="0"/>
        </w:rPr>
        <w:fldChar w:fldCharType="end"/>
      </w:r>
      <w:r>
        <w:rPr>
          <w:rFonts w:ascii="宋体" w:hAnsi="宋体"/>
          <w:bCs/>
          <w:i w:val="0"/>
          <w:iCs w:val="0"/>
          <w:szCs w:val="21"/>
          <w:lang w:val="zh-CN"/>
        </w:rPr>
        <w:fldChar w:fldCharType="end"/>
      </w:r>
    </w:p>
    <w:p w14:paraId="7078F75F">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_Toc12323 </w:instrText>
      </w:r>
      <w:r>
        <w:rPr>
          <w:rFonts w:ascii="宋体" w:hAnsi="宋体"/>
          <w:bCs/>
          <w:szCs w:val="21"/>
          <w:lang w:val="zh-CN"/>
        </w:rPr>
        <w:fldChar w:fldCharType="separate"/>
      </w:r>
      <w:r>
        <w:rPr>
          <w:rFonts w:hint="eastAsia" w:ascii="宋体" w:hAnsi="宋体" w:cs="宋体"/>
          <w:szCs w:val="28"/>
        </w:rPr>
        <w:t>7. 合同授予</w:t>
      </w:r>
      <w:r>
        <w:tab/>
      </w:r>
      <w:r>
        <w:fldChar w:fldCharType="begin"/>
      </w:r>
      <w:r>
        <w:instrText xml:space="preserve"> PAGEREF _Toc12323 \h </w:instrText>
      </w:r>
      <w:r>
        <w:fldChar w:fldCharType="separate"/>
      </w:r>
      <w:r>
        <w:t>50</w:t>
      </w:r>
      <w:r>
        <w:fldChar w:fldCharType="end"/>
      </w:r>
      <w:r>
        <w:rPr>
          <w:rFonts w:ascii="宋体" w:hAnsi="宋体"/>
          <w:bCs/>
          <w:szCs w:val="21"/>
          <w:lang w:val="zh-CN"/>
        </w:rPr>
        <w:fldChar w:fldCharType="end"/>
      </w:r>
    </w:p>
    <w:p w14:paraId="146F46B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_Toc21946 </w:instrText>
      </w:r>
      <w:r>
        <w:rPr>
          <w:rFonts w:ascii="宋体" w:hAnsi="宋体"/>
          <w:bCs/>
          <w:i w:val="0"/>
          <w:iCs w:val="0"/>
          <w:szCs w:val="21"/>
          <w:lang w:val="zh-CN"/>
        </w:rPr>
        <w:fldChar w:fldCharType="separate"/>
      </w:r>
      <w:r>
        <w:rPr>
          <w:rFonts w:hint="eastAsia" w:ascii="宋体" w:hAnsi="宋体" w:cs="宋体"/>
          <w:i w:val="0"/>
          <w:iCs w:val="0"/>
          <w:szCs w:val="21"/>
        </w:rPr>
        <w:t>7.1 中标候选人公示</w:t>
      </w:r>
      <w:r>
        <w:rPr>
          <w:i w:val="0"/>
          <w:iCs w:val="0"/>
        </w:rPr>
        <w:tab/>
      </w:r>
      <w:r>
        <w:rPr>
          <w:i w:val="0"/>
          <w:iCs w:val="0"/>
        </w:rPr>
        <w:fldChar w:fldCharType="begin"/>
      </w:r>
      <w:r>
        <w:rPr>
          <w:i w:val="0"/>
          <w:iCs w:val="0"/>
        </w:rPr>
        <w:instrText xml:space="preserve"> PAGEREF _Toc21946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14:paraId="55F89686">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_Toc5394 </w:instrText>
      </w:r>
      <w:r>
        <w:rPr>
          <w:rFonts w:ascii="宋体" w:hAnsi="宋体"/>
          <w:bCs/>
          <w:i w:val="0"/>
          <w:iCs w:val="0"/>
          <w:szCs w:val="21"/>
          <w:lang w:val="zh-CN"/>
        </w:rPr>
        <w:fldChar w:fldCharType="separate"/>
      </w:r>
      <w:r>
        <w:rPr>
          <w:rFonts w:hint="eastAsia" w:ascii="宋体" w:hAnsi="宋体" w:cs="宋体"/>
          <w:i w:val="0"/>
          <w:iCs w:val="0"/>
          <w:szCs w:val="21"/>
        </w:rPr>
        <w:t>7.2 评标结果异议</w:t>
      </w:r>
      <w:r>
        <w:rPr>
          <w:i w:val="0"/>
          <w:iCs w:val="0"/>
        </w:rPr>
        <w:tab/>
      </w:r>
      <w:r>
        <w:rPr>
          <w:i w:val="0"/>
          <w:iCs w:val="0"/>
        </w:rPr>
        <w:fldChar w:fldCharType="begin"/>
      </w:r>
      <w:r>
        <w:rPr>
          <w:i w:val="0"/>
          <w:iCs w:val="0"/>
        </w:rPr>
        <w:instrText xml:space="preserve"> PAGEREF _Toc5394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14:paraId="2584C67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_Toc2659 </w:instrText>
      </w:r>
      <w:r>
        <w:rPr>
          <w:rFonts w:ascii="宋体" w:hAnsi="宋体"/>
          <w:bCs/>
          <w:i w:val="0"/>
          <w:iCs w:val="0"/>
          <w:szCs w:val="21"/>
          <w:lang w:val="zh-CN"/>
        </w:rPr>
        <w:fldChar w:fldCharType="separate"/>
      </w:r>
      <w:r>
        <w:rPr>
          <w:rFonts w:hint="eastAsia" w:ascii="宋体" w:hAnsi="宋体" w:cs="宋体"/>
          <w:i w:val="0"/>
          <w:iCs w:val="0"/>
          <w:szCs w:val="21"/>
        </w:rPr>
        <w:t>7.3 中标候选人履约能力审查</w:t>
      </w:r>
      <w:r>
        <w:rPr>
          <w:i w:val="0"/>
          <w:iCs w:val="0"/>
        </w:rPr>
        <w:tab/>
      </w:r>
      <w:r>
        <w:rPr>
          <w:i w:val="0"/>
          <w:iCs w:val="0"/>
        </w:rPr>
        <w:fldChar w:fldCharType="begin"/>
      </w:r>
      <w:r>
        <w:rPr>
          <w:i w:val="0"/>
          <w:iCs w:val="0"/>
        </w:rPr>
        <w:instrText xml:space="preserve"> PAGEREF _Toc2659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14:paraId="388796F3">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_Toc1365 </w:instrText>
      </w:r>
      <w:r>
        <w:rPr>
          <w:rFonts w:ascii="宋体" w:hAnsi="宋体"/>
          <w:bCs/>
          <w:i w:val="0"/>
          <w:iCs w:val="0"/>
          <w:szCs w:val="21"/>
          <w:lang w:val="zh-CN"/>
        </w:rPr>
        <w:fldChar w:fldCharType="separate"/>
      </w:r>
      <w:r>
        <w:rPr>
          <w:rFonts w:hint="eastAsia" w:ascii="宋体" w:hAnsi="宋体" w:cs="宋体"/>
          <w:i w:val="0"/>
          <w:iCs w:val="0"/>
          <w:szCs w:val="21"/>
        </w:rPr>
        <w:t>7.4 定标</w:t>
      </w:r>
      <w:r>
        <w:rPr>
          <w:i w:val="0"/>
          <w:iCs w:val="0"/>
        </w:rPr>
        <w:tab/>
      </w:r>
      <w:r>
        <w:rPr>
          <w:i w:val="0"/>
          <w:iCs w:val="0"/>
        </w:rPr>
        <w:fldChar w:fldCharType="begin"/>
      </w:r>
      <w:r>
        <w:rPr>
          <w:i w:val="0"/>
          <w:iCs w:val="0"/>
        </w:rPr>
        <w:instrText xml:space="preserve"> PAGEREF _Toc1365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14:paraId="15116565">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_Toc25852 </w:instrText>
      </w:r>
      <w:r>
        <w:rPr>
          <w:rFonts w:ascii="宋体" w:hAnsi="宋体"/>
          <w:bCs/>
          <w:i w:val="0"/>
          <w:iCs w:val="0"/>
          <w:szCs w:val="21"/>
          <w:lang w:val="zh-CN"/>
        </w:rPr>
        <w:fldChar w:fldCharType="separate"/>
      </w:r>
      <w:r>
        <w:rPr>
          <w:rFonts w:hint="eastAsia" w:ascii="宋体" w:hAnsi="宋体" w:cs="宋体"/>
          <w:i w:val="0"/>
          <w:iCs w:val="0"/>
          <w:szCs w:val="21"/>
        </w:rPr>
        <w:t>7.5 中标通知</w:t>
      </w:r>
      <w:r>
        <w:rPr>
          <w:i w:val="0"/>
          <w:iCs w:val="0"/>
        </w:rPr>
        <w:tab/>
      </w:r>
      <w:r>
        <w:rPr>
          <w:i w:val="0"/>
          <w:iCs w:val="0"/>
        </w:rPr>
        <w:fldChar w:fldCharType="begin"/>
      </w:r>
      <w:r>
        <w:rPr>
          <w:i w:val="0"/>
          <w:iCs w:val="0"/>
        </w:rPr>
        <w:instrText xml:space="preserve"> PAGEREF _Toc25852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14:paraId="4271E4A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_Toc28930 </w:instrText>
      </w:r>
      <w:r>
        <w:rPr>
          <w:rFonts w:ascii="宋体" w:hAnsi="宋体"/>
          <w:bCs/>
          <w:i w:val="0"/>
          <w:iCs w:val="0"/>
          <w:szCs w:val="21"/>
          <w:lang w:val="zh-CN"/>
        </w:rPr>
        <w:fldChar w:fldCharType="separate"/>
      </w:r>
      <w:r>
        <w:rPr>
          <w:rFonts w:hint="eastAsia" w:ascii="宋体" w:hAnsi="宋体" w:cs="宋体"/>
          <w:i w:val="0"/>
          <w:iCs w:val="0"/>
          <w:szCs w:val="21"/>
        </w:rPr>
        <w:t>7.6 中标结果公告</w:t>
      </w:r>
      <w:r>
        <w:rPr>
          <w:i w:val="0"/>
          <w:iCs w:val="0"/>
        </w:rPr>
        <w:tab/>
      </w:r>
      <w:r>
        <w:rPr>
          <w:i w:val="0"/>
          <w:iCs w:val="0"/>
        </w:rPr>
        <w:fldChar w:fldCharType="begin"/>
      </w:r>
      <w:r>
        <w:rPr>
          <w:i w:val="0"/>
          <w:iCs w:val="0"/>
        </w:rPr>
        <w:instrText xml:space="preserve"> PAGEREF _Toc28930 \h </w:instrText>
      </w:r>
      <w:r>
        <w:rPr>
          <w:i w:val="0"/>
          <w:iCs w:val="0"/>
        </w:rPr>
        <w:fldChar w:fldCharType="separate"/>
      </w:r>
      <w:r>
        <w:rPr>
          <w:i w:val="0"/>
          <w:iCs w:val="0"/>
        </w:rPr>
        <w:t>50</w:t>
      </w:r>
      <w:r>
        <w:rPr>
          <w:i w:val="0"/>
          <w:iCs w:val="0"/>
        </w:rPr>
        <w:fldChar w:fldCharType="end"/>
      </w:r>
      <w:r>
        <w:rPr>
          <w:rFonts w:ascii="宋体" w:hAnsi="宋体"/>
          <w:bCs/>
          <w:i w:val="0"/>
          <w:iCs w:val="0"/>
          <w:szCs w:val="21"/>
          <w:lang w:val="zh-CN"/>
        </w:rPr>
        <w:fldChar w:fldCharType="end"/>
      </w:r>
    </w:p>
    <w:p w14:paraId="7EB99AD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_Toc13998 </w:instrText>
      </w:r>
      <w:r>
        <w:rPr>
          <w:rFonts w:ascii="宋体" w:hAnsi="宋体"/>
          <w:bCs/>
          <w:i w:val="0"/>
          <w:iCs w:val="0"/>
          <w:szCs w:val="21"/>
          <w:lang w:val="zh-CN"/>
        </w:rPr>
        <w:fldChar w:fldCharType="separate"/>
      </w:r>
      <w:r>
        <w:rPr>
          <w:rFonts w:hint="eastAsia" w:ascii="宋体" w:hAnsi="宋体" w:cs="宋体"/>
          <w:i w:val="0"/>
          <w:iCs w:val="0"/>
          <w:szCs w:val="21"/>
        </w:rPr>
        <w:t>7.7 履约保证金</w:t>
      </w:r>
      <w:r>
        <w:rPr>
          <w:i w:val="0"/>
          <w:iCs w:val="0"/>
        </w:rPr>
        <w:tab/>
      </w:r>
      <w:r>
        <w:rPr>
          <w:i w:val="0"/>
          <w:iCs w:val="0"/>
        </w:rPr>
        <w:fldChar w:fldCharType="begin"/>
      </w:r>
      <w:r>
        <w:rPr>
          <w:i w:val="0"/>
          <w:iCs w:val="0"/>
        </w:rPr>
        <w:instrText xml:space="preserve"> PAGEREF _Toc13998 \h </w:instrText>
      </w:r>
      <w:r>
        <w:rPr>
          <w:i w:val="0"/>
          <w:iCs w:val="0"/>
        </w:rPr>
        <w:fldChar w:fldCharType="separate"/>
      </w:r>
      <w:r>
        <w:rPr>
          <w:i w:val="0"/>
          <w:iCs w:val="0"/>
        </w:rPr>
        <w:t>51</w:t>
      </w:r>
      <w:r>
        <w:rPr>
          <w:i w:val="0"/>
          <w:iCs w:val="0"/>
        </w:rPr>
        <w:fldChar w:fldCharType="end"/>
      </w:r>
      <w:r>
        <w:rPr>
          <w:rFonts w:ascii="宋体" w:hAnsi="宋体"/>
          <w:bCs/>
          <w:i w:val="0"/>
          <w:iCs w:val="0"/>
          <w:szCs w:val="21"/>
          <w:lang w:val="zh-CN"/>
        </w:rPr>
        <w:fldChar w:fldCharType="end"/>
      </w:r>
    </w:p>
    <w:p w14:paraId="66A3390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_Toc10334 </w:instrText>
      </w:r>
      <w:r>
        <w:rPr>
          <w:rFonts w:ascii="宋体" w:hAnsi="宋体"/>
          <w:bCs/>
          <w:i w:val="0"/>
          <w:iCs w:val="0"/>
          <w:szCs w:val="21"/>
          <w:lang w:val="zh-CN"/>
        </w:rPr>
        <w:fldChar w:fldCharType="separate"/>
      </w:r>
      <w:r>
        <w:rPr>
          <w:rFonts w:hint="eastAsia" w:ascii="宋体" w:hAnsi="宋体" w:cs="宋体"/>
          <w:i w:val="0"/>
          <w:iCs w:val="0"/>
          <w:szCs w:val="21"/>
        </w:rPr>
        <w:t>7.8 签订合同</w:t>
      </w:r>
      <w:r>
        <w:rPr>
          <w:i w:val="0"/>
          <w:iCs w:val="0"/>
        </w:rPr>
        <w:tab/>
      </w:r>
      <w:r>
        <w:rPr>
          <w:i w:val="0"/>
          <w:iCs w:val="0"/>
        </w:rPr>
        <w:fldChar w:fldCharType="begin"/>
      </w:r>
      <w:r>
        <w:rPr>
          <w:i w:val="0"/>
          <w:iCs w:val="0"/>
        </w:rPr>
        <w:instrText xml:space="preserve"> PAGEREF _Toc10334 \h </w:instrText>
      </w:r>
      <w:r>
        <w:rPr>
          <w:i w:val="0"/>
          <w:iCs w:val="0"/>
        </w:rPr>
        <w:fldChar w:fldCharType="separate"/>
      </w:r>
      <w:r>
        <w:rPr>
          <w:i w:val="0"/>
          <w:iCs w:val="0"/>
        </w:rPr>
        <w:t>51</w:t>
      </w:r>
      <w:r>
        <w:rPr>
          <w:i w:val="0"/>
          <w:iCs w:val="0"/>
        </w:rPr>
        <w:fldChar w:fldCharType="end"/>
      </w:r>
      <w:r>
        <w:rPr>
          <w:rFonts w:ascii="宋体" w:hAnsi="宋体"/>
          <w:bCs/>
          <w:i w:val="0"/>
          <w:iCs w:val="0"/>
          <w:szCs w:val="21"/>
          <w:lang w:val="zh-CN"/>
        </w:rPr>
        <w:fldChar w:fldCharType="end"/>
      </w:r>
    </w:p>
    <w:p w14:paraId="3E4C955A">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_Toc19304 </w:instrText>
      </w:r>
      <w:r>
        <w:rPr>
          <w:rFonts w:ascii="宋体" w:hAnsi="宋体"/>
          <w:bCs/>
          <w:szCs w:val="21"/>
          <w:lang w:val="zh-CN"/>
        </w:rPr>
        <w:fldChar w:fldCharType="separate"/>
      </w:r>
      <w:r>
        <w:rPr>
          <w:rFonts w:hint="eastAsia" w:ascii="宋体" w:hAnsi="宋体" w:cs="宋体"/>
          <w:szCs w:val="28"/>
        </w:rPr>
        <w:t>8. 纪律和监督</w:t>
      </w:r>
      <w:r>
        <w:tab/>
      </w:r>
      <w:r>
        <w:fldChar w:fldCharType="begin"/>
      </w:r>
      <w:r>
        <w:instrText xml:space="preserve"> PAGEREF _Toc19304 \h </w:instrText>
      </w:r>
      <w:r>
        <w:fldChar w:fldCharType="separate"/>
      </w:r>
      <w:r>
        <w:t>52</w:t>
      </w:r>
      <w:r>
        <w:fldChar w:fldCharType="end"/>
      </w:r>
      <w:r>
        <w:rPr>
          <w:rFonts w:ascii="宋体" w:hAnsi="宋体"/>
          <w:bCs/>
          <w:szCs w:val="21"/>
          <w:lang w:val="zh-CN"/>
        </w:rPr>
        <w:fldChar w:fldCharType="end"/>
      </w:r>
    </w:p>
    <w:p w14:paraId="1090CCA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_Toc31086 </w:instrText>
      </w:r>
      <w:r>
        <w:rPr>
          <w:rFonts w:ascii="宋体" w:hAnsi="宋体"/>
          <w:bCs/>
          <w:i w:val="0"/>
          <w:iCs w:val="0"/>
          <w:szCs w:val="21"/>
          <w:lang w:val="zh-CN"/>
        </w:rPr>
        <w:fldChar w:fldCharType="separate"/>
      </w:r>
      <w:r>
        <w:rPr>
          <w:rFonts w:hint="eastAsia" w:ascii="宋体" w:hAnsi="宋体" w:cs="宋体"/>
          <w:i w:val="0"/>
          <w:iCs w:val="0"/>
          <w:szCs w:val="21"/>
        </w:rPr>
        <w:t>8.1 对招标人的纪律要求</w:t>
      </w:r>
      <w:r>
        <w:rPr>
          <w:i w:val="0"/>
          <w:iCs w:val="0"/>
        </w:rPr>
        <w:tab/>
      </w:r>
      <w:r>
        <w:rPr>
          <w:i w:val="0"/>
          <w:iCs w:val="0"/>
        </w:rPr>
        <w:fldChar w:fldCharType="begin"/>
      </w:r>
      <w:r>
        <w:rPr>
          <w:i w:val="0"/>
          <w:iCs w:val="0"/>
        </w:rPr>
        <w:instrText xml:space="preserve"> PAGEREF _Toc31086 \h </w:instrText>
      </w:r>
      <w:r>
        <w:rPr>
          <w:i w:val="0"/>
          <w:iCs w:val="0"/>
        </w:rPr>
        <w:fldChar w:fldCharType="separate"/>
      </w:r>
      <w:r>
        <w:rPr>
          <w:i w:val="0"/>
          <w:iCs w:val="0"/>
        </w:rPr>
        <w:t>52</w:t>
      </w:r>
      <w:r>
        <w:rPr>
          <w:i w:val="0"/>
          <w:iCs w:val="0"/>
        </w:rPr>
        <w:fldChar w:fldCharType="end"/>
      </w:r>
      <w:r>
        <w:rPr>
          <w:rFonts w:ascii="宋体" w:hAnsi="宋体"/>
          <w:bCs/>
          <w:i w:val="0"/>
          <w:iCs w:val="0"/>
          <w:szCs w:val="21"/>
          <w:lang w:val="zh-CN"/>
        </w:rPr>
        <w:fldChar w:fldCharType="end"/>
      </w:r>
    </w:p>
    <w:p w14:paraId="3CFE5926">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_Toc27550 </w:instrText>
      </w:r>
      <w:r>
        <w:rPr>
          <w:rFonts w:ascii="宋体" w:hAnsi="宋体"/>
          <w:bCs/>
          <w:i w:val="0"/>
          <w:iCs w:val="0"/>
          <w:szCs w:val="21"/>
          <w:lang w:val="zh-CN"/>
        </w:rPr>
        <w:fldChar w:fldCharType="separate"/>
      </w:r>
      <w:r>
        <w:rPr>
          <w:rFonts w:hint="eastAsia" w:ascii="宋体" w:hAnsi="宋体" w:cs="宋体"/>
          <w:i w:val="0"/>
          <w:iCs w:val="0"/>
          <w:szCs w:val="21"/>
        </w:rPr>
        <w:t>8.2 对投标人的纪律要求</w:t>
      </w:r>
      <w:r>
        <w:rPr>
          <w:i w:val="0"/>
          <w:iCs w:val="0"/>
        </w:rPr>
        <w:tab/>
      </w:r>
      <w:r>
        <w:rPr>
          <w:i w:val="0"/>
          <w:iCs w:val="0"/>
        </w:rPr>
        <w:fldChar w:fldCharType="begin"/>
      </w:r>
      <w:r>
        <w:rPr>
          <w:i w:val="0"/>
          <w:iCs w:val="0"/>
        </w:rPr>
        <w:instrText xml:space="preserve"> PAGEREF _Toc27550 \h </w:instrText>
      </w:r>
      <w:r>
        <w:rPr>
          <w:i w:val="0"/>
          <w:iCs w:val="0"/>
        </w:rPr>
        <w:fldChar w:fldCharType="separate"/>
      </w:r>
      <w:r>
        <w:rPr>
          <w:i w:val="0"/>
          <w:iCs w:val="0"/>
        </w:rPr>
        <w:t>52</w:t>
      </w:r>
      <w:r>
        <w:rPr>
          <w:i w:val="0"/>
          <w:iCs w:val="0"/>
        </w:rPr>
        <w:fldChar w:fldCharType="end"/>
      </w:r>
      <w:r>
        <w:rPr>
          <w:rFonts w:ascii="宋体" w:hAnsi="宋体"/>
          <w:bCs/>
          <w:i w:val="0"/>
          <w:iCs w:val="0"/>
          <w:szCs w:val="21"/>
          <w:lang w:val="zh-CN"/>
        </w:rPr>
        <w:fldChar w:fldCharType="end"/>
      </w:r>
    </w:p>
    <w:p w14:paraId="198E8AF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_Toc6967 </w:instrText>
      </w:r>
      <w:r>
        <w:rPr>
          <w:rFonts w:ascii="宋体" w:hAnsi="宋体"/>
          <w:bCs/>
          <w:i w:val="0"/>
          <w:iCs w:val="0"/>
          <w:szCs w:val="21"/>
          <w:lang w:val="zh-CN"/>
        </w:rPr>
        <w:fldChar w:fldCharType="separate"/>
      </w:r>
      <w:r>
        <w:rPr>
          <w:rFonts w:hint="eastAsia" w:ascii="宋体" w:hAnsi="宋体" w:cs="宋体"/>
          <w:i w:val="0"/>
          <w:iCs w:val="0"/>
          <w:szCs w:val="21"/>
        </w:rPr>
        <w:t>8.3 对评标委员会成员的纪律要求</w:t>
      </w:r>
      <w:r>
        <w:rPr>
          <w:i w:val="0"/>
          <w:iCs w:val="0"/>
        </w:rPr>
        <w:tab/>
      </w:r>
      <w:r>
        <w:rPr>
          <w:i w:val="0"/>
          <w:iCs w:val="0"/>
        </w:rPr>
        <w:fldChar w:fldCharType="begin"/>
      </w:r>
      <w:r>
        <w:rPr>
          <w:i w:val="0"/>
          <w:iCs w:val="0"/>
        </w:rPr>
        <w:instrText xml:space="preserve"> PAGEREF _Toc6967 \h </w:instrText>
      </w:r>
      <w:r>
        <w:rPr>
          <w:i w:val="0"/>
          <w:iCs w:val="0"/>
        </w:rPr>
        <w:fldChar w:fldCharType="separate"/>
      </w:r>
      <w:r>
        <w:rPr>
          <w:i w:val="0"/>
          <w:iCs w:val="0"/>
        </w:rPr>
        <w:t>53</w:t>
      </w:r>
      <w:r>
        <w:rPr>
          <w:i w:val="0"/>
          <w:iCs w:val="0"/>
        </w:rPr>
        <w:fldChar w:fldCharType="end"/>
      </w:r>
      <w:r>
        <w:rPr>
          <w:rFonts w:ascii="宋体" w:hAnsi="宋体"/>
          <w:bCs/>
          <w:i w:val="0"/>
          <w:iCs w:val="0"/>
          <w:szCs w:val="21"/>
          <w:lang w:val="zh-CN"/>
        </w:rPr>
        <w:fldChar w:fldCharType="end"/>
      </w:r>
    </w:p>
    <w:p w14:paraId="6395964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_Toc18719 </w:instrText>
      </w:r>
      <w:r>
        <w:rPr>
          <w:rFonts w:ascii="宋体" w:hAnsi="宋体"/>
          <w:bCs/>
          <w:i w:val="0"/>
          <w:iCs w:val="0"/>
          <w:szCs w:val="21"/>
          <w:lang w:val="zh-CN"/>
        </w:rPr>
        <w:fldChar w:fldCharType="separate"/>
      </w:r>
      <w:r>
        <w:rPr>
          <w:rFonts w:hint="eastAsia" w:ascii="宋体" w:hAnsi="宋体" w:cs="宋体"/>
          <w:i w:val="0"/>
          <w:iCs w:val="0"/>
          <w:szCs w:val="21"/>
        </w:rPr>
        <w:t>8.4 对与评标活动有关的工作人员的纪律要求</w:t>
      </w:r>
      <w:r>
        <w:rPr>
          <w:i w:val="0"/>
          <w:iCs w:val="0"/>
        </w:rPr>
        <w:tab/>
      </w:r>
      <w:r>
        <w:rPr>
          <w:i w:val="0"/>
          <w:iCs w:val="0"/>
        </w:rPr>
        <w:fldChar w:fldCharType="begin"/>
      </w:r>
      <w:r>
        <w:rPr>
          <w:i w:val="0"/>
          <w:iCs w:val="0"/>
        </w:rPr>
        <w:instrText xml:space="preserve"> PAGEREF _Toc18719 \h </w:instrText>
      </w:r>
      <w:r>
        <w:rPr>
          <w:i w:val="0"/>
          <w:iCs w:val="0"/>
        </w:rPr>
        <w:fldChar w:fldCharType="separate"/>
      </w:r>
      <w:r>
        <w:rPr>
          <w:i w:val="0"/>
          <w:iCs w:val="0"/>
        </w:rPr>
        <w:t>53</w:t>
      </w:r>
      <w:r>
        <w:rPr>
          <w:i w:val="0"/>
          <w:iCs w:val="0"/>
        </w:rPr>
        <w:fldChar w:fldCharType="end"/>
      </w:r>
      <w:r>
        <w:rPr>
          <w:rFonts w:ascii="宋体" w:hAnsi="宋体"/>
          <w:bCs/>
          <w:i w:val="0"/>
          <w:iCs w:val="0"/>
          <w:szCs w:val="21"/>
          <w:lang w:val="zh-CN"/>
        </w:rPr>
        <w:fldChar w:fldCharType="end"/>
      </w:r>
    </w:p>
    <w:p w14:paraId="7B310D9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_Toc6015 </w:instrText>
      </w:r>
      <w:r>
        <w:rPr>
          <w:rFonts w:ascii="宋体" w:hAnsi="宋体"/>
          <w:bCs/>
          <w:i w:val="0"/>
          <w:iCs w:val="0"/>
          <w:szCs w:val="21"/>
          <w:lang w:val="zh-CN"/>
        </w:rPr>
        <w:fldChar w:fldCharType="separate"/>
      </w:r>
      <w:r>
        <w:rPr>
          <w:rFonts w:hint="eastAsia" w:ascii="宋体" w:hAnsi="宋体" w:cs="宋体"/>
          <w:i w:val="0"/>
          <w:iCs w:val="0"/>
          <w:szCs w:val="21"/>
        </w:rPr>
        <w:t>8.5 投诉</w:t>
      </w:r>
      <w:r>
        <w:rPr>
          <w:i w:val="0"/>
          <w:iCs w:val="0"/>
        </w:rPr>
        <w:tab/>
      </w:r>
      <w:r>
        <w:rPr>
          <w:i w:val="0"/>
          <w:iCs w:val="0"/>
        </w:rPr>
        <w:fldChar w:fldCharType="begin"/>
      </w:r>
      <w:r>
        <w:rPr>
          <w:i w:val="0"/>
          <w:iCs w:val="0"/>
        </w:rPr>
        <w:instrText xml:space="preserve"> PAGEREF _Toc6015 \h </w:instrText>
      </w:r>
      <w:r>
        <w:rPr>
          <w:i w:val="0"/>
          <w:iCs w:val="0"/>
        </w:rPr>
        <w:fldChar w:fldCharType="separate"/>
      </w:r>
      <w:r>
        <w:rPr>
          <w:i w:val="0"/>
          <w:iCs w:val="0"/>
        </w:rPr>
        <w:t>53</w:t>
      </w:r>
      <w:r>
        <w:rPr>
          <w:i w:val="0"/>
          <w:iCs w:val="0"/>
        </w:rPr>
        <w:fldChar w:fldCharType="end"/>
      </w:r>
      <w:r>
        <w:rPr>
          <w:rFonts w:ascii="宋体" w:hAnsi="宋体"/>
          <w:bCs/>
          <w:i w:val="0"/>
          <w:iCs w:val="0"/>
          <w:szCs w:val="21"/>
          <w:lang w:val="zh-CN"/>
        </w:rPr>
        <w:fldChar w:fldCharType="end"/>
      </w:r>
    </w:p>
    <w:p w14:paraId="3090A4F7">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_Toc28496 </w:instrText>
      </w:r>
      <w:r>
        <w:rPr>
          <w:rFonts w:ascii="宋体" w:hAnsi="宋体"/>
          <w:bCs/>
          <w:szCs w:val="21"/>
          <w:lang w:val="zh-CN"/>
        </w:rPr>
        <w:fldChar w:fldCharType="separate"/>
      </w:r>
      <w:r>
        <w:rPr>
          <w:rFonts w:hint="eastAsia" w:ascii="宋体" w:hAnsi="宋体" w:cs="宋体"/>
          <w:szCs w:val="28"/>
        </w:rPr>
        <w:t>9. 招标投标及评标方式</w:t>
      </w:r>
      <w:r>
        <w:tab/>
      </w:r>
      <w:r>
        <w:fldChar w:fldCharType="begin"/>
      </w:r>
      <w:r>
        <w:instrText xml:space="preserve"> PAGEREF _Toc28496 \h </w:instrText>
      </w:r>
      <w:r>
        <w:fldChar w:fldCharType="separate"/>
      </w:r>
      <w:r>
        <w:t>53</w:t>
      </w:r>
      <w:r>
        <w:fldChar w:fldCharType="end"/>
      </w:r>
      <w:r>
        <w:rPr>
          <w:rFonts w:ascii="宋体" w:hAnsi="宋体"/>
          <w:bCs/>
          <w:szCs w:val="21"/>
          <w:lang w:val="zh-CN"/>
        </w:rPr>
        <w:fldChar w:fldCharType="end"/>
      </w:r>
    </w:p>
    <w:p w14:paraId="1ACC35D8">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_Toc21731 </w:instrText>
      </w:r>
      <w:r>
        <w:rPr>
          <w:rFonts w:ascii="宋体" w:hAnsi="宋体"/>
          <w:bCs/>
          <w:szCs w:val="21"/>
          <w:lang w:val="zh-CN"/>
        </w:rPr>
        <w:fldChar w:fldCharType="separate"/>
      </w:r>
      <w:r>
        <w:rPr>
          <w:rFonts w:hint="eastAsia" w:ascii="宋体" w:hAnsi="宋体" w:cs="宋体"/>
          <w:szCs w:val="28"/>
        </w:rPr>
        <w:t>10. 需要补充的其他内容</w:t>
      </w:r>
      <w:r>
        <w:tab/>
      </w:r>
      <w:r>
        <w:fldChar w:fldCharType="begin"/>
      </w:r>
      <w:r>
        <w:instrText xml:space="preserve"> PAGEREF _Toc21731 \h </w:instrText>
      </w:r>
      <w:r>
        <w:fldChar w:fldCharType="separate"/>
      </w:r>
      <w:r>
        <w:t>53</w:t>
      </w:r>
      <w:r>
        <w:fldChar w:fldCharType="end"/>
      </w:r>
      <w:r>
        <w:rPr>
          <w:rFonts w:ascii="宋体" w:hAnsi="宋体"/>
          <w:bCs/>
          <w:szCs w:val="21"/>
          <w:lang w:val="zh-CN"/>
        </w:rPr>
        <w:fldChar w:fldCharType="end"/>
      </w:r>
    </w:p>
    <w:p w14:paraId="61CD7237">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_Toc29317 </w:instrText>
      </w:r>
      <w:r>
        <w:rPr>
          <w:rFonts w:ascii="宋体" w:hAnsi="宋体"/>
          <w:bCs/>
          <w:szCs w:val="21"/>
          <w:lang w:val="zh-CN"/>
        </w:rPr>
        <w:fldChar w:fldCharType="separate"/>
      </w:r>
      <w:r>
        <w:rPr>
          <w:rFonts w:hint="eastAsia" w:ascii="宋体" w:hAnsi="宋体" w:cs="宋体"/>
          <w:snapToGrid w:val="0"/>
          <w:kern w:val="0"/>
        </w:rPr>
        <w:t>第三章  评标办法（经评审的最低投标价法）</w:t>
      </w:r>
      <w:r>
        <w:tab/>
      </w:r>
      <w:r>
        <w:fldChar w:fldCharType="begin"/>
      </w:r>
      <w:r>
        <w:instrText xml:space="preserve"> PAGEREF _Toc29317 \h </w:instrText>
      </w:r>
      <w:r>
        <w:fldChar w:fldCharType="separate"/>
      </w:r>
      <w:r>
        <w:t>59</w:t>
      </w:r>
      <w:r>
        <w:fldChar w:fldCharType="end"/>
      </w:r>
      <w:r>
        <w:rPr>
          <w:rFonts w:ascii="宋体" w:hAnsi="宋体"/>
          <w:bCs/>
          <w:szCs w:val="21"/>
          <w:lang w:val="zh-CN"/>
        </w:rPr>
        <w:fldChar w:fldCharType="end"/>
      </w:r>
    </w:p>
    <w:p w14:paraId="6CBB6A07">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_Toc11837 </w:instrText>
      </w:r>
      <w:r>
        <w:rPr>
          <w:rFonts w:ascii="宋体" w:hAnsi="宋体"/>
          <w:bCs/>
          <w:szCs w:val="21"/>
          <w:lang w:val="zh-CN"/>
        </w:rPr>
        <w:fldChar w:fldCharType="separate"/>
      </w:r>
      <w:r>
        <w:rPr>
          <w:rFonts w:hint="eastAsia" w:ascii="宋体" w:hAnsi="宋体" w:cs="宋体"/>
          <w:szCs w:val="28"/>
        </w:rPr>
        <w:t>评标办法前附表</w:t>
      </w:r>
      <w:r>
        <w:tab/>
      </w:r>
      <w:r>
        <w:fldChar w:fldCharType="begin"/>
      </w:r>
      <w:r>
        <w:instrText xml:space="preserve"> PAGEREF _Toc11837 \h </w:instrText>
      </w:r>
      <w:r>
        <w:fldChar w:fldCharType="separate"/>
      </w:r>
      <w:r>
        <w:t>59</w:t>
      </w:r>
      <w:r>
        <w:fldChar w:fldCharType="end"/>
      </w:r>
      <w:r>
        <w:rPr>
          <w:rFonts w:ascii="宋体" w:hAnsi="宋体"/>
          <w:bCs/>
          <w:szCs w:val="21"/>
          <w:lang w:val="zh-CN"/>
        </w:rPr>
        <w:fldChar w:fldCharType="end"/>
      </w:r>
    </w:p>
    <w:p w14:paraId="4FCF15D4">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_Toc32306 </w:instrText>
      </w:r>
      <w:r>
        <w:rPr>
          <w:rFonts w:ascii="宋体" w:hAnsi="宋体"/>
          <w:bCs/>
          <w:szCs w:val="21"/>
          <w:lang w:val="zh-CN"/>
        </w:rPr>
        <w:fldChar w:fldCharType="separate"/>
      </w:r>
      <w:r>
        <w:rPr>
          <w:rFonts w:hint="eastAsia" w:ascii="宋体" w:hAnsi="宋体" w:cs="宋体"/>
          <w:szCs w:val="28"/>
        </w:rPr>
        <w:t>1. 评标方法</w:t>
      </w:r>
      <w:r>
        <w:tab/>
      </w:r>
      <w:r>
        <w:fldChar w:fldCharType="begin"/>
      </w:r>
      <w:r>
        <w:instrText xml:space="preserve"> PAGEREF _Toc32306 \h </w:instrText>
      </w:r>
      <w:r>
        <w:fldChar w:fldCharType="separate"/>
      </w:r>
      <w:r>
        <w:t>64</w:t>
      </w:r>
      <w:r>
        <w:fldChar w:fldCharType="end"/>
      </w:r>
      <w:r>
        <w:rPr>
          <w:rFonts w:ascii="宋体" w:hAnsi="宋体"/>
          <w:bCs/>
          <w:szCs w:val="21"/>
          <w:lang w:val="zh-CN"/>
        </w:rPr>
        <w:fldChar w:fldCharType="end"/>
      </w:r>
    </w:p>
    <w:p w14:paraId="19F74098">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_Toc554 </w:instrText>
      </w:r>
      <w:r>
        <w:rPr>
          <w:rFonts w:ascii="宋体" w:hAnsi="宋体"/>
          <w:bCs/>
          <w:szCs w:val="21"/>
          <w:lang w:val="zh-CN"/>
        </w:rPr>
        <w:fldChar w:fldCharType="separate"/>
      </w:r>
      <w:r>
        <w:rPr>
          <w:rFonts w:hint="eastAsia" w:ascii="宋体" w:hAnsi="宋体" w:cs="宋体"/>
          <w:szCs w:val="28"/>
        </w:rPr>
        <w:t>2. 评审标准</w:t>
      </w:r>
      <w:r>
        <w:tab/>
      </w:r>
      <w:r>
        <w:fldChar w:fldCharType="begin"/>
      </w:r>
      <w:r>
        <w:instrText xml:space="preserve"> PAGEREF _Toc554 \h </w:instrText>
      </w:r>
      <w:r>
        <w:fldChar w:fldCharType="separate"/>
      </w:r>
      <w:r>
        <w:t>64</w:t>
      </w:r>
      <w:r>
        <w:fldChar w:fldCharType="end"/>
      </w:r>
      <w:r>
        <w:rPr>
          <w:rFonts w:ascii="宋体" w:hAnsi="宋体"/>
          <w:bCs/>
          <w:szCs w:val="21"/>
          <w:lang w:val="zh-CN"/>
        </w:rPr>
        <w:fldChar w:fldCharType="end"/>
      </w:r>
    </w:p>
    <w:p w14:paraId="4C790CB4">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_Toc25387 </w:instrText>
      </w:r>
      <w:r>
        <w:rPr>
          <w:rFonts w:ascii="宋体" w:hAnsi="宋体"/>
          <w:bCs/>
          <w:i w:val="0"/>
          <w:iCs w:val="0"/>
          <w:szCs w:val="21"/>
          <w:lang w:val="zh-CN"/>
        </w:rPr>
        <w:fldChar w:fldCharType="separate"/>
      </w:r>
      <w:r>
        <w:rPr>
          <w:rFonts w:hint="eastAsia" w:ascii="宋体" w:hAnsi="宋体" w:cs="宋体"/>
          <w:i w:val="0"/>
          <w:iCs w:val="0"/>
          <w:szCs w:val="21"/>
        </w:rPr>
        <w:t>2.1报价排序标准</w:t>
      </w:r>
      <w:r>
        <w:rPr>
          <w:i w:val="0"/>
          <w:iCs w:val="0"/>
        </w:rPr>
        <w:tab/>
      </w:r>
      <w:r>
        <w:rPr>
          <w:i w:val="0"/>
          <w:iCs w:val="0"/>
        </w:rPr>
        <w:fldChar w:fldCharType="begin"/>
      </w:r>
      <w:r>
        <w:rPr>
          <w:i w:val="0"/>
          <w:iCs w:val="0"/>
        </w:rPr>
        <w:instrText xml:space="preserve"> PAGEREF _Toc25387 \h </w:instrText>
      </w:r>
      <w:r>
        <w:rPr>
          <w:i w:val="0"/>
          <w:iCs w:val="0"/>
        </w:rPr>
        <w:fldChar w:fldCharType="separate"/>
      </w:r>
      <w:r>
        <w:rPr>
          <w:i w:val="0"/>
          <w:iCs w:val="0"/>
        </w:rPr>
        <w:t>64</w:t>
      </w:r>
      <w:r>
        <w:rPr>
          <w:i w:val="0"/>
          <w:iCs w:val="0"/>
        </w:rPr>
        <w:fldChar w:fldCharType="end"/>
      </w:r>
      <w:r>
        <w:rPr>
          <w:rFonts w:ascii="宋体" w:hAnsi="宋体"/>
          <w:bCs/>
          <w:i w:val="0"/>
          <w:iCs w:val="0"/>
          <w:szCs w:val="21"/>
          <w:lang w:val="zh-CN"/>
        </w:rPr>
        <w:fldChar w:fldCharType="end"/>
      </w:r>
    </w:p>
    <w:p w14:paraId="69FE81A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_Toc24603 </w:instrText>
      </w:r>
      <w:r>
        <w:rPr>
          <w:rFonts w:ascii="宋体" w:hAnsi="宋体"/>
          <w:bCs/>
          <w:i w:val="0"/>
          <w:iCs w:val="0"/>
          <w:szCs w:val="21"/>
          <w:lang w:val="zh-CN"/>
        </w:rPr>
        <w:fldChar w:fldCharType="separate"/>
      </w:r>
      <w:r>
        <w:rPr>
          <w:rFonts w:ascii="宋体" w:hAnsi="宋体" w:cs="宋体"/>
          <w:i w:val="0"/>
          <w:iCs w:val="0"/>
          <w:szCs w:val="21"/>
        </w:rPr>
        <w:t>2.</w:t>
      </w:r>
      <w:r>
        <w:rPr>
          <w:rFonts w:hint="eastAsia" w:ascii="宋体" w:hAnsi="宋体" w:cs="宋体"/>
          <w:i w:val="0"/>
          <w:iCs w:val="0"/>
          <w:szCs w:val="21"/>
        </w:rPr>
        <w:t>2符合性审查标准</w:t>
      </w:r>
      <w:r>
        <w:rPr>
          <w:i w:val="0"/>
          <w:iCs w:val="0"/>
        </w:rPr>
        <w:tab/>
      </w:r>
      <w:r>
        <w:rPr>
          <w:i w:val="0"/>
          <w:iCs w:val="0"/>
        </w:rPr>
        <w:fldChar w:fldCharType="begin"/>
      </w:r>
      <w:r>
        <w:rPr>
          <w:i w:val="0"/>
          <w:iCs w:val="0"/>
        </w:rPr>
        <w:instrText xml:space="preserve"> PAGEREF _Toc24603 \h </w:instrText>
      </w:r>
      <w:r>
        <w:rPr>
          <w:i w:val="0"/>
          <w:iCs w:val="0"/>
        </w:rPr>
        <w:fldChar w:fldCharType="separate"/>
      </w:r>
      <w:r>
        <w:rPr>
          <w:i w:val="0"/>
          <w:iCs w:val="0"/>
        </w:rPr>
        <w:t>64</w:t>
      </w:r>
      <w:r>
        <w:rPr>
          <w:i w:val="0"/>
          <w:iCs w:val="0"/>
        </w:rPr>
        <w:fldChar w:fldCharType="end"/>
      </w:r>
      <w:r>
        <w:rPr>
          <w:rFonts w:ascii="宋体" w:hAnsi="宋体"/>
          <w:bCs/>
          <w:i w:val="0"/>
          <w:iCs w:val="0"/>
          <w:szCs w:val="21"/>
          <w:lang w:val="zh-CN"/>
        </w:rPr>
        <w:fldChar w:fldCharType="end"/>
      </w:r>
    </w:p>
    <w:p w14:paraId="408BAFCE">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_Toc5475 </w:instrText>
      </w:r>
      <w:r>
        <w:rPr>
          <w:rFonts w:ascii="宋体" w:hAnsi="宋体"/>
          <w:bCs/>
          <w:szCs w:val="21"/>
          <w:lang w:val="zh-CN"/>
        </w:rPr>
        <w:fldChar w:fldCharType="separate"/>
      </w:r>
      <w:r>
        <w:rPr>
          <w:rFonts w:hint="eastAsia" w:ascii="宋体" w:hAnsi="宋体" w:cs="宋体"/>
          <w:szCs w:val="28"/>
        </w:rPr>
        <w:t>3. 评标程序</w:t>
      </w:r>
      <w:r>
        <w:tab/>
      </w:r>
      <w:r>
        <w:fldChar w:fldCharType="begin"/>
      </w:r>
      <w:r>
        <w:instrText xml:space="preserve"> PAGEREF _Toc5475 \h </w:instrText>
      </w:r>
      <w:r>
        <w:fldChar w:fldCharType="separate"/>
      </w:r>
      <w:r>
        <w:t>64</w:t>
      </w:r>
      <w:r>
        <w:fldChar w:fldCharType="end"/>
      </w:r>
      <w:r>
        <w:rPr>
          <w:rFonts w:ascii="宋体" w:hAnsi="宋体"/>
          <w:bCs/>
          <w:szCs w:val="21"/>
          <w:lang w:val="zh-CN"/>
        </w:rPr>
        <w:fldChar w:fldCharType="end"/>
      </w:r>
    </w:p>
    <w:p w14:paraId="6F94E6F9">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_Toc3441 </w:instrText>
      </w:r>
      <w:r>
        <w:rPr>
          <w:rFonts w:ascii="宋体" w:hAnsi="宋体"/>
          <w:bCs/>
          <w:i w:val="0"/>
          <w:iCs w:val="0"/>
          <w:szCs w:val="21"/>
          <w:lang w:val="zh-CN"/>
        </w:rPr>
        <w:fldChar w:fldCharType="separate"/>
      </w:r>
      <w:r>
        <w:rPr>
          <w:rFonts w:hint="eastAsia" w:ascii="宋体" w:hAnsi="宋体" w:cs="宋体"/>
          <w:i w:val="0"/>
          <w:iCs w:val="0"/>
          <w:szCs w:val="21"/>
        </w:rPr>
        <w:t>3.1报价排序</w:t>
      </w:r>
      <w:r>
        <w:rPr>
          <w:i w:val="0"/>
          <w:iCs w:val="0"/>
        </w:rPr>
        <w:tab/>
      </w:r>
      <w:r>
        <w:rPr>
          <w:i w:val="0"/>
          <w:iCs w:val="0"/>
        </w:rPr>
        <w:fldChar w:fldCharType="begin"/>
      </w:r>
      <w:r>
        <w:rPr>
          <w:i w:val="0"/>
          <w:iCs w:val="0"/>
        </w:rPr>
        <w:instrText xml:space="preserve"> PAGEREF _Toc3441 \h </w:instrText>
      </w:r>
      <w:r>
        <w:rPr>
          <w:i w:val="0"/>
          <w:iCs w:val="0"/>
        </w:rPr>
        <w:fldChar w:fldCharType="separate"/>
      </w:r>
      <w:r>
        <w:rPr>
          <w:i w:val="0"/>
          <w:iCs w:val="0"/>
        </w:rPr>
        <w:t>64</w:t>
      </w:r>
      <w:r>
        <w:rPr>
          <w:i w:val="0"/>
          <w:iCs w:val="0"/>
        </w:rPr>
        <w:fldChar w:fldCharType="end"/>
      </w:r>
      <w:r>
        <w:rPr>
          <w:rFonts w:ascii="宋体" w:hAnsi="宋体"/>
          <w:bCs/>
          <w:i w:val="0"/>
          <w:iCs w:val="0"/>
          <w:szCs w:val="21"/>
          <w:lang w:val="zh-CN"/>
        </w:rPr>
        <w:fldChar w:fldCharType="end"/>
      </w:r>
    </w:p>
    <w:p w14:paraId="7989EC1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_Toc18696 </w:instrText>
      </w:r>
      <w:r>
        <w:rPr>
          <w:rFonts w:ascii="宋体" w:hAnsi="宋体"/>
          <w:bCs/>
          <w:i w:val="0"/>
          <w:iCs w:val="0"/>
          <w:szCs w:val="21"/>
          <w:lang w:val="zh-CN"/>
        </w:rPr>
        <w:fldChar w:fldCharType="separate"/>
      </w:r>
      <w:r>
        <w:rPr>
          <w:rFonts w:hint="eastAsia" w:ascii="宋体" w:hAnsi="宋体" w:cs="宋体"/>
          <w:i w:val="0"/>
          <w:iCs w:val="0"/>
          <w:szCs w:val="21"/>
        </w:rPr>
        <w:t>3.2符合性审查</w:t>
      </w:r>
      <w:r>
        <w:rPr>
          <w:i w:val="0"/>
          <w:iCs w:val="0"/>
        </w:rPr>
        <w:tab/>
      </w:r>
      <w:r>
        <w:rPr>
          <w:i w:val="0"/>
          <w:iCs w:val="0"/>
        </w:rPr>
        <w:fldChar w:fldCharType="begin"/>
      </w:r>
      <w:r>
        <w:rPr>
          <w:i w:val="0"/>
          <w:iCs w:val="0"/>
        </w:rPr>
        <w:instrText xml:space="preserve"> PAGEREF _Toc18696 \h </w:instrText>
      </w:r>
      <w:r>
        <w:rPr>
          <w:i w:val="0"/>
          <w:iCs w:val="0"/>
        </w:rPr>
        <w:fldChar w:fldCharType="separate"/>
      </w:r>
      <w:r>
        <w:rPr>
          <w:i w:val="0"/>
          <w:iCs w:val="0"/>
        </w:rPr>
        <w:t>64</w:t>
      </w:r>
      <w:r>
        <w:rPr>
          <w:i w:val="0"/>
          <w:iCs w:val="0"/>
        </w:rPr>
        <w:fldChar w:fldCharType="end"/>
      </w:r>
      <w:r>
        <w:rPr>
          <w:rFonts w:ascii="宋体" w:hAnsi="宋体"/>
          <w:bCs/>
          <w:i w:val="0"/>
          <w:iCs w:val="0"/>
          <w:szCs w:val="21"/>
          <w:lang w:val="zh-CN"/>
        </w:rPr>
        <w:fldChar w:fldCharType="end"/>
      </w:r>
    </w:p>
    <w:p w14:paraId="439D8AF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_Toc10408 </w:instrText>
      </w:r>
      <w:r>
        <w:rPr>
          <w:rFonts w:ascii="宋体" w:hAnsi="宋体"/>
          <w:bCs/>
          <w:i w:val="0"/>
          <w:iCs w:val="0"/>
          <w:szCs w:val="21"/>
          <w:lang w:val="zh-CN"/>
        </w:rPr>
        <w:fldChar w:fldCharType="separate"/>
      </w:r>
      <w:r>
        <w:rPr>
          <w:rFonts w:hint="eastAsia" w:ascii="宋体" w:hAnsi="宋体" w:cs="宋体"/>
          <w:i w:val="0"/>
          <w:iCs w:val="0"/>
          <w:szCs w:val="21"/>
        </w:rPr>
        <w:t>3.3 投标文件的澄清和补正</w:t>
      </w:r>
      <w:r>
        <w:rPr>
          <w:i w:val="0"/>
          <w:iCs w:val="0"/>
        </w:rPr>
        <w:tab/>
      </w:r>
      <w:r>
        <w:rPr>
          <w:i w:val="0"/>
          <w:iCs w:val="0"/>
        </w:rPr>
        <w:fldChar w:fldCharType="begin"/>
      </w:r>
      <w:r>
        <w:rPr>
          <w:i w:val="0"/>
          <w:iCs w:val="0"/>
        </w:rPr>
        <w:instrText xml:space="preserve"> PAGEREF _Toc10408 \h </w:instrText>
      </w:r>
      <w:r>
        <w:rPr>
          <w:i w:val="0"/>
          <w:iCs w:val="0"/>
        </w:rPr>
        <w:fldChar w:fldCharType="separate"/>
      </w:r>
      <w:r>
        <w:rPr>
          <w:i w:val="0"/>
          <w:iCs w:val="0"/>
        </w:rPr>
        <w:t>65</w:t>
      </w:r>
      <w:r>
        <w:rPr>
          <w:i w:val="0"/>
          <w:iCs w:val="0"/>
        </w:rPr>
        <w:fldChar w:fldCharType="end"/>
      </w:r>
      <w:r>
        <w:rPr>
          <w:rFonts w:ascii="宋体" w:hAnsi="宋体"/>
          <w:bCs/>
          <w:i w:val="0"/>
          <w:iCs w:val="0"/>
          <w:szCs w:val="21"/>
          <w:lang w:val="zh-CN"/>
        </w:rPr>
        <w:fldChar w:fldCharType="end"/>
      </w:r>
    </w:p>
    <w:p w14:paraId="2166AD2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_Toc6537 </w:instrText>
      </w:r>
      <w:r>
        <w:rPr>
          <w:rFonts w:ascii="宋体" w:hAnsi="宋体"/>
          <w:bCs/>
          <w:i w:val="0"/>
          <w:iCs w:val="0"/>
          <w:szCs w:val="21"/>
          <w:lang w:val="zh-CN"/>
        </w:rPr>
        <w:fldChar w:fldCharType="separate"/>
      </w:r>
      <w:r>
        <w:rPr>
          <w:rFonts w:hint="eastAsia" w:ascii="宋体" w:hAnsi="宋体" w:cs="宋体"/>
          <w:i w:val="0"/>
          <w:iCs w:val="0"/>
          <w:szCs w:val="21"/>
        </w:rPr>
        <w:t>3.4 评标结果</w:t>
      </w:r>
      <w:r>
        <w:rPr>
          <w:i w:val="0"/>
          <w:iCs w:val="0"/>
        </w:rPr>
        <w:tab/>
      </w:r>
      <w:r>
        <w:rPr>
          <w:i w:val="0"/>
          <w:iCs w:val="0"/>
        </w:rPr>
        <w:fldChar w:fldCharType="begin"/>
      </w:r>
      <w:r>
        <w:rPr>
          <w:i w:val="0"/>
          <w:iCs w:val="0"/>
        </w:rPr>
        <w:instrText xml:space="preserve"> PAGEREF _Toc6537 \h </w:instrText>
      </w:r>
      <w:r>
        <w:rPr>
          <w:i w:val="0"/>
          <w:iCs w:val="0"/>
        </w:rPr>
        <w:fldChar w:fldCharType="separate"/>
      </w:r>
      <w:r>
        <w:rPr>
          <w:i w:val="0"/>
          <w:iCs w:val="0"/>
        </w:rPr>
        <w:t>65</w:t>
      </w:r>
      <w:r>
        <w:rPr>
          <w:i w:val="0"/>
          <w:iCs w:val="0"/>
        </w:rPr>
        <w:fldChar w:fldCharType="end"/>
      </w:r>
      <w:r>
        <w:rPr>
          <w:rFonts w:ascii="宋体" w:hAnsi="宋体"/>
          <w:bCs/>
          <w:i w:val="0"/>
          <w:iCs w:val="0"/>
          <w:szCs w:val="21"/>
          <w:lang w:val="zh-CN"/>
        </w:rPr>
        <w:fldChar w:fldCharType="end"/>
      </w:r>
    </w:p>
    <w:p w14:paraId="48A13863">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_Toc723 </w:instrText>
      </w:r>
      <w:r>
        <w:rPr>
          <w:rFonts w:ascii="宋体" w:hAnsi="宋体"/>
          <w:bCs/>
          <w:szCs w:val="21"/>
          <w:lang w:val="zh-CN"/>
        </w:rPr>
        <w:fldChar w:fldCharType="separate"/>
      </w:r>
      <w:r>
        <w:rPr>
          <w:rFonts w:ascii="宋体" w:hAnsi="宋体"/>
        </w:rPr>
        <w:t>第三章</w:t>
      </w:r>
      <w:r>
        <w:rPr>
          <w:rFonts w:hint="eastAsia" w:ascii="宋体" w:hAnsi="宋体"/>
        </w:rPr>
        <w:t xml:space="preserve">  </w:t>
      </w:r>
      <w:r>
        <w:rPr>
          <w:rFonts w:ascii="宋体" w:hAnsi="宋体"/>
        </w:rPr>
        <w:t>评标办法（综合评估法）</w:t>
      </w:r>
      <w:r>
        <w:tab/>
      </w:r>
      <w:r>
        <w:fldChar w:fldCharType="begin"/>
      </w:r>
      <w:r>
        <w:instrText xml:space="preserve"> PAGEREF _Toc723 \h </w:instrText>
      </w:r>
      <w:r>
        <w:fldChar w:fldCharType="separate"/>
      </w:r>
      <w:r>
        <w:t>70</w:t>
      </w:r>
      <w:r>
        <w:fldChar w:fldCharType="end"/>
      </w:r>
      <w:r>
        <w:rPr>
          <w:rFonts w:ascii="宋体" w:hAnsi="宋体"/>
          <w:bCs/>
          <w:szCs w:val="21"/>
          <w:lang w:val="zh-CN"/>
        </w:rPr>
        <w:fldChar w:fldCharType="end"/>
      </w:r>
    </w:p>
    <w:p w14:paraId="66A5698F">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_Toc18928 </w:instrText>
      </w:r>
      <w:r>
        <w:rPr>
          <w:rFonts w:ascii="宋体" w:hAnsi="宋体"/>
          <w:bCs/>
          <w:szCs w:val="21"/>
          <w:lang w:val="zh-CN"/>
        </w:rPr>
        <w:fldChar w:fldCharType="separate"/>
      </w:r>
      <w:r>
        <w:rPr>
          <w:rFonts w:hint="eastAsia" w:ascii="宋体" w:hAnsi="宋体" w:cs="宋体"/>
          <w:szCs w:val="28"/>
        </w:rPr>
        <w:t>评标办法前附表</w:t>
      </w:r>
      <w:r>
        <w:tab/>
      </w:r>
      <w:r>
        <w:fldChar w:fldCharType="begin"/>
      </w:r>
      <w:r>
        <w:instrText xml:space="preserve"> PAGEREF _Toc18928 \h </w:instrText>
      </w:r>
      <w:r>
        <w:fldChar w:fldCharType="separate"/>
      </w:r>
      <w:r>
        <w:t>70</w:t>
      </w:r>
      <w:r>
        <w:fldChar w:fldCharType="end"/>
      </w:r>
      <w:r>
        <w:rPr>
          <w:rFonts w:ascii="宋体" w:hAnsi="宋体"/>
          <w:bCs/>
          <w:szCs w:val="21"/>
          <w:lang w:val="zh-CN"/>
        </w:rPr>
        <w:fldChar w:fldCharType="end"/>
      </w:r>
    </w:p>
    <w:p w14:paraId="1AE82A45">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_Toc25811 </w:instrText>
      </w:r>
      <w:r>
        <w:rPr>
          <w:rFonts w:ascii="宋体" w:hAnsi="宋体"/>
          <w:bCs/>
          <w:szCs w:val="21"/>
          <w:lang w:val="zh-CN"/>
        </w:rPr>
        <w:fldChar w:fldCharType="separate"/>
      </w:r>
      <w:r>
        <w:rPr>
          <w:rFonts w:hint="eastAsia" w:ascii="宋体" w:hAnsi="宋体" w:cs="宋体"/>
          <w:szCs w:val="28"/>
        </w:rPr>
        <w:t>1. 评标方法</w:t>
      </w:r>
      <w:r>
        <w:tab/>
      </w:r>
      <w:r>
        <w:fldChar w:fldCharType="begin"/>
      </w:r>
      <w:r>
        <w:instrText xml:space="preserve"> PAGEREF _Toc25811 \h </w:instrText>
      </w:r>
      <w:r>
        <w:fldChar w:fldCharType="separate"/>
      </w:r>
      <w:r>
        <w:t>78</w:t>
      </w:r>
      <w:r>
        <w:fldChar w:fldCharType="end"/>
      </w:r>
      <w:r>
        <w:rPr>
          <w:rFonts w:ascii="宋体" w:hAnsi="宋体"/>
          <w:bCs/>
          <w:szCs w:val="21"/>
          <w:lang w:val="zh-CN"/>
        </w:rPr>
        <w:fldChar w:fldCharType="end"/>
      </w:r>
    </w:p>
    <w:p w14:paraId="735A0983">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_Toc13018 </w:instrText>
      </w:r>
      <w:r>
        <w:rPr>
          <w:rFonts w:ascii="宋体" w:hAnsi="宋体"/>
          <w:bCs/>
          <w:szCs w:val="21"/>
          <w:lang w:val="zh-CN"/>
        </w:rPr>
        <w:fldChar w:fldCharType="separate"/>
      </w:r>
      <w:r>
        <w:rPr>
          <w:rFonts w:hint="eastAsia" w:ascii="宋体" w:hAnsi="宋体" w:cs="宋体"/>
          <w:szCs w:val="28"/>
        </w:rPr>
        <w:t>2. 评审标准</w:t>
      </w:r>
      <w:r>
        <w:tab/>
      </w:r>
      <w:r>
        <w:fldChar w:fldCharType="begin"/>
      </w:r>
      <w:r>
        <w:instrText xml:space="preserve"> PAGEREF _Toc13018 \h </w:instrText>
      </w:r>
      <w:r>
        <w:fldChar w:fldCharType="separate"/>
      </w:r>
      <w:r>
        <w:t>78</w:t>
      </w:r>
      <w:r>
        <w:fldChar w:fldCharType="end"/>
      </w:r>
      <w:r>
        <w:rPr>
          <w:rFonts w:ascii="宋体" w:hAnsi="宋体"/>
          <w:bCs/>
          <w:szCs w:val="21"/>
          <w:lang w:val="zh-CN"/>
        </w:rPr>
        <w:fldChar w:fldCharType="end"/>
      </w:r>
    </w:p>
    <w:p w14:paraId="3E9EC986">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_Toc28191 </w:instrText>
      </w:r>
      <w:r>
        <w:rPr>
          <w:rFonts w:ascii="宋体" w:hAnsi="宋体"/>
          <w:bCs/>
          <w:i w:val="0"/>
          <w:iCs w:val="0"/>
          <w:szCs w:val="21"/>
          <w:lang w:val="zh-CN"/>
        </w:rPr>
        <w:fldChar w:fldCharType="separate"/>
      </w:r>
      <w:r>
        <w:rPr>
          <w:rFonts w:hint="eastAsia" w:ascii="宋体" w:hAnsi="宋体" w:cs="宋体"/>
          <w:i w:val="0"/>
          <w:iCs w:val="0"/>
          <w:szCs w:val="21"/>
        </w:rPr>
        <w:t>2.1 初步评审标准</w:t>
      </w:r>
      <w:r>
        <w:rPr>
          <w:i w:val="0"/>
          <w:iCs w:val="0"/>
        </w:rPr>
        <w:tab/>
      </w:r>
      <w:r>
        <w:rPr>
          <w:i w:val="0"/>
          <w:iCs w:val="0"/>
        </w:rPr>
        <w:fldChar w:fldCharType="begin"/>
      </w:r>
      <w:r>
        <w:rPr>
          <w:i w:val="0"/>
          <w:iCs w:val="0"/>
        </w:rPr>
        <w:instrText xml:space="preserve"> PAGEREF _Toc28191 \h </w:instrText>
      </w:r>
      <w:r>
        <w:rPr>
          <w:i w:val="0"/>
          <w:iCs w:val="0"/>
        </w:rPr>
        <w:fldChar w:fldCharType="separate"/>
      </w:r>
      <w:r>
        <w:rPr>
          <w:i w:val="0"/>
          <w:iCs w:val="0"/>
        </w:rPr>
        <w:t>78</w:t>
      </w:r>
      <w:r>
        <w:rPr>
          <w:i w:val="0"/>
          <w:iCs w:val="0"/>
        </w:rPr>
        <w:fldChar w:fldCharType="end"/>
      </w:r>
      <w:r>
        <w:rPr>
          <w:rFonts w:ascii="宋体" w:hAnsi="宋体"/>
          <w:bCs/>
          <w:i w:val="0"/>
          <w:iCs w:val="0"/>
          <w:szCs w:val="21"/>
          <w:lang w:val="zh-CN"/>
        </w:rPr>
        <w:fldChar w:fldCharType="end"/>
      </w:r>
    </w:p>
    <w:p w14:paraId="731D21FE">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_Toc2031 </w:instrText>
      </w:r>
      <w:r>
        <w:rPr>
          <w:rFonts w:ascii="宋体" w:hAnsi="宋体"/>
          <w:bCs/>
          <w:i w:val="0"/>
          <w:iCs w:val="0"/>
          <w:szCs w:val="21"/>
          <w:lang w:val="zh-CN"/>
        </w:rPr>
        <w:fldChar w:fldCharType="separate"/>
      </w:r>
      <w:r>
        <w:rPr>
          <w:rFonts w:hint="eastAsia" w:ascii="宋体" w:hAnsi="宋体" w:cs="宋体"/>
          <w:i w:val="0"/>
          <w:iCs w:val="0"/>
          <w:szCs w:val="21"/>
        </w:rPr>
        <w:t>2.2 分值构成与评分标准</w:t>
      </w:r>
      <w:r>
        <w:rPr>
          <w:i w:val="0"/>
          <w:iCs w:val="0"/>
        </w:rPr>
        <w:tab/>
      </w:r>
      <w:r>
        <w:rPr>
          <w:i w:val="0"/>
          <w:iCs w:val="0"/>
        </w:rPr>
        <w:fldChar w:fldCharType="begin"/>
      </w:r>
      <w:r>
        <w:rPr>
          <w:i w:val="0"/>
          <w:iCs w:val="0"/>
        </w:rPr>
        <w:instrText xml:space="preserve"> PAGEREF _Toc2031 \h </w:instrText>
      </w:r>
      <w:r>
        <w:rPr>
          <w:i w:val="0"/>
          <w:iCs w:val="0"/>
        </w:rPr>
        <w:fldChar w:fldCharType="separate"/>
      </w:r>
      <w:r>
        <w:rPr>
          <w:i w:val="0"/>
          <w:iCs w:val="0"/>
        </w:rPr>
        <w:t>78</w:t>
      </w:r>
      <w:r>
        <w:rPr>
          <w:i w:val="0"/>
          <w:iCs w:val="0"/>
        </w:rPr>
        <w:fldChar w:fldCharType="end"/>
      </w:r>
      <w:r>
        <w:rPr>
          <w:rFonts w:ascii="宋体" w:hAnsi="宋体"/>
          <w:bCs/>
          <w:i w:val="0"/>
          <w:iCs w:val="0"/>
          <w:szCs w:val="21"/>
          <w:lang w:val="zh-CN"/>
        </w:rPr>
        <w:fldChar w:fldCharType="end"/>
      </w:r>
    </w:p>
    <w:p w14:paraId="4A7C5536">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_Toc25749 </w:instrText>
      </w:r>
      <w:r>
        <w:rPr>
          <w:rFonts w:ascii="宋体" w:hAnsi="宋体"/>
          <w:bCs/>
          <w:szCs w:val="21"/>
          <w:lang w:val="zh-CN"/>
        </w:rPr>
        <w:fldChar w:fldCharType="separate"/>
      </w:r>
      <w:r>
        <w:rPr>
          <w:rFonts w:hint="eastAsia" w:ascii="宋体" w:hAnsi="宋体" w:cs="宋体"/>
          <w:szCs w:val="28"/>
        </w:rPr>
        <w:t>3. 评标程序</w:t>
      </w:r>
      <w:r>
        <w:tab/>
      </w:r>
      <w:r>
        <w:fldChar w:fldCharType="begin"/>
      </w:r>
      <w:r>
        <w:instrText xml:space="preserve"> PAGEREF _Toc25749 \h </w:instrText>
      </w:r>
      <w:r>
        <w:fldChar w:fldCharType="separate"/>
      </w:r>
      <w:r>
        <w:t>78</w:t>
      </w:r>
      <w:r>
        <w:fldChar w:fldCharType="end"/>
      </w:r>
      <w:r>
        <w:rPr>
          <w:rFonts w:ascii="宋体" w:hAnsi="宋体"/>
          <w:bCs/>
          <w:szCs w:val="21"/>
          <w:lang w:val="zh-CN"/>
        </w:rPr>
        <w:fldChar w:fldCharType="end"/>
      </w:r>
    </w:p>
    <w:p w14:paraId="4B26DF9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_Toc27029 </w:instrText>
      </w:r>
      <w:r>
        <w:rPr>
          <w:rFonts w:ascii="宋体" w:hAnsi="宋体"/>
          <w:bCs/>
          <w:i w:val="0"/>
          <w:iCs w:val="0"/>
          <w:szCs w:val="21"/>
          <w:lang w:val="zh-CN"/>
        </w:rPr>
        <w:fldChar w:fldCharType="separate"/>
      </w:r>
      <w:r>
        <w:rPr>
          <w:rFonts w:hint="eastAsia" w:ascii="宋体" w:hAnsi="宋体" w:cs="宋体"/>
          <w:i w:val="0"/>
          <w:iCs w:val="0"/>
          <w:szCs w:val="21"/>
        </w:rPr>
        <w:t>3.1 初步评审</w:t>
      </w:r>
      <w:r>
        <w:rPr>
          <w:i w:val="0"/>
          <w:iCs w:val="0"/>
        </w:rPr>
        <w:tab/>
      </w:r>
      <w:r>
        <w:rPr>
          <w:i w:val="0"/>
          <w:iCs w:val="0"/>
        </w:rPr>
        <w:fldChar w:fldCharType="begin"/>
      </w:r>
      <w:r>
        <w:rPr>
          <w:i w:val="0"/>
          <w:iCs w:val="0"/>
        </w:rPr>
        <w:instrText xml:space="preserve"> PAGEREF _Toc27029 \h </w:instrText>
      </w:r>
      <w:r>
        <w:rPr>
          <w:i w:val="0"/>
          <w:iCs w:val="0"/>
        </w:rPr>
        <w:fldChar w:fldCharType="separate"/>
      </w:r>
      <w:r>
        <w:rPr>
          <w:i w:val="0"/>
          <w:iCs w:val="0"/>
        </w:rPr>
        <w:t>78</w:t>
      </w:r>
      <w:r>
        <w:rPr>
          <w:i w:val="0"/>
          <w:iCs w:val="0"/>
        </w:rPr>
        <w:fldChar w:fldCharType="end"/>
      </w:r>
      <w:r>
        <w:rPr>
          <w:rFonts w:ascii="宋体" w:hAnsi="宋体"/>
          <w:bCs/>
          <w:i w:val="0"/>
          <w:iCs w:val="0"/>
          <w:szCs w:val="21"/>
          <w:lang w:val="zh-CN"/>
        </w:rPr>
        <w:fldChar w:fldCharType="end"/>
      </w:r>
    </w:p>
    <w:p w14:paraId="5D80505E">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_Toc32301 </w:instrText>
      </w:r>
      <w:r>
        <w:rPr>
          <w:rFonts w:ascii="宋体" w:hAnsi="宋体"/>
          <w:bCs/>
          <w:i w:val="0"/>
          <w:iCs w:val="0"/>
          <w:szCs w:val="21"/>
          <w:lang w:val="zh-CN"/>
        </w:rPr>
        <w:fldChar w:fldCharType="separate"/>
      </w:r>
      <w:r>
        <w:rPr>
          <w:rFonts w:hint="eastAsia" w:ascii="宋体" w:hAnsi="宋体" w:cs="宋体"/>
          <w:i w:val="0"/>
          <w:iCs w:val="0"/>
          <w:szCs w:val="21"/>
        </w:rPr>
        <w:t>3.2 详细评审</w:t>
      </w:r>
      <w:r>
        <w:rPr>
          <w:i w:val="0"/>
          <w:iCs w:val="0"/>
        </w:rPr>
        <w:tab/>
      </w:r>
      <w:r>
        <w:rPr>
          <w:i w:val="0"/>
          <w:iCs w:val="0"/>
        </w:rPr>
        <w:fldChar w:fldCharType="begin"/>
      </w:r>
      <w:r>
        <w:rPr>
          <w:i w:val="0"/>
          <w:iCs w:val="0"/>
        </w:rPr>
        <w:instrText xml:space="preserve"> PAGEREF _Toc32301 \h </w:instrText>
      </w:r>
      <w:r>
        <w:rPr>
          <w:i w:val="0"/>
          <w:iCs w:val="0"/>
        </w:rPr>
        <w:fldChar w:fldCharType="separate"/>
      </w:r>
      <w:r>
        <w:rPr>
          <w:i w:val="0"/>
          <w:iCs w:val="0"/>
        </w:rPr>
        <w:t>79</w:t>
      </w:r>
      <w:r>
        <w:rPr>
          <w:i w:val="0"/>
          <w:iCs w:val="0"/>
        </w:rPr>
        <w:fldChar w:fldCharType="end"/>
      </w:r>
      <w:r>
        <w:rPr>
          <w:rFonts w:ascii="宋体" w:hAnsi="宋体"/>
          <w:bCs/>
          <w:i w:val="0"/>
          <w:iCs w:val="0"/>
          <w:szCs w:val="21"/>
          <w:lang w:val="zh-CN"/>
        </w:rPr>
        <w:fldChar w:fldCharType="end"/>
      </w:r>
    </w:p>
    <w:p w14:paraId="713041C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_Toc14411 </w:instrText>
      </w:r>
      <w:r>
        <w:rPr>
          <w:rFonts w:ascii="宋体" w:hAnsi="宋体"/>
          <w:bCs/>
          <w:i w:val="0"/>
          <w:iCs w:val="0"/>
          <w:szCs w:val="21"/>
          <w:lang w:val="zh-CN"/>
        </w:rPr>
        <w:fldChar w:fldCharType="separate"/>
      </w:r>
      <w:r>
        <w:rPr>
          <w:rFonts w:hint="eastAsia" w:ascii="宋体" w:hAnsi="宋体" w:cs="宋体"/>
          <w:i w:val="0"/>
          <w:iCs w:val="0"/>
          <w:szCs w:val="21"/>
        </w:rPr>
        <w:t>3.3 投标文件的澄清和补正</w:t>
      </w:r>
      <w:r>
        <w:rPr>
          <w:i w:val="0"/>
          <w:iCs w:val="0"/>
        </w:rPr>
        <w:tab/>
      </w:r>
      <w:r>
        <w:rPr>
          <w:i w:val="0"/>
          <w:iCs w:val="0"/>
        </w:rPr>
        <w:fldChar w:fldCharType="begin"/>
      </w:r>
      <w:r>
        <w:rPr>
          <w:i w:val="0"/>
          <w:iCs w:val="0"/>
        </w:rPr>
        <w:instrText xml:space="preserve"> PAGEREF _Toc14411 \h </w:instrText>
      </w:r>
      <w:r>
        <w:rPr>
          <w:i w:val="0"/>
          <w:iCs w:val="0"/>
        </w:rPr>
        <w:fldChar w:fldCharType="separate"/>
      </w:r>
      <w:r>
        <w:rPr>
          <w:i w:val="0"/>
          <w:iCs w:val="0"/>
        </w:rPr>
        <w:t>79</w:t>
      </w:r>
      <w:r>
        <w:rPr>
          <w:i w:val="0"/>
          <w:iCs w:val="0"/>
        </w:rPr>
        <w:fldChar w:fldCharType="end"/>
      </w:r>
      <w:r>
        <w:rPr>
          <w:rFonts w:ascii="宋体" w:hAnsi="宋体"/>
          <w:bCs/>
          <w:i w:val="0"/>
          <w:iCs w:val="0"/>
          <w:szCs w:val="21"/>
          <w:lang w:val="zh-CN"/>
        </w:rPr>
        <w:fldChar w:fldCharType="end"/>
      </w:r>
    </w:p>
    <w:p w14:paraId="3D3C552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_Toc14898 </w:instrText>
      </w:r>
      <w:r>
        <w:rPr>
          <w:rFonts w:ascii="宋体" w:hAnsi="宋体"/>
          <w:bCs/>
          <w:i w:val="0"/>
          <w:iCs w:val="0"/>
          <w:szCs w:val="21"/>
          <w:lang w:val="zh-CN"/>
        </w:rPr>
        <w:fldChar w:fldCharType="separate"/>
      </w:r>
      <w:r>
        <w:rPr>
          <w:rFonts w:hint="eastAsia" w:ascii="宋体" w:hAnsi="宋体" w:cs="宋体"/>
          <w:i w:val="0"/>
          <w:iCs w:val="0"/>
          <w:szCs w:val="21"/>
        </w:rPr>
        <w:t>3.4 评标结果</w:t>
      </w:r>
      <w:r>
        <w:rPr>
          <w:i w:val="0"/>
          <w:iCs w:val="0"/>
        </w:rPr>
        <w:tab/>
      </w:r>
      <w:r>
        <w:rPr>
          <w:i w:val="0"/>
          <w:iCs w:val="0"/>
        </w:rPr>
        <w:fldChar w:fldCharType="begin"/>
      </w:r>
      <w:r>
        <w:rPr>
          <w:i w:val="0"/>
          <w:iCs w:val="0"/>
        </w:rPr>
        <w:instrText xml:space="preserve"> PAGEREF _Toc14898 \h </w:instrText>
      </w:r>
      <w:r>
        <w:rPr>
          <w:i w:val="0"/>
          <w:iCs w:val="0"/>
        </w:rPr>
        <w:fldChar w:fldCharType="separate"/>
      </w:r>
      <w:r>
        <w:rPr>
          <w:i w:val="0"/>
          <w:iCs w:val="0"/>
        </w:rPr>
        <w:t>79</w:t>
      </w:r>
      <w:r>
        <w:rPr>
          <w:i w:val="0"/>
          <w:iCs w:val="0"/>
        </w:rPr>
        <w:fldChar w:fldCharType="end"/>
      </w:r>
      <w:r>
        <w:rPr>
          <w:rFonts w:ascii="宋体" w:hAnsi="宋体"/>
          <w:bCs/>
          <w:i w:val="0"/>
          <w:iCs w:val="0"/>
          <w:szCs w:val="21"/>
          <w:lang w:val="zh-CN"/>
        </w:rPr>
        <w:fldChar w:fldCharType="end"/>
      </w:r>
    </w:p>
    <w:p w14:paraId="59CF1F49">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_Toc7147 </w:instrText>
      </w:r>
      <w:r>
        <w:rPr>
          <w:rFonts w:ascii="宋体" w:hAnsi="宋体"/>
          <w:bCs/>
          <w:szCs w:val="21"/>
          <w:lang w:val="zh-CN"/>
        </w:rPr>
        <w:fldChar w:fldCharType="separate"/>
      </w:r>
      <w:r>
        <w:rPr>
          <w:rFonts w:hint="eastAsia" w:ascii="宋体" w:hAnsi="宋体"/>
          <w:kern w:val="0"/>
        </w:rPr>
        <w:t>第四章  合同条款及格式</w:t>
      </w:r>
      <w:r>
        <w:tab/>
      </w:r>
      <w:r>
        <w:fldChar w:fldCharType="begin"/>
      </w:r>
      <w:r>
        <w:instrText xml:space="preserve"> PAGEREF _Toc7147 \h </w:instrText>
      </w:r>
      <w:r>
        <w:fldChar w:fldCharType="separate"/>
      </w:r>
      <w:r>
        <w:t>84</w:t>
      </w:r>
      <w:r>
        <w:fldChar w:fldCharType="end"/>
      </w:r>
      <w:r>
        <w:rPr>
          <w:rFonts w:ascii="宋体" w:hAnsi="宋体"/>
          <w:bCs/>
          <w:szCs w:val="21"/>
          <w:lang w:val="zh-CN"/>
        </w:rPr>
        <w:fldChar w:fldCharType="end"/>
      </w:r>
    </w:p>
    <w:p w14:paraId="5A93928A">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_Toc6115 </w:instrText>
      </w:r>
      <w:r>
        <w:rPr>
          <w:rFonts w:ascii="宋体" w:hAnsi="宋体"/>
          <w:bCs/>
          <w:szCs w:val="21"/>
          <w:lang w:val="zh-CN"/>
        </w:rPr>
        <w:fldChar w:fldCharType="separate"/>
      </w:r>
      <w:r>
        <w:rPr>
          <w:rFonts w:ascii="宋体" w:hAnsi="宋体"/>
          <w:bCs/>
        </w:rPr>
        <w:t>第一</w:t>
      </w:r>
      <w:r>
        <w:rPr>
          <w:rFonts w:hint="eastAsia" w:ascii="宋体" w:hAnsi="宋体" w:cs="宋体"/>
          <w:snapToGrid w:val="0"/>
        </w:rPr>
        <w:t>节 通用</w:t>
      </w:r>
      <w:r>
        <w:rPr>
          <w:rFonts w:hint="eastAsia" w:ascii="宋体" w:hAnsi="宋体"/>
          <w:bCs/>
        </w:rPr>
        <w:t>合同条款</w:t>
      </w:r>
      <w:r>
        <w:tab/>
      </w:r>
      <w:r>
        <w:fldChar w:fldCharType="begin"/>
      </w:r>
      <w:r>
        <w:instrText xml:space="preserve"> PAGEREF _Toc6115 \h </w:instrText>
      </w:r>
      <w:r>
        <w:fldChar w:fldCharType="separate"/>
      </w:r>
      <w:r>
        <w:t>85</w:t>
      </w:r>
      <w:r>
        <w:fldChar w:fldCharType="end"/>
      </w:r>
      <w:r>
        <w:rPr>
          <w:rFonts w:ascii="宋体" w:hAnsi="宋体"/>
          <w:bCs/>
          <w:szCs w:val="21"/>
          <w:lang w:val="zh-CN"/>
        </w:rPr>
        <w:fldChar w:fldCharType="end"/>
      </w:r>
    </w:p>
    <w:p w14:paraId="6C498FF4">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_Toc31298 </w:instrText>
      </w:r>
      <w:r>
        <w:rPr>
          <w:rFonts w:ascii="宋体" w:hAnsi="宋体"/>
          <w:bCs/>
          <w:i w:val="0"/>
          <w:iCs w:val="0"/>
          <w:szCs w:val="21"/>
          <w:lang w:val="zh-CN"/>
        </w:rPr>
        <w:fldChar w:fldCharType="separate"/>
      </w:r>
      <w:r>
        <w:rPr>
          <w:rFonts w:hint="eastAsia" w:ascii="宋体" w:hAnsi="宋体"/>
          <w:i w:val="0"/>
          <w:iCs w:val="0"/>
        </w:rPr>
        <w:t>1、一般约定</w:t>
      </w:r>
      <w:r>
        <w:rPr>
          <w:i w:val="0"/>
          <w:iCs w:val="0"/>
        </w:rPr>
        <w:tab/>
      </w:r>
      <w:r>
        <w:rPr>
          <w:i w:val="0"/>
          <w:iCs w:val="0"/>
        </w:rPr>
        <w:fldChar w:fldCharType="begin"/>
      </w:r>
      <w:r>
        <w:rPr>
          <w:i w:val="0"/>
          <w:iCs w:val="0"/>
        </w:rPr>
        <w:instrText xml:space="preserve"> PAGEREF _Toc31298 \h </w:instrText>
      </w:r>
      <w:r>
        <w:rPr>
          <w:i w:val="0"/>
          <w:iCs w:val="0"/>
        </w:rPr>
        <w:fldChar w:fldCharType="separate"/>
      </w:r>
      <w:r>
        <w:rPr>
          <w:i w:val="0"/>
          <w:iCs w:val="0"/>
        </w:rPr>
        <w:t>86</w:t>
      </w:r>
      <w:r>
        <w:rPr>
          <w:i w:val="0"/>
          <w:iCs w:val="0"/>
        </w:rPr>
        <w:fldChar w:fldCharType="end"/>
      </w:r>
      <w:r>
        <w:rPr>
          <w:rFonts w:ascii="宋体" w:hAnsi="宋体"/>
          <w:bCs/>
          <w:i w:val="0"/>
          <w:iCs w:val="0"/>
          <w:szCs w:val="21"/>
          <w:lang w:val="zh-CN"/>
        </w:rPr>
        <w:fldChar w:fldCharType="end"/>
      </w:r>
    </w:p>
    <w:p w14:paraId="3669C00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_Toc25407 </w:instrText>
      </w:r>
      <w:r>
        <w:rPr>
          <w:rFonts w:ascii="宋体" w:hAnsi="宋体"/>
          <w:bCs/>
          <w:i w:val="0"/>
          <w:iCs w:val="0"/>
          <w:szCs w:val="21"/>
          <w:lang w:val="zh-CN"/>
        </w:rPr>
        <w:fldChar w:fldCharType="separate"/>
      </w:r>
      <w:r>
        <w:rPr>
          <w:rFonts w:hint="eastAsia" w:ascii="宋体" w:hAnsi="宋体"/>
          <w:i w:val="0"/>
          <w:iCs w:val="0"/>
        </w:rPr>
        <w:t>2、发包人义务</w:t>
      </w:r>
      <w:r>
        <w:rPr>
          <w:i w:val="0"/>
          <w:iCs w:val="0"/>
        </w:rPr>
        <w:tab/>
      </w:r>
      <w:r>
        <w:rPr>
          <w:i w:val="0"/>
          <w:iCs w:val="0"/>
        </w:rPr>
        <w:fldChar w:fldCharType="begin"/>
      </w:r>
      <w:r>
        <w:rPr>
          <w:i w:val="0"/>
          <w:iCs w:val="0"/>
        </w:rPr>
        <w:instrText xml:space="preserve"> PAGEREF _Toc25407 \h </w:instrText>
      </w:r>
      <w:r>
        <w:rPr>
          <w:i w:val="0"/>
          <w:iCs w:val="0"/>
        </w:rPr>
        <w:fldChar w:fldCharType="separate"/>
      </w:r>
      <w:r>
        <w:rPr>
          <w:i w:val="0"/>
          <w:iCs w:val="0"/>
        </w:rPr>
        <w:t>90</w:t>
      </w:r>
      <w:r>
        <w:rPr>
          <w:i w:val="0"/>
          <w:iCs w:val="0"/>
        </w:rPr>
        <w:fldChar w:fldCharType="end"/>
      </w:r>
      <w:r>
        <w:rPr>
          <w:rFonts w:ascii="宋体" w:hAnsi="宋体"/>
          <w:bCs/>
          <w:i w:val="0"/>
          <w:iCs w:val="0"/>
          <w:szCs w:val="21"/>
          <w:lang w:val="zh-CN"/>
        </w:rPr>
        <w:fldChar w:fldCharType="end"/>
      </w:r>
    </w:p>
    <w:p w14:paraId="1E7DDCB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_Toc32558 </w:instrText>
      </w:r>
      <w:r>
        <w:rPr>
          <w:rFonts w:ascii="宋体" w:hAnsi="宋体"/>
          <w:bCs/>
          <w:i w:val="0"/>
          <w:iCs w:val="0"/>
          <w:szCs w:val="21"/>
          <w:lang w:val="zh-CN"/>
        </w:rPr>
        <w:fldChar w:fldCharType="separate"/>
      </w:r>
      <w:r>
        <w:rPr>
          <w:rFonts w:hint="eastAsia" w:ascii="宋体" w:hAnsi="宋体"/>
          <w:i w:val="0"/>
          <w:iCs w:val="0"/>
        </w:rPr>
        <w:t>3、监理人</w:t>
      </w:r>
      <w:r>
        <w:rPr>
          <w:i w:val="0"/>
          <w:iCs w:val="0"/>
        </w:rPr>
        <w:tab/>
      </w:r>
      <w:r>
        <w:rPr>
          <w:i w:val="0"/>
          <w:iCs w:val="0"/>
        </w:rPr>
        <w:fldChar w:fldCharType="begin"/>
      </w:r>
      <w:r>
        <w:rPr>
          <w:i w:val="0"/>
          <w:iCs w:val="0"/>
        </w:rPr>
        <w:instrText xml:space="preserve"> PAGEREF _Toc32558 \h </w:instrText>
      </w:r>
      <w:r>
        <w:rPr>
          <w:i w:val="0"/>
          <w:iCs w:val="0"/>
        </w:rPr>
        <w:fldChar w:fldCharType="separate"/>
      </w:r>
      <w:r>
        <w:rPr>
          <w:i w:val="0"/>
          <w:iCs w:val="0"/>
        </w:rPr>
        <w:t>91</w:t>
      </w:r>
      <w:r>
        <w:rPr>
          <w:i w:val="0"/>
          <w:iCs w:val="0"/>
        </w:rPr>
        <w:fldChar w:fldCharType="end"/>
      </w:r>
      <w:r>
        <w:rPr>
          <w:rFonts w:ascii="宋体" w:hAnsi="宋体"/>
          <w:bCs/>
          <w:i w:val="0"/>
          <w:iCs w:val="0"/>
          <w:szCs w:val="21"/>
          <w:lang w:val="zh-CN"/>
        </w:rPr>
        <w:fldChar w:fldCharType="end"/>
      </w:r>
    </w:p>
    <w:p w14:paraId="4E93DB4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_Toc20761 </w:instrText>
      </w:r>
      <w:r>
        <w:rPr>
          <w:rFonts w:ascii="宋体" w:hAnsi="宋体"/>
          <w:bCs/>
          <w:i w:val="0"/>
          <w:iCs w:val="0"/>
          <w:szCs w:val="21"/>
          <w:lang w:val="zh-CN"/>
        </w:rPr>
        <w:fldChar w:fldCharType="separate"/>
      </w:r>
      <w:r>
        <w:rPr>
          <w:rFonts w:hint="eastAsia" w:ascii="宋体" w:hAnsi="宋体"/>
          <w:i w:val="0"/>
          <w:iCs w:val="0"/>
        </w:rPr>
        <w:t>4、承包人</w:t>
      </w:r>
      <w:r>
        <w:rPr>
          <w:i w:val="0"/>
          <w:iCs w:val="0"/>
        </w:rPr>
        <w:tab/>
      </w:r>
      <w:r>
        <w:rPr>
          <w:i w:val="0"/>
          <w:iCs w:val="0"/>
        </w:rPr>
        <w:fldChar w:fldCharType="begin"/>
      </w:r>
      <w:r>
        <w:rPr>
          <w:i w:val="0"/>
          <w:iCs w:val="0"/>
        </w:rPr>
        <w:instrText xml:space="preserve"> PAGEREF _Toc20761 \h </w:instrText>
      </w:r>
      <w:r>
        <w:rPr>
          <w:i w:val="0"/>
          <w:iCs w:val="0"/>
        </w:rPr>
        <w:fldChar w:fldCharType="separate"/>
      </w:r>
      <w:r>
        <w:rPr>
          <w:i w:val="0"/>
          <w:iCs w:val="0"/>
        </w:rPr>
        <w:t>92</w:t>
      </w:r>
      <w:r>
        <w:rPr>
          <w:i w:val="0"/>
          <w:iCs w:val="0"/>
        </w:rPr>
        <w:fldChar w:fldCharType="end"/>
      </w:r>
      <w:r>
        <w:rPr>
          <w:rFonts w:ascii="宋体" w:hAnsi="宋体"/>
          <w:bCs/>
          <w:i w:val="0"/>
          <w:iCs w:val="0"/>
          <w:szCs w:val="21"/>
          <w:lang w:val="zh-CN"/>
        </w:rPr>
        <w:fldChar w:fldCharType="end"/>
      </w:r>
    </w:p>
    <w:p w14:paraId="338D88C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_Toc10976 </w:instrText>
      </w:r>
      <w:r>
        <w:rPr>
          <w:rFonts w:ascii="宋体" w:hAnsi="宋体"/>
          <w:bCs/>
          <w:i w:val="0"/>
          <w:iCs w:val="0"/>
          <w:szCs w:val="21"/>
          <w:lang w:val="zh-CN"/>
        </w:rPr>
        <w:fldChar w:fldCharType="separate"/>
      </w:r>
      <w:r>
        <w:rPr>
          <w:rFonts w:hint="eastAsia" w:ascii="宋体" w:hAnsi="宋体"/>
          <w:i w:val="0"/>
          <w:iCs w:val="0"/>
        </w:rPr>
        <w:t>5、材料和工程设备</w:t>
      </w:r>
      <w:r>
        <w:rPr>
          <w:i w:val="0"/>
          <w:iCs w:val="0"/>
        </w:rPr>
        <w:tab/>
      </w:r>
      <w:r>
        <w:rPr>
          <w:i w:val="0"/>
          <w:iCs w:val="0"/>
        </w:rPr>
        <w:fldChar w:fldCharType="begin"/>
      </w:r>
      <w:r>
        <w:rPr>
          <w:i w:val="0"/>
          <w:iCs w:val="0"/>
        </w:rPr>
        <w:instrText xml:space="preserve"> PAGEREF _Toc10976 \h </w:instrText>
      </w:r>
      <w:r>
        <w:rPr>
          <w:i w:val="0"/>
          <w:iCs w:val="0"/>
        </w:rPr>
        <w:fldChar w:fldCharType="separate"/>
      </w:r>
      <w:r>
        <w:rPr>
          <w:i w:val="0"/>
          <w:iCs w:val="0"/>
        </w:rPr>
        <w:t>95</w:t>
      </w:r>
      <w:r>
        <w:rPr>
          <w:i w:val="0"/>
          <w:iCs w:val="0"/>
        </w:rPr>
        <w:fldChar w:fldCharType="end"/>
      </w:r>
      <w:r>
        <w:rPr>
          <w:rFonts w:ascii="宋体" w:hAnsi="宋体"/>
          <w:bCs/>
          <w:i w:val="0"/>
          <w:iCs w:val="0"/>
          <w:szCs w:val="21"/>
          <w:lang w:val="zh-CN"/>
        </w:rPr>
        <w:fldChar w:fldCharType="end"/>
      </w:r>
    </w:p>
    <w:p w14:paraId="4AB08BE3">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_Toc11493 </w:instrText>
      </w:r>
      <w:r>
        <w:rPr>
          <w:rFonts w:ascii="宋体" w:hAnsi="宋体"/>
          <w:bCs/>
          <w:i w:val="0"/>
          <w:iCs w:val="0"/>
          <w:szCs w:val="21"/>
          <w:lang w:val="zh-CN"/>
        </w:rPr>
        <w:fldChar w:fldCharType="separate"/>
      </w:r>
      <w:r>
        <w:rPr>
          <w:rFonts w:hint="eastAsia" w:ascii="宋体" w:hAnsi="宋体"/>
          <w:i w:val="0"/>
          <w:iCs w:val="0"/>
        </w:rPr>
        <w:t>6、施工设备和临时设施</w:t>
      </w:r>
      <w:r>
        <w:rPr>
          <w:i w:val="0"/>
          <w:iCs w:val="0"/>
        </w:rPr>
        <w:tab/>
      </w:r>
      <w:r>
        <w:rPr>
          <w:i w:val="0"/>
          <w:iCs w:val="0"/>
        </w:rPr>
        <w:fldChar w:fldCharType="begin"/>
      </w:r>
      <w:r>
        <w:rPr>
          <w:i w:val="0"/>
          <w:iCs w:val="0"/>
        </w:rPr>
        <w:instrText xml:space="preserve"> PAGEREF _Toc11493 \h </w:instrText>
      </w:r>
      <w:r>
        <w:rPr>
          <w:i w:val="0"/>
          <w:iCs w:val="0"/>
        </w:rPr>
        <w:fldChar w:fldCharType="separate"/>
      </w:r>
      <w:r>
        <w:rPr>
          <w:i w:val="0"/>
          <w:iCs w:val="0"/>
        </w:rPr>
        <w:t>96</w:t>
      </w:r>
      <w:r>
        <w:rPr>
          <w:i w:val="0"/>
          <w:iCs w:val="0"/>
        </w:rPr>
        <w:fldChar w:fldCharType="end"/>
      </w:r>
      <w:r>
        <w:rPr>
          <w:rFonts w:ascii="宋体" w:hAnsi="宋体"/>
          <w:bCs/>
          <w:i w:val="0"/>
          <w:iCs w:val="0"/>
          <w:szCs w:val="21"/>
          <w:lang w:val="zh-CN"/>
        </w:rPr>
        <w:fldChar w:fldCharType="end"/>
      </w:r>
    </w:p>
    <w:p w14:paraId="6D7E722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_Toc16116 </w:instrText>
      </w:r>
      <w:r>
        <w:rPr>
          <w:rFonts w:ascii="宋体" w:hAnsi="宋体"/>
          <w:bCs/>
          <w:i w:val="0"/>
          <w:iCs w:val="0"/>
          <w:szCs w:val="21"/>
          <w:lang w:val="zh-CN"/>
        </w:rPr>
        <w:fldChar w:fldCharType="separate"/>
      </w:r>
      <w:r>
        <w:rPr>
          <w:rFonts w:hint="eastAsia" w:ascii="宋体" w:hAnsi="宋体"/>
          <w:i w:val="0"/>
          <w:iCs w:val="0"/>
        </w:rPr>
        <w:t>7、交通运输</w:t>
      </w:r>
      <w:r>
        <w:rPr>
          <w:i w:val="0"/>
          <w:iCs w:val="0"/>
        </w:rPr>
        <w:tab/>
      </w:r>
      <w:r>
        <w:rPr>
          <w:i w:val="0"/>
          <w:iCs w:val="0"/>
        </w:rPr>
        <w:fldChar w:fldCharType="begin"/>
      </w:r>
      <w:r>
        <w:rPr>
          <w:i w:val="0"/>
          <w:iCs w:val="0"/>
        </w:rPr>
        <w:instrText xml:space="preserve"> PAGEREF _Toc16116 \h </w:instrText>
      </w:r>
      <w:r>
        <w:rPr>
          <w:i w:val="0"/>
          <w:iCs w:val="0"/>
        </w:rPr>
        <w:fldChar w:fldCharType="separate"/>
      </w:r>
      <w:r>
        <w:rPr>
          <w:i w:val="0"/>
          <w:iCs w:val="0"/>
        </w:rPr>
        <w:t>97</w:t>
      </w:r>
      <w:r>
        <w:rPr>
          <w:i w:val="0"/>
          <w:iCs w:val="0"/>
        </w:rPr>
        <w:fldChar w:fldCharType="end"/>
      </w:r>
      <w:r>
        <w:rPr>
          <w:rFonts w:ascii="宋体" w:hAnsi="宋体"/>
          <w:bCs/>
          <w:i w:val="0"/>
          <w:iCs w:val="0"/>
          <w:szCs w:val="21"/>
          <w:lang w:val="zh-CN"/>
        </w:rPr>
        <w:fldChar w:fldCharType="end"/>
      </w:r>
    </w:p>
    <w:p w14:paraId="710CB865">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_Toc11747 </w:instrText>
      </w:r>
      <w:r>
        <w:rPr>
          <w:rFonts w:ascii="宋体" w:hAnsi="宋体"/>
          <w:bCs/>
          <w:i w:val="0"/>
          <w:iCs w:val="0"/>
          <w:szCs w:val="21"/>
          <w:lang w:val="zh-CN"/>
        </w:rPr>
        <w:fldChar w:fldCharType="separate"/>
      </w:r>
      <w:r>
        <w:rPr>
          <w:rFonts w:hint="eastAsia" w:ascii="宋体" w:hAnsi="宋体"/>
          <w:i w:val="0"/>
          <w:iCs w:val="0"/>
        </w:rPr>
        <w:t>8、测量放线</w:t>
      </w:r>
      <w:r>
        <w:rPr>
          <w:i w:val="0"/>
          <w:iCs w:val="0"/>
        </w:rPr>
        <w:tab/>
      </w:r>
      <w:r>
        <w:rPr>
          <w:i w:val="0"/>
          <w:iCs w:val="0"/>
        </w:rPr>
        <w:fldChar w:fldCharType="begin"/>
      </w:r>
      <w:r>
        <w:rPr>
          <w:i w:val="0"/>
          <w:iCs w:val="0"/>
        </w:rPr>
        <w:instrText xml:space="preserve"> PAGEREF _Toc11747 \h </w:instrText>
      </w:r>
      <w:r>
        <w:rPr>
          <w:i w:val="0"/>
          <w:iCs w:val="0"/>
        </w:rPr>
        <w:fldChar w:fldCharType="separate"/>
      </w:r>
      <w:r>
        <w:rPr>
          <w:i w:val="0"/>
          <w:iCs w:val="0"/>
        </w:rPr>
        <w:t>98</w:t>
      </w:r>
      <w:r>
        <w:rPr>
          <w:i w:val="0"/>
          <w:iCs w:val="0"/>
        </w:rPr>
        <w:fldChar w:fldCharType="end"/>
      </w:r>
      <w:r>
        <w:rPr>
          <w:rFonts w:ascii="宋体" w:hAnsi="宋体"/>
          <w:bCs/>
          <w:i w:val="0"/>
          <w:iCs w:val="0"/>
          <w:szCs w:val="21"/>
          <w:lang w:val="zh-CN"/>
        </w:rPr>
        <w:fldChar w:fldCharType="end"/>
      </w:r>
    </w:p>
    <w:p w14:paraId="0D94223F">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_Toc26998 </w:instrText>
      </w:r>
      <w:r>
        <w:rPr>
          <w:rFonts w:ascii="宋体" w:hAnsi="宋体"/>
          <w:bCs/>
          <w:i w:val="0"/>
          <w:iCs w:val="0"/>
          <w:szCs w:val="21"/>
          <w:lang w:val="zh-CN"/>
        </w:rPr>
        <w:fldChar w:fldCharType="separate"/>
      </w:r>
      <w:r>
        <w:rPr>
          <w:rFonts w:hint="eastAsia" w:ascii="宋体" w:hAnsi="宋体"/>
          <w:i w:val="0"/>
          <w:iCs w:val="0"/>
        </w:rPr>
        <w:t>9、施工安全、治安保卫和环境保护</w:t>
      </w:r>
      <w:r>
        <w:rPr>
          <w:i w:val="0"/>
          <w:iCs w:val="0"/>
        </w:rPr>
        <w:tab/>
      </w:r>
      <w:r>
        <w:rPr>
          <w:i w:val="0"/>
          <w:iCs w:val="0"/>
        </w:rPr>
        <w:fldChar w:fldCharType="begin"/>
      </w:r>
      <w:r>
        <w:rPr>
          <w:i w:val="0"/>
          <w:iCs w:val="0"/>
        </w:rPr>
        <w:instrText xml:space="preserve"> PAGEREF _Toc26998 \h </w:instrText>
      </w:r>
      <w:r>
        <w:rPr>
          <w:i w:val="0"/>
          <w:iCs w:val="0"/>
        </w:rPr>
        <w:fldChar w:fldCharType="separate"/>
      </w:r>
      <w:r>
        <w:rPr>
          <w:i w:val="0"/>
          <w:iCs w:val="0"/>
        </w:rPr>
        <w:t>98</w:t>
      </w:r>
      <w:r>
        <w:rPr>
          <w:i w:val="0"/>
          <w:iCs w:val="0"/>
        </w:rPr>
        <w:fldChar w:fldCharType="end"/>
      </w:r>
      <w:r>
        <w:rPr>
          <w:rFonts w:ascii="宋体" w:hAnsi="宋体"/>
          <w:bCs/>
          <w:i w:val="0"/>
          <w:iCs w:val="0"/>
          <w:szCs w:val="21"/>
          <w:lang w:val="zh-CN"/>
        </w:rPr>
        <w:fldChar w:fldCharType="end"/>
      </w:r>
    </w:p>
    <w:p w14:paraId="29517FAF">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_Toc30343 </w:instrText>
      </w:r>
      <w:r>
        <w:rPr>
          <w:rFonts w:ascii="宋体" w:hAnsi="宋体"/>
          <w:bCs/>
          <w:i w:val="0"/>
          <w:iCs w:val="0"/>
          <w:szCs w:val="21"/>
          <w:lang w:val="zh-CN"/>
        </w:rPr>
        <w:fldChar w:fldCharType="separate"/>
      </w:r>
      <w:r>
        <w:rPr>
          <w:rFonts w:hint="eastAsia" w:ascii="宋体" w:hAnsi="宋体"/>
          <w:i w:val="0"/>
          <w:iCs w:val="0"/>
        </w:rPr>
        <w:t>10、进度计划</w:t>
      </w:r>
      <w:r>
        <w:rPr>
          <w:i w:val="0"/>
          <w:iCs w:val="0"/>
        </w:rPr>
        <w:tab/>
      </w:r>
      <w:r>
        <w:rPr>
          <w:i w:val="0"/>
          <w:iCs w:val="0"/>
        </w:rPr>
        <w:fldChar w:fldCharType="begin"/>
      </w:r>
      <w:r>
        <w:rPr>
          <w:i w:val="0"/>
          <w:iCs w:val="0"/>
        </w:rPr>
        <w:instrText xml:space="preserve"> PAGEREF _Toc30343 \h </w:instrText>
      </w:r>
      <w:r>
        <w:rPr>
          <w:i w:val="0"/>
          <w:iCs w:val="0"/>
        </w:rPr>
        <w:fldChar w:fldCharType="separate"/>
      </w:r>
      <w:r>
        <w:rPr>
          <w:i w:val="0"/>
          <w:iCs w:val="0"/>
        </w:rPr>
        <w:t>100</w:t>
      </w:r>
      <w:r>
        <w:rPr>
          <w:i w:val="0"/>
          <w:iCs w:val="0"/>
        </w:rPr>
        <w:fldChar w:fldCharType="end"/>
      </w:r>
      <w:r>
        <w:rPr>
          <w:rFonts w:ascii="宋体" w:hAnsi="宋体"/>
          <w:bCs/>
          <w:i w:val="0"/>
          <w:iCs w:val="0"/>
          <w:szCs w:val="21"/>
          <w:lang w:val="zh-CN"/>
        </w:rPr>
        <w:fldChar w:fldCharType="end"/>
      </w:r>
    </w:p>
    <w:p w14:paraId="3A21BE0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_Toc17698 </w:instrText>
      </w:r>
      <w:r>
        <w:rPr>
          <w:rFonts w:ascii="宋体" w:hAnsi="宋体"/>
          <w:bCs/>
          <w:i w:val="0"/>
          <w:iCs w:val="0"/>
          <w:szCs w:val="21"/>
          <w:lang w:val="zh-CN"/>
        </w:rPr>
        <w:fldChar w:fldCharType="separate"/>
      </w:r>
      <w:r>
        <w:rPr>
          <w:rFonts w:hint="eastAsia" w:ascii="宋体" w:hAnsi="宋体"/>
          <w:i w:val="0"/>
          <w:iCs w:val="0"/>
        </w:rPr>
        <w:t>11、开工和竣工</w:t>
      </w:r>
      <w:r>
        <w:rPr>
          <w:i w:val="0"/>
          <w:iCs w:val="0"/>
        </w:rPr>
        <w:tab/>
      </w:r>
      <w:r>
        <w:rPr>
          <w:i w:val="0"/>
          <w:iCs w:val="0"/>
        </w:rPr>
        <w:fldChar w:fldCharType="begin"/>
      </w:r>
      <w:r>
        <w:rPr>
          <w:i w:val="0"/>
          <w:iCs w:val="0"/>
        </w:rPr>
        <w:instrText xml:space="preserve"> PAGEREF _Toc17698 \h </w:instrText>
      </w:r>
      <w:r>
        <w:rPr>
          <w:i w:val="0"/>
          <w:iCs w:val="0"/>
        </w:rPr>
        <w:fldChar w:fldCharType="separate"/>
      </w:r>
      <w:r>
        <w:rPr>
          <w:i w:val="0"/>
          <w:iCs w:val="0"/>
        </w:rPr>
        <w:t>100</w:t>
      </w:r>
      <w:r>
        <w:rPr>
          <w:i w:val="0"/>
          <w:iCs w:val="0"/>
        </w:rPr>
        <w:fldChar w:fldCharType="end"/>
      </w:r>
      <w:r>
        <w:rPr>
          <w:rFonts w:ascii="宋体" w:hAnsi="宋体"/>
          <w:bCs/>
          <w:i w:val="0"/>
          <w:iCs w:val="0"/>
          <w:szCs w:val="21"/>
          <w:lang w:val="zh-CN"/>
        </w:rPr>
        <w:fldChar w:fldCharType="end"/>
      </w:r>
    </w:p>
    <w:p w14:paraId="72FF239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_Toc6234 </w:instrText>
      </w:r>
      <w:r>
        <w:rPr>
          <w:rFonts w:ascii="宋体" w:hAnsi="宋体"/>
          <w:bCs/>
          <w:i w:val="0"/>
          <w:iCs w:val="0"/>
          <w:szCs w:val="21"/>
          <w:lang w:val="zh-CN"/>
        </w:rPr>
        <w:fldChar w:fldCharType="separate"/>
      </w:r>
      <w:r>
        <w:rPr>
          <w:rFonts w:hint="eastAsia" w:ascii="宋体" w:hAnsi="宋体"/>
          <w:i w:val="0"/>
          <w:iCs w:val="0"/>
        </w:rPr>
        <w:t>12、暂停施工</w:t>
      </w:r>
      <w:r>
        <w:rPr>
          <w:i w:val="0"/>
          <w:iCs w:val="0"/>
        </w:rPr>
        <w:tab/>
      </w:r>
      <w:r>
        <w:rPr>
          <w:i w:val="0"/>
          <w:iCs w:val="0"/>
        </w:rPr>
        <w:fldChar w:fldCharType="begin"/>
      </w:r>
      <w:r>
        <w:rPr>
          <w:i w:val="0"/>
          <w:iCs w:val="0"/>
        </w:rPr>
        <w:instrText xml:space="preserve"> PAGEREF _Toc6234 \h </w:instrText>
      </w:r>
      <w:r>
        <w:rPr>
          <w:i w:val="0"/>
          <w:iCs w:val="0"/>
        </w:rPr>
        <w:fldChar w:fldCharType="separate"/>
      </w:r>
      <w:r>
        <w:rPr>
          <w:i w:val="0"/>
          <w:iCs w:val="0"/>
        </w:rPr>
        <w:t>102</w:t>
      </w:r>
      <w:r>
        <w:rPr>
          <w:i w:val="0"/>
          <w:iCs w:val="0"/>
        </w:rPr>
        <w:fldChar w:fldCharType="end"/>
      </w:r>
      <w:r>
        <w:rPr>
          <w:rFonts w:ascii="宋体" w:hAnsi="宋体"/>
          <w:bCs/>
          <w:i w:val="0"/>
          <w:iCs w:val="0"/>
          <w:szCs w:val="21"/>
          <w:lang w:val="zh-CN"/>
        </w:rPr>
        <w:fldChar w:fldCharType="end"/>
      </w:r>
    </w:p>
    <w:p w14:paraId="4389F6C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_Toc16457 </w:instrText>
      </w:r>
      <w:r>
        <w:rPr>
          <w:rFonts w:ascii="宋体" w:hAnsi="宋体"/>
          <w:bCs/>
          <w:i w:val="0"/>
          <w:iCs w:val="0"/>
          <w:szCs w:val="21"/>
          <w:lang w:val="zh-CN"/>
        </w:rPr>
        <w:fldChar w:fldCharType="separate"/>
      </w:r>
      <w:r>
        <w:rPr>
          <w:rFonts w:hint="eastAsia" w:ascii="宋体" w:hAnsi="宋体"/>
          <w:i w:val="0"/>
          <w:iCs w:val="0"/>
        </w:rPr>
        <w:t>13、工程质量</w:t>
      </w:r>
      <w:r>
        <w:rPr>
          <w:i w:val="0"/>
          <w:iCs w:val="0"/>
        </w:rPr>
        <w:tab/>
      </w:r>
      <w:r>
        <w:rPr>
          <w:i w:val="0"/>
          <w:iCs w:val="0"/>
        </w:rPr>
        <w:fldChar w:fldCharType="begin"/>
      </w:r>
      <w:r>
        <w:rPr>
          <w:i w:val="0"/>
          <w:iCs w:val="0"/>
        </w:rPr>
        <w:instrText xml:space="preserve"> PAGEREF _Toc16457 \h </w:instrText>
      </w:r>
      <w:r>
        <w:rPr>
          <w:i w:val="0"/>
          <w:iCs w:val="0"/>
        </w:rPr>
        <w:fldChar w:fldCharType="separate"/>
      </w:r>
      <w:r>
        <w:rPr>
          <w:i w:val="0"/>
          <w:iCs w:val="0"/>
        </w:rPr>
        <w:t>103</w:t>
      </w:r>
      <w:r>
        <w:rPr>
          <w:i w:val="0"/>
          <w:iCs w:val="0"/>
        </w:rPr>
        <w:fldChar w:fldCharType="end"/>
      </w:r>
      <w:r>
        <w:rPr>
          <w:rFonts w:ascii="宋体" w:hAnsi="宋体"/>
          <w:bCs/>
          <w:i w:val="0"/>
          <w:iCs w:val="0"/>
          <w:szCs w:val="21"/>
          <w:lang w:val="zh-CN"/>
        </w:rPr>
        <w:fldChar w:fldCharType="end"/>
      </w:r>
    </w:p>
    <w:p w14:paraId="3896F1F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_Toc1957 </w:instrText>
      </w:r>
      <w:r>
        <w:rPr>
          <w:rFonts w:ascii="宋体" w:hAnsi="宋体"/>
          <w:bCs/>
          <w:i w:val="0"/>
          <w:iCs w:val="0"/>
          <w:szCs w:val="21"/>
          <w:lang w:val="zh-CN"/>
        </w:rPr>
        <w:fldChar w:fldCharType="separate"/>
      </w:r>
      <w:r>
        <w:rPr>
          <w:rFonts w:hint="eastAsia" w:ascii="宋体" w:hAnsi="宋体"/>
          <w:i w:val="0"/>
          <w:iCs w:val="0"/>
        </w:rPr>
        <w:t>14、试验和检验</w:t>
      </w:r>
      <w:r>
        <w:rPr>
          <w:i w:val="0"/>
          <w:iCs w:val="0"/>
        </w:rPr>
        <w:tab/>
      </w:r>
      <w:r>
        <w:rPr>
          <w:i w:val="0"/>
          <w:iCs w:val="0"/>
        </w:rPr>
        <w:fldChar w:fldCharType="begin"/>
      </w:r>
      <w:r>
        <w:rPr>
          <w:i w:val="0"/>
          <w:iCs w:val="0"/>
        </w:rPr>
        <w:instrText xml:space="preserve"> PAGEREF _Toc1957 \h </w:instrText>
      </w:r>
      <w:r>
        <w:rPr>
          <w:i w:val="0"/>
          <w:iCs w:val="0"/>
        </w:rPr>
        <w:fldChar w:fldCharType="separate"/>
      </w:r>
      <w:r>
        <w:rPr>
          <w:i w:val="0"/>
          <w:iCs w:val="0"/>
        </w:rPr>
        <w:t>104</w:t>
      </w:r>
      <w:r>
        <w:rPr>
          <w:i w:val="0"/>
          <w:iCs w:val="0"/>
        </w:rPr>
        <w:fldChar w:fldCharType="end"/>
      </w:r>
      <w:r>
        <w:rPr>
          <w:rFonts w:ascii="宋体" w:hAnsi="宋体"/>
          <w:bCs/>
          <w:i w:val="0"/>
          <w:iCs w:val="0"/>
          <w:szCs w:val="21"/>
          <w:lang w:val="zh-CN"/>
        </w:rPr>
        <w:fldChar w:fldCharType="end"/>
      </w:r>
    </w:p>
    <w:p w14:paraId="724CDC3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_Toc18505 </w:instrText>
      </w:r>
      <w:r>
        <w:rPr>
          <w:rFonts w:ascii="宋体" w:hAnsi="宋体"/>
          <w:bCs/>
          <w:i w:val="0"/>
          <w:iCs w:val="0"/>
          <w:szCs w:val="21"/>
          <w:lang w:val="zh-CN"/>
        </w:rPr>
        <w:fldChar w:fldCharType="separate"/>
      </w:r>
      <w:r>
        <w:rPr>
          <w:rFonts w:hint="eastAsia" w:ascii="宋体" w:hAnsi="宋体"/>
          <w:i w:val="0"/>
          <w:iCs w:val="0"/>
        </w:rPr>
        <w:t>15、变更</w:t>
      </w:r>
      <w:r>
        <w:rPr>
          <w:i w:val="0"/>
          <w:iCs w:val="0"/>
        </w:rPr>
        <w:tab/>
      </w:r>
      <w:r>
        <w:rPr>
          <w:i w:val="0"/>
          <w:iCs w:val="0"/>
        </w:rPr>
        <w:fldChar w:fldCharType="begin"/>
      </w:r>
      <w:r>
        <w:rPr>
          <w:i w:val="0"/>
          <w:iCs w:val="0"/>
        </w:rPr>
        <w:instrText xml:space="preserve"> PAGEREF _Toc18505 \h </w:instrText>
      </w:r>
      <w:r>
        <w:rPr>
          <w:i w:val="0"/>
          <w:iCs w:val="0"/>
        </w:rPr>
        <w:fldChar w:fldCharType="separate"/>
      </w:r>
      <w:r>
        <w:rPr>
          <w:i w:val="0"/>
          <w:iCs w:val="0"/>
        </w:rPr>
        <w:t>105</w:t>
      </w:r>
      <w:r>
        <w:rPr>
          <w:i w:val="0"/>
          <w:iCs w:val="0"/>
        </w:rPr>
        <w:fldChar w:fldCharType="end"/>
      </w:r>
      <w:r>
        <w:rPr>
          <w:rFonts w:ascii="宋体" w:hAnsi="宋体"/>
          <w:bCs/>
          <w:i w:val="0"/>
          <w:iCs w:val="0"/>
          <w:szCs w:val="21"/>
          <w:lang w:val="zh-CN"/>
        </w:rPr>
        <w:fldChar w:fldCharType="end"/>
      </w:r>
    </w:p>
    <w:p w14:paraId="78C336E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_Toc1440 </w:instrText>
      </w:r>
      <w:r>
        <w:rPr>
          <w:rFonts w:ascii="宋体" w:hAnsi="宋体"/>
          <w:bCs/>
          <w:i w:val="0"/>
          <w:iCs w:val="0"/>
          <w:szCs w:val="21"/>
          <w:lang w:val="zh-CN"/>
        </w:rPr>
        <w:fldChar w:fldCharType="separate"/>
      </w:r>
      <w:r>
        <w:rPr>
          <w:rFonts w:hint="eastAsia" w:ascii="宋体" w:hAnsi="宋体"/>
          <w:i w:val="0"/>
          <w:iCs w:val="0"/>
        </w:rPr>
        <w:t>16、价格调整</w:t>
      </w:r>
      <w:r>
        <w:rPr>
          <w:i w:val="0"/>
          <w:iCs w:val="0"/>
        </w:rPr>
        <w:tab/>
      </w:r>
      <w:r>
        <w:rPr>
          <w:i w:val="0"/>
          <w:iCs w:val="0"/>
        </w:rPr>
        <w:fldChar w:fldCharType="begin"/>
      </w:r>
      <w:r>
        <w:rPr>
          <w:i w:val="0"/>
          <w:iCs w:val="0"/>
        </w:rPr>
        <w:instrText xml:space="preserve"> PAGEREF _Toc1440 \h </w:instrText>
      </w:r>
      <w:r>
        <w:rPr>
          <w:i w:val="0"/>
          <w:iCs w:val="0"/>
        </w:rPr>
        <w:fldChar w:fldCharType="separate"/>
      </w:r>
      <w:r>
        <w:rPr>
          <w:i w:val="0"/>
          <w:iCs w:val="0"/>
        </w:rPr>
        <w:t>107</w:t>
      </w:r>
      <w:r>
        <w:rPr>
          <w:i w:val="0"/>
          <w:iCs w:val="0"/>
        </w:rPr>
        <w:fldChar w:fldCharType="end"/>
      </w:r>
      <w:r>
        <w:rPr>
          <w:rFonts w:ascii="宋体" w:hAnsi="宋体"/>
          <w:bCs/>
          <w:i w:val="0"/>
          <w:iCs w:val="0"/>
          <w:szCs w:val="21"/>
          <w:lang w:val="zh-CN"/>
        </w:rPr>
        <w:fldChar w:fldCharType="end"/>
      </w:r>
    </w:p>
    <w:p w14:paraId="562A828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_Toc17799 </w:instrText>
      </w:r>
      <w:r>
        <w:rPr>
          <w:rFonts w:ascii="宋体" w:hAnsi="宋体"/>
          <w:bCs/>
          <w:i w:val="0"/>
          <w:iCs w:val="0"/>
          <w:szCs w:val="21"/>
          <w:lang w:val="zh-CN"/>
        </w:rPr>
        <w:fldChar w:fldCharType="separate"/>
      </w:r>
      <w:r>
        <w:rPr>
          <w:rFonts w:hint="eastAsia" w:ascii="宋体" w:hAnsi="宋体"/>
          <w:i w:val="0"/>
          <w:iCs w:val="0"/>
        </w:rPr>
        <w:t>17、计量与支付</w:t>
      </w:r>
      <w:r>
        <w:rPr>
          <w:i w:val="0"/>
          <w:iCs w:val="0"/>
        </w:rPr>
        <w:tab/>
      </w:r>
      <w:r>
        <w:rPr>
          <w:i w:val="0"/>
          <w:iCs w:val="0"/>
        </w:rPr>
        <w:fldChar w:fldCharType="begin"/>
      </w:r>
      <w:r>
        <w:rPr>
          <w:i w:val="0"/>
          <w:iCs w:val="0"/>
        </w:rPr>
        <w:instrText xml:space="preserve"> PAGEREF _Toc17799 \h </w:instrText>
      </w:r>
      <w:r>
        <w:rPr>
          <w:i w:val="0"/>
          <w:iCs w:val="0"/>
        </w:rPr>
        <w:fldChar w:fldCharType="separate"/>
      </w:r>
      <w:r>
        <w:rPr>
          <w:i w:val="0"/>
          <w:iCs w:val="0"/>
        </w:rPr>
        <w:t>109</w:t>
      </w:r>
      <w:r>
        <w:rPr>
          <w:i w:val="0"/>
          <w:iCs w:val="0"/>
        </w:rPr>
        <w:fldChar w:fldCharType="end"/>
      </w:r>
      <w:r>
        <w:rPr>
          <w:rFonts w:ascii="宋体" w:hAnsi="宋体"/>
          <w:bCs/>
          <w:i w:val="0"/>
          <w:iCs w:val="0"/>
          <w:szCs w:val="21"/>
          <w:lang w:val="zh-CN"/>
        </w:rPr>
        <w:fldChar w:fldCharType="end"/>
      </w:r>
    </w:p>
    <w:p w14:paraId="69CFAD7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_Toc32001 </w:instrText>
      </w:r>
      <w:r>
        <w:rPr>
          <w:rFonts w:ascii="宋体" w:hAnsi="宋体"/>
          <w:bCs/>
          <w:i w:val="0"/>
          <w:iCs w:val="0"/>
          <w:szCs w:val="21"/>
          <w:lang w:val="zh-CN"/>
        </w:rPr>
        <w:fldChar w:fldCharType="separate"/>
      </w:r>
      <w:r>
        <w:rPr>
          <w:rFonts w:hint="eastAsia" w:ascii="宋体" w:hAnsi="宋体"/>
          <w:i w:val="0"/>
          <w:iCs w:val="0"/>
        </w:rPr>
        <w:t>18、竣工验收</w:t>
      </w:r>
      <w:r>
        <w:rPr>
          <w:i w:val="0"/>
          <w:iCs w:val="0"/>
        </w:rPr>
        <w:tab/>
      </w:r>
      <w:r>
        <w:rPr>
          <w:i w:val="0"/>
          <w:iCs w:val="0"/>
        </w:rPr>
        <w:fldChar w:fldCharType="begin"/>
      </w:r>
      <w:r>
        <w:rPr>
          <w:i w:val="0"/>
          <w:iCs w:val="0"/>
        </w:rPr>
        <w:instrText xml:space="preserve"> PAGEREF _Toc32001 \h </w:instrText>
      </w:r>
      <w:r>
        <w:rPr>
          <w:i w:val="0"/>
          <w:iCs w:val="0"/>
        </w:rPr>
        <w:fldChar w:fldCharType="separate"/>
      </w:r>
      <w:r>
        <w:rPr>
          <w:i w:val="0"/>
          <w:iCs w:val="0"/>
        </w:rPr>
        <w:t>113</w:t>
      </w:r>
      <w:r>
        <w:rPr>
          <w:i w:val="0"/>
          <w:iCs w:val="0"/>
        </w:rPr>
        <w:fldChar w:fldCharType="end"/>
      </w:r>
      <w:r>
        <w:rPr>
          <w:rFonts w:ascii="宋体" w:hAnsi="宋体"/>
          <w:bCs/>
          <w:i w:val="0"/>
          <w:iCs w:val="0"/>
          <w:szCs w:val="21"/>
          <w:lang w:val="zh-CN"/>
        </w:rPr>
        <w:fldChar w:fldCharType="end"/>
      </w:r>
    </w:p>
    <w:p w14:paraId="66EDA556">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_Toc5174 </w:instrText>
      </w:r>
      <w:r>
        <w:rPr>
          <w:rFonts w:ascii="宋体" w:hAnsi="宋体"/>
          <w:bCs/>
          <w:i w:val="0"/>
          <w:iCs w:val="0"/>
          <w:szCs w:val="21"/>
          <w:lang w:val="zh-CN"/>
        </w:rPr>
        <w:fldChar w:fldCharType="separate"/>
      </w:r>
      <w:r>
        <w:rPr>
          <w:rFonts w:hint="eastAsia" w:ascii="宋体" w:hAnsi="宋体"/>
          <w:i w:val="0"/>
          <w:iCs w:val="0"/>
        </w:rPr>
        <w:t>19、缺陷责任与保修责任</w:t>
      </w:r>
      <w:r>
        <w:rPr>
          <w:i w:val="0"/>
          <w:iCs w:val="0"/>
        </w:rPr>
        <w:tab/>
      </w:r>
      <w:r>
        <w:rPr>
          <w:i w:val="0"/>
          <w:iCs w:val="0"/>
        </w:rPr>
        <w:fldChar w:fldCharType="begin"/>
      </w:r>
      <w:r>
        <w:rPr>
          <w:i w:val="0"/>
          <w:iCs w:val="0"/>
        </w:rPr>
        <w:instrText xml:space="preserve"> PAGEREF _Toc5174 \h </w:instrText>
      </w:r>
      <w:r>
        <w:rPr>
          <w:i w:val="0"/>
          <w:iCs w:val="0"/>
        </w:rPr>
        <w:fldChar w:fldCharType="separate"/>
      </w:r>
      <w:r>
        <w:rPr>
          <w:i w:val="0"/>
          <w:iCs w:val="0"/>
        </w:rPr>
        <w:t>115</w:t>
      </w:r>
      <w:r>
        <w:rPr>
          <w:i w:val="0"/>
          <w:iCs w:val="0"/>
        </w:rPr>
        <w:fldChar w:fldCharType="end"/>
      </w:r>
      <w:r>
        <w:rPr>
          <w:rFonts w:ascii="宋体" w:hAnsi="宋体"/>
          <w:bCs/>
          <w:i w:val="0"/>
          <w:iCs w:val="0"/>
          <w:szCs w:val="21"/>
          <w:lang w:val="zh-CN"/>
        </w:rPr>
        <w:fldChar w:fldCharType="end"/>
      </w:r>
    </w:p>
    <w:p w14:paraId="7933FF5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_Toc27678 </w:instrText>
      </w:r>
      <w:r>
        <w:rPr>
          <w:rFonts w:ascii="宋体" w:hAnsi="宋体"/>
          <w:bCs/>
          <w:i w:val="0"/>
          <w:iCs w:val="0"/>
          <w:szCs w:val="21"/>
          <w:lang w:val="zh-CN"/>
        </w:rPr>
        <w:fldChar w:fldCharType="separate"/>
      </w:r>
      <w:r>
        <w:rPr>
          <w:rFonts w:hint="eastAsia" w:ascii="宋体" w:hAnsi="宋体"/>
          <w:i w:val="0"/>
          <w:iCs w:val="0"/>
        </w:rPr>
        <w:t>20、保险</w:t>
      </w:r>
      <w:r>
        <w:rPr>
          <w:i w:val="0"/>
          <w:iCs w:val="0"/>
        </w:rPr>
        <w:tab/>
      </w:r>
      <w:r>
        <w:rPr>
          <w:i w:val="0"/>
          <w:iCs w:val="0"/>
        </w:rPr>
        <w:fldChar w:fldCharType="begin"/>
      </w:r>
      <w:r>
        <w:rPr>
          <w:i w:val="0"/>
          <w:iCs w:val="0"/>
        </w:rPr>
        <w:instrText xml:space="preserve"> PAGEREF _Toc27678 \h </w:instrText>
      </w:r>
      <w:r>
        <w:rPr>
          <w:i w:val="0"/>
          <w:iCs w:val="0"/>
        </w:rPr>
        <w:fldChar w:fldCharType="separate"/>
      </w:r>
      <w:r>
        <w:rPr>
          <w:i w:val="0"/>
          <w:iCs w:val="0"/>
        </w:rPr>
        <w:t>116</w:t>
      </w:r>
      <w:r>
        <w:rPr>
          <w:i w:val="0"/>
          <w:iCs w:val="0"/>
        </w:rPr>
        <w:fldChar w:fldCharType="end"/>
      </w:r>
      <w:r>
        <w:rPr>
          <w:rFonts w:ascii="宋体" w:hAnsi="宋体"/>
          <w:bCs/>
          <w:i w:val="0"/>
          <w:iCs w:val="0"/>
          <w:szCs w:val="21"/>
          <w:lang w:val="zh-CN"/>
        </w:rPr>
        <w:fldChar w:fldCharType="end"/>
      </w:r>
    </w:p>
    <w:p w14:paraId="16194A55">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_Toc18559 </w:instrText>
      </w:r>
      <w:r>
        <w:rPr>
          <w:rFonts w:ascii="宋体" w:hAnsi="宋体"/>
          <w:bCs/>
          <w:i w:val="0"/>
          <w:iCs w:val="0"/>
          <w:szCs w:val="21"/>
          <w:lang w:val="zh-CN"/>
        </w:rPr>
        <w:fldChar w:fldCharType="separate"/>
      </w:r>
      <w:r>
        <w:rPr>
          <w:rFonts w:hint="eastAsia" w:ascii="宋体" w:hAnsi="宋体"/>
          <w:i w:val="0"/>
          <w:iCs w:val="0"/>
        </w:rPr>
        <w:t>21、不可抗力</w:t>
      </w:r>
      <w:r>
        <w:rPr>
          <w:i w:val="0"/>
          <w:iCs w:val="0"/>
        </w:rPr>
        <w:tab/>
      </w:r>
      <w:r>
        <w:rPr>
          <w:i w:val="0"/>
          <w:iCs w:val="0"/>
        </w:rPr>
        <w:fldChar w:fldCharType="begin"/>
      </w:r>
      <w:r>
        <w:rPr>
          <w:i w:val="0"/>
          <w:iCs w:val="0"/>
        </w:rPr>
        <w:instrText xml:space="preserve"> PAGEREF _Toc18559 \h </w:instrText>
      </w:r>
      <w:r>
        <w:rPr>
          <w:i w:val="0"/>
          <w:iCs w:val="0"/>
        </w:rPr>
        <w:fldChar w:fldCharType="separate"/>
      </w:r>
      <w:r>
        <w:rPr>
          <w:i w:val="0"/>
          <w:iCs w:val="0"/>
        </w:rPr>
        <w:t>117</w:t>
      </w:r>
      <w:r>
        <w:rPr>
          <w:i w:val="0"/>
          <w:iCs w:val="0"/>
        </w:rPr>
        <w:fldChar w:fldCharType="end"/>
      </w:r>
      <w:r>
        <w:rPr>
          <w:rFonts w:ascii="宋体" w:hAnsi="宋体"/>
          <w:bCs/>
          <w:i w:val="0"/>
          <w:iCs w:val="0"/>
          <w:szCs w:val="21"/>
          <w:lang w:val="zh-CN"/>
        </w:rPr>
        <w:fldChar w:fldCharType="end"/>
      </w:r>
    </w:p>
    <w:p w14:paraId="57FB9EC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_Toc4352 </w:instrText>
      </w:r>
      <w:r>
        <w:rPr>
          <w:rFonts w:ascii="宋体" w:hAnsi="宋体"/>
          <w:bCs/>
          <w:i w:val="0"/>
          <w:iCs w:val="0"/>
          <w:szCs w:val="21"/>
          <w:lang w:val="zh-CN"/>
        </w:rPr>
        <w:fldChar w:fldCharType="separate"/>
      </w:r>
      <w:r>
        <w:rPr>
          <w:rFonts w:hint="eastAsia" w:ascii="宋体" w:hAnsi="宋体"/>
          <w:i w:val="0"/>
          <w:iCs w:val="0"/>
        </w:rPr>
        <w:t>22、违约</w:t>
      </w:r>
      <w:r>
        <w:rPr>
          <w:i w:val="0"/>
          <w:iCs w:val="0"/>
        </w:rPr>
        <w:tab/>
      </w:r>
      <w:r>
        <w:rPr>
          <w:i w:val="0"/>
          <w:iCs w:val="0"/>
        </w:rPr>
        <w:fldChar w:fldCharType="begin"/>
      </w:r>
      <w:r>
        <w:rPr>
          <w:i w:val="0"/>
          <w:iCs w:val="0"/>
        </w:rPr>
        <w:instrText xml:space="preserve"> PAGEREF _Toc4352 \h </w:instrText>
      </w:r>
      <w:r>
        <w:rPr>
          <w:i w:val="0"/>
          <w:iCs w:val="0"/>
        </w:rPr>
        <w:fldChar w:fldCharType="separate"/>
      </w:r>
      <w:r>
        <w:rPr>
          <w:i w:val="0"/>
          <w:iCs w:val="0"/>
        </w:rPr>
        <w:t>119</w:t>
      </w:r>
      <w:r>
        <w:rPr>
          <w:i w:val="0"/>
          <w:iCs w:val="0"/>
        </w:rPr>
        <w:fldChar w:fldCharType="end"/>
      </w:r>
      <w:r>
        <w:rPr>
          <w:rFonts w:ascii="宋体" w:hAnsi="宋体"/>
          <w:bCs/>
          <w:i w:val="0"/>
          <w:iCs w:val="0"/>
          <w:szCs w:val="21"/>
          <w:lang w:val="zh-CN"/>
        </w:rPr>
        <w:fldChar w:fldCharType="end"/>
      </w:r>
    </w:p>
    <w:p w14:paraId="10F76049">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_Toc16580 </w:instrText>
      </w:r>
      <w:r>
        <w:rPr>
          <w:rFonts w:ascii="宋体" w:hAnsi="宋体"/>
          <w:bCs/>
          <w:i w:val="0"/>
          <w:iCs w:val="0"/>
          <w:szCs w:val="21"/>
          <w:lang w:val="zh-CN"/>
        </w:rPr>
        <w:fldChar w:fldCharType="separate"/>
      </w:r>
      <w:r>
        <w:rPr>
          <w:rFonts w:hint="eastAsia" w:ascii="宋体" w:hAnsi="宋体"/>
          <w:i w:val="0"/>
          <w:iCs w:val="0"/>
        </w:rPr>
        <w:t>23、索赔</w:t>
      </w:r>
      <w:r>
        <w:rPr>
          <w:i w:val="0"/>
          <w:iCs w:val="0"/>
        </w:rPr>
        <w:tab/>
      </w:r>
      <w:r>
        <w:rPr>
          <w:i w:val="0"/>
          <w:iCs w:val="0"/>
        </w:rPr>
        <w:fldChar w:fldCharType="begin"/>
      </w:r>
      <w:r>
        <w:rPr>
          <w:i w:val="0"/>
          <w:iCs w:val="0"/>
        </w:rPr>
        <w:instrText xml:space="preserve"> PAGEREF _Toc16580 \h </w:instrText>
      </w:r>
      <w:r>
        <w:rPr>
          <w:i w:val="0"/>
          <w:iCs w:val="0"/>
        </w:rPr>
        <w:fldChar w:fldCharType="separate"/>
      </w:r>
      <w:r>
        <w:rPr>
          <w:i w:val="0"/>
          <w:iCs w:val="0"/>
        </w:rPr>
        <w:t>121</w:t>
      </w:r>
      <w:r>
        <w:rPr>
          <w:i w:val="0"/>
          <w:iCs w:val="0"/>
        </w:rPr>
        <w:fldChar w:fldCharType="end"/>
      </w:r>
      <w:r>
        <w:rPr>
          <w:rFonts w:ascii="宋体" w:hAnsi="宋体"/>
          <w:bCs/>
          <w:i w:val="0"/>
          <w:iCs w:val="0"/>
          <w:szCs w:val="21"/>
          <w:lang w:val="zh-CN"/>
        </w:rPr>
        <w:fldChar w:fldCharType="end"/>
      </w:r>
    </w:p>
    <w:p w14:paraId="7DBE9C9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_Toc28432 </w:instrText>
      </w:r>
      <w:r>
        <w:rPr>
          <w:rFonts w:ascii="宋体" w:hAnsi="宋体"/>
          <w:bCs/>
          <w:i w:val="0"/>
          <w:iCs w:val="0"/>
          <w:szCs w:val="21"/>
          <w:lang w:val="zh-CN"/>
        </w:rPr>
        <w:fldChar w:fldCharType="separate"/>
      </w:r>
      <w:r>
        <w:rPr>
          <w:rFonts w:hint="eastAsia" w:ascii="宋体" w:hAnsi="宋体"/>
          <w:i w:val="0"/>
          <w:iCs w:val="0"/>
        </w:rPr>
        <w:t>24、争议的解决</w:t>
      </w:r>
      <w:r>
        <w:rPr>
          <w:i w:val="0"/>
          <w:iCs w:val="0"/>
        </w:rPr>
        <w:tab/>
      </w:r>
      <w:r>
        <w:rPr>
          <w:i w:val="0"/>
          <w:iCs w:val="0"/>
        </w:rPr>
        <w:fldChar w:fldCharType="begin"/>
      </w:r>
      <w:r>
        <w:rPr>
          <w:i w:val="0"/>
          <w:iCs w:val="0"/>
        </w:rPr>
        <w:instrText xml:space="preserve"> PAGEREF _Toc28432 \h </w:instrText>
      </w:r>
      <w:r>
        <w:rPr>
          <w:i w:val="0"/>
          <w:iCs w:val="0"/>
        </w:rPr>
        <w:fldChar w:fldCharType="separate"/>
      </w:r>
      <w:r>
        <w:rPr>
          <w:i w:val="0"/>
          <w:iCs w:val="0"/>
        </w:rPr>
        <w:t>122</w:t>
      </w:r>
      <w:r>
        <w:rPr>
          <w:i w:val="0"/>
          <w:iCs w:val="0"/>
        </w:rPr>
        <w:fldChar w:fldCharType="end"/>
      </w:r>
      <w:r>
        <w:rPr>
          <w:rFonts w:ascii="宋体" w:hAnsi="宋体"/>
          <w:bCs/>
          <w:i w:val="0"/>
          <w:iCs w:val="0"/>
          <w:szCs w:val="21"/>
          <w:lang w:val="zh-CN"/>
        </w:rPr>
        <w:fldChar w:fldCharType="end"/>
      </w:r>
    </w:p>
    <w:p w14:paraId="0F78A874">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_Toc24336 </w:instrText>
      </w:r>
      <w:r>
        <w:rPr>
          <w:rFonts w:ascii="宋体" w:hAnsi="宋体"/>
          <w:bCs/>
          <w:szCs w:val="21"/>
          <w:lang w:val="zh-CN"/>
        </w:rPr>
        <w:fldChar w:fldCharType="separate"/>
      </w:r>
      <w:r>
        <w:rPr>
          <w:rFonts w:hint="eastAsia" w:ascii="宋体" w:hAnsi="宋体"/>
          <w:bCs/>
        </w:rPr>
        <w:t xml:space="preserve">第二节 </w:t>
      </w:r>
      <w:r>
        <w:rPr>
          <w:rFonts w:ascii="宋体" w:hAnsi="宋体"/>
          <w:bCs/>
        </w:rPr>
        <w:t>专用合同条款</w:t>
      </w:r>
      <w:r>
        <w:tab/>
      </w:r>
      <w:r>
        <w:fldChar w:fldCharType="begin"/>
      </w:r>
      <w:r>
        <w:instrText xml:space="preserve"> PAGEREF _Toc24336 \h </w:instrText>
      </w:r>
      <w:r>
        <w:fldChar w:fldCharType="separate"/>
      </w:r>
      <w:r>
        <w:t>124</w:t>
      </w:r>
      <w:r>
        <w:fldChar w:fldCharType="end"/>
      </w:r>
      <w:r>
        <w:rPr>
          <w:rFonts w:ascii="宋体" w:hAnsi="宋体"/>
          <w:bCs/>
          <w:szCs w:val="21"/>
          <w:lang w:val="zh-CN"/>
        </w:rPr>
        <w:fldChar w:fldCharType="end"/>
      </w:r>
    </w:p>
    <w:p w14:paraId="459865F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_Toc17234 </w:instrText>
      </w:r>
      <w:r>
        <w:rPr>
          <w:rFonts w:ascii="宋体" w:hAnsi="宋体"/>
          <w:bCs/>
          <w:i w:val="0"/>
          <w:iCs w:val="0"/>
          <w:szCs w:val="21"/>
          <w:lang w:val="zh-CN"/>
        </w:rPr>
        <w:fldChar w:fldCharType="separate"/>
      </w:r>
      <w:r>
        <w:rPr>
          <w:rFonts w:hint="eastAsia" w:ascii="宋体" w:hAnsi="宋体"/>
          <w:i w:val="0"/>
          <w:iCs w:val="0"/>
        </w:rPr>
        <w:t>1、一般约定</w:t>
      </w:r>
      <w:r>
        <w:rPr>
          <w:i w:val="0"/>
          <w:iCs w:val="0"/>
        </w:rPr>
        <w:tab/>
      </w:r>
      <w:r>
        <w:rPr>
          <w:i w:val="0"/>
          <w:iCs w:val="0"/>
        </w:rPr>
        <w:fldChar w:fldCharType="begin"/>
      </w:r>
      <w:r>
        <w:rPr>
          <w:i w:val="0"/>
          <w:iCs w:val="0"/>
        </w:rPr>
        <w:instrText xml:space="preserve"> PAGEREF _Toc17234 \h </w:instrText>
      </w:r>
      <w:r>
        <w:rPr>
          <w:i w:val="0"/>
          <w:iCs w:val="0"/>
        </w:rPr>
        <w:fldChar w:fldCharType="separate"/>
      </w:r>
      <w:r>
        <w:rPr>
          <w:i w:val="0"/>
          <w:iCs w:val="0"/>
        </w:rPr>
        <w:t>125</w:t>
      </w:r>
      <w:r>
        <w:rPr>
          <w:i w:val="0"/>
          <w:iCs w:val="0"/>
        </w:rPr>
        <w:fldChar w:fldCharType="end"/>
      </w:r>
      <w:r>
        <w:rPr>
          <w:rFonts w:ascii="宋体" w:hAnsi="宋体"/>
          <w:bCs/>
          <w:i w:val="0"/>
          <w:iCs w:val="0"/>
          <w:szCs w:val="21"/>
          <w:lang w:val="zh-CN"/>
        </w:rPr>
        <w:fldChar w:fldCharType="end"/>
      </w:r>
    </w:p>
    <w:p w14:paraId="72B58EA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_Toc19189 </w:instrText>
      </w:r>
      <w:r>
        <w:rPr>
          <w:rFonts w:ascii="宋体" w:hAnsi="宋体"/>
          <w:bCs/>
          <w:i w:val="0"/>
          <w:iCs w:val="0"/>
          <w:szCs w:val="21"/>
          <w:lang w:val="zh-CN"/>
        </w:rPr>
        <w:fldChar w:fldCharType="separate"/>
      </w:r>
      <w:r>
        <w:rPr>
          <w:rFonts w:hint="eastAsia" w:ascii="宋体" w:hAnsi="宋体"/>
          <w:i w:val="0"/>
          <w:iCs w:val="0"/>
        </w:rPr>
        <w:t>2、发包人义务</w:t>
      </w:r>
      <w:r>
        <w:rPr>
          <w:i w:val="0"/>
          <w:iCs w:val="0"/>
        </w:rPr>
        <w:tab/>
      </w:r>
      <w:r>
        <w:rPr>
          <w:i w:val="0"/>
          <w:iCs w:val="0"/>
        </w:rPr>
        <w:fldChar w:fldCharType="begin"/>
      </w:r>
      <w:r>
        <w:rPr>
          <w:i w:val="0"/>
          <w:iCs w:val="0"/>
        </w:rPr>
        <w:instrText xml:space="preserve"> PAGEREF _Toc19189 \h </w:instrText>
      </w:r>
      <w:r>
        <w:rPr>
          <w:i w:val="0"/>
          <w:iCs w:val="0"/>
        </w:rPr>
        <w:fldChar w:fldCharType="separate"/>
      </w:r>
      <w:r>
        <w:rPr>
          <w:i w:val="0"/>
          <w:iCs w:val="0"/>
        </w:rPr>
        <w:t>129</w:t>
      </w:r>
      <w:r>
        <w:rPr>
          <w:i w:val="0"/>
          <w:iCs w:val="0"/>
        </w:rPr>
        <w:fldChar w:fldCharType="end"/>
      </w:r>
      <w:r>
        <w:rPr>
          <w:rFonts w:ascii="宋体" w:hAnsi="宋体"/>
          <w:bCs/>
          <w:i w:val="0"/>
          <w:iCs w:val="0"/>
          <w:szCs w:val="21"/>
          <w:lang w:val="zh-CN"/>
        </w:rPr>
        <w:fldChar w:fldCharType="end"/>
      </w:r>
    </w:p>
    <w:p w14:paraId="57E71A1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_Toc25412 </w:instrText>
      </w:r>
      <w:r>
        <w:rPr>
          <w:rFonts w:ascii="宋体" w:hAnsi="宋体"/>
          <w:bCs/>
          <w:i w:val="0"/>
          <w:iCs w:val="0"/>
          <w:szCs w:val="21"/>
          <w:lang w:val="zh-CN"/>
        </w:rPr>
        <w:fldChar w:fldCharType="separate"/>
      </w:r>
      <w:r>
        <w:rPr>
          <w:rFonts w:hint="eastAsia" w:ascii="宋体" w:hAnsi="宋体"/>
          <w:i w:val="0"/>
          <w:iCs w:val="0"/>
        </w:rPr>
        <w:t>3、监理人</w:t>
      </w:r>
      <w:r>
        <w:rPr>
          <w:i w:val="0"/>
          <w:iCs w:val="0"/>
        </w:rPr>
        <w:tab/>
      </w:r>
      <w:r>
        <w:rPr>
          <w:i w:val="0"/>
          <w:iCs w:val="0"/>
        </w:rPr>
        <w:fldChar w:fldCharType="begin"/>
      </w:r>
      <w:r>
        <w:rPr>
          <w:i w:val="0"/>
          <w:iCs w:val="0"/>
        </w:rPr>
        <w:instrText xml:space="preserve"> PAGEREF _Toc25412 \h </w:instrText>
      </w:r>
      <w:r>
        <w:rPr>
          <w:i w:val="0"/>
          <w:iCs w:val="0"/>
        </w:rPr>
        <w:fldChar w:fldCharType="separate"/>
      </w:r>
      <w:r>
        <w:rPr>
          <w:i w:val="0"/>
          <w:iCs w:val="0"/>
        </w:rPr>
        <w:t>130</w:t>
      </w:r>
      <w:r>
        <w:rPr>
          <w:i w:val="0"/>
          <w:iCs w:val="0"/>
        </w:rPr>
        <w:fldChar w:fldCharType="end"/>
      </w:r>
      <w:r>
        <w:rPr>
          <w:rFonts w:ascii="宋体" w:hAnsi="宋体"/>
          <w:bCs/>
          <w:i w:val="0"/>
          <w:iCs w:val="0"/>
          <w:szCs w:val="21"/>
          <w:lang w:val="zh-CN"/>
        </w:rPr>
        <w:fldChar w:fldCharType="end"/>
      </w:r>
    </w:p>
    <w:p w14:paraId="11F53EA9">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_Toc26466 </w:instrText>
      </w:r>
      <w:r>
        <w:rPr>
          <w:rFonts w:ascii="宋体" w:hAnsi="宋体"/>
          <w:bCs/>
          <w:i w:val="0"/>
          <w:iCs w:val="0"/>
          <w:szCs w:val="21"/>
          <w:lang w:val="zh-CN"/>
        </w:rPr>
        <w:fldChar w:fldCharType="separate"/>
      </w:r>
      <w:r>
        <w:rPr>
          <w:rFonts w:hint="eastAsia" w:ascii="宋体" w:hAnsi="宋体"/>
          <w:i w:val="0"/>
          <w:iCs w:val="0"/>
        </w:rPr>
        <w:t>4、承包人</w:t>
      </w:r>
      <w:r>
        <w:rPr>
          <w:i w:val="0"/>
          <w:iCs w:val="0"/>
        </w:rPr>
        <w:tab/>
      </w:r>
      <w:r>
        <w:rPr>
          <w:i w:val="0"/>
          <w:iCs w:val="0"/>
        </w:rPr>
        <w:fldChar w:fldCharType="begin"/>
      </w:r>
      <w:r>
        <w:rPr>
          <w:i w:val="0"/>
          <w:iCs w:val="0"/>
        </w:rPr>
        <w:instrText xml:space="preserve"> PAGEREF _Toc26466 \h </w:instrText>
      </w:r>
      <w:r>
        <w:rPr>
          <w:i w:val="0"/>
          <w:iCs w:val="0"/>
        </w:rPr>
        <w:fldChar w:fldCharType="separate"/>
      </w:r>
      <w:r>
        <w:rPr>
          <w:i w:val="0"/>
          <w:iCs w:val="0"/>
        </w:rPr>
        <w:t>131</w:t>
      </w:r>
      <w:r>
        <w:rPr>
          <w:i w:val="0"/>
          <w:iCs w:val="0"/>
        </w:rPr>
        <w:fldChar w:fldCharType="end"/>
      </w:r>
      <w:r>
        <w:rPr>
          <w:rFonts w:ascii="宋体" w:hAnsi="宋体"/>
          <w:bCs/>
          <w:i w:val="0"/>
          <w:iCs w:val="0"/>
          <w:szCs w:val="21"/>
          <w:lang w:val="zh-CN"/>
        </w:rPr>
        <w:fldChar w:fldCharType="end"/>
      </w:r>
    </w:p>
    <w:p w14:paraId="550C06F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_Toc9173 </w:instrText>
      </w:r>
      <w:r>
        <w:rPr>
          <w:rFonts w:ascii="宋体" w:hAnsi="宋体"/>
          <w:bCs/>
          <w:i w:val="0"/>
          <w:iCs w:val="0"/>
          <w:szCs w:val="21"/>
          <w:lang w:val="zh-CN"/>
        </w:rPr>
        <w:fldChar w:fldCharType="separate"/>
      </w:r>
      <w:r>
        <w:rPr>
          <w:rFonts w:hint="eastAsia" w:ascii="宋体" w:hAnsi="宋体"/>
          <w:i w:val="0"/>
          <w:iCs w:val="0"/>
        </w:rPr>
        <w:t>5、材料和工程设备</w:t>
      </w:r>
      <w:r>
        <w:rPr>
          <w:i w:val="0"/>
          <w:iCs w:val="0"/>
        </w:rPr>
        <w:tab/>
      </w:r>
      <w:r>
        <w:rPr>
          <w:i w:val="0"/>
          <w:iCs w:val="0"/>
        </w:rPr>
        <w:fldChar w:fldCharType="begin"/>
      </w:r>
      <w:r>
        <w:rPr>
          <w:i w:val="0"/>
          <w:iCs w:val="0"/>
        </w:rPr>
        <w:instrText xml:space="preserve"> PAGEREF _Toc9173 \h </w:instrText>
      </w:r>
      <w:r>
        <w:rPr>
          <w:i w:val="0"/>
          <w:iCs w:val="0"/>
        </w:rPr>
        <w:fldChar w:fldCharType="separate"/>
      </w:r>
      <w:r>
        <w:rPr>
          <w:i w:val="0"/>
          <w:iCs w:val="0"/>
        </w:rPr>
        <w:t>141</w:t>
      </w:r>
      <w:r>
        <w:rPr>
          <w:i w:val="0"/>
          <w:iCs w:val="0"/>
        </w:rPr>
        <w:fldChar w:fldCharType="end"/>
      </w:r>
      <w:r>
        <w:rPr>
          <w:rFonts w:ascii="宋体" w:hAnsi="宋体"/>
          <w:bCs/>
          <w:i w:val="0"/>
          <w:iCs w:val="0"/>
          <w:szCs w:val="21"/>
          <w:lang w:val="zh-CN"/>
        </w:rPr>
        <w:fldChar w:fldCharType="end"/>
      </w:r>
    </w:p>
    <w:p w14:paraId="45CAFE3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_Toc17473 </w:instrText>
      </w:r>
      <w:r>
        <w:rPr>
          <w:rFonts w:ascii="宋体" w:hAnsi="宋体"/>
          <w:bCs/>
          <w:i w:val="0"/>
          <w:iCs w:val="0"/>
          <w:szCs w:val="21"/>
          <w:lang w:val="zh-CN"/>
        </w:rPr>
        <w:fldChar w:fldCharType="separate"/>
      </w:r>
      <w:r>
        <w:rPr>
          <w:rFonts w:hint="eastAsia" w:ascii="宋体" w:hAnsi="宋体"/>
          <w:i w:val="0"/>
          <w:iCs w:val="0"/>
        </w:rPr>
        <w:t>6、施工设备和临时设施</w:t>
      </w:r>
      <w:r>
        <w:rPr>
          <w:i w:val="0"/>
          <w:iCs w:val="0"/>
        </w:rPr>
        <w:tab/>
      </w:r>
      <w:r>
        <w:rPr>
          <w:i w:val="0"/>
          <w:iCs w:val="0"/>
        </w:rPr>
        <w:fldChar w:fldCharType="begin"/>
      </w:r>
      <w:r>
        <w:rPr>
          <w:i w:val="0"/>
          <w:iCs w:val="0"/>
        </w:rPr>
        <w:instrText xml:space="preserve"> PAGEREF _Toc17473 \h </w:instrText>
      </w:r>
      <w:r>
        <w:rPr>
          <w:i w:val="0"/>
          <w:iCs w:val="0"/>
        </w:rPr>
        <w:fldChar w:fldCharType="separate"/>
      </w:r>
      <w:r>
        <w:rPr>
          <w:i w:val="0"/>
          <w:iCs w:val="0"/>
        </w:rPr>
        <w:t>142</w:t>
      </w:r>
      <w:r>
        <w:rPr>
          <w:i w:val="0"/>
          <w:iCs w:val="0"/>
        </w:rPr>
        <w:fldChar w:fldCharType="end"/>
      </w:r>
      <w:r>
        <w:rPr>
          <w:rFonts w:ascii="宋体" w:hAnsi="宋体"/>
          <w:bCs/>
          <w:i w:val="0"/>
          <w:iCs w:val="0"/>
          <w:szCs w:val="21"/>
          <w:lang w:val="zh-CN"/>
        </w:rPr>
        <w:fldChar w:fldCharType="end"/>
      </w:r>
    </w:p>
    <w:p w14:paraId="324F8D6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_Toc4382 </w:instrText>
      </w:r>
      <w:r>
        <w:rPr>
          <w:rFonts w:ascii="宋体" w:hAnsi="宋体"/>
          <w:bCs/>
          <w:i w:val="0"/>
          <w:iCs w:val="0"/>
          <w:szCs w:val="21"/>
          <w:lang w:val="zh-CN"/>
        </w:rPr>
        <w:fldChar w:fldCharType="separate"/>
      </w:r>
      <w:r>
        <w:rPr>
          <w:rFonts w:hint="eastAsia" w:ascii="宋体" w:hAnsi="宋体"/>
          <w:i w:val="0"/>
          <w:iCs w:val="0"/>
        </w:rPr>
        <w:t>7、交通运输</w:t>
      </w:r>
      <w:r>
        <w:rPr>
          <w:i w:val="0"/>
          <w:iCs w:val="0"/>
        </w:rPr>
        <w:tab/>
      </w:r>
      <w:r>
        <w:rPr>
          <w:i w:val="0"/>
          <w:iCs w:val="0"/>
        </w:rPr>
        <w:fldChar w:fldCharType="begin"/>
      </w:r>
      <w:r>
        <w:rPr>
          <w:i w:val="0"/>
          <w:iCs w:val="0"/>
        </w:rPr>
        <w:instrText xml:space="preserve"> PAGEREF _Toc4382 \h </w:instrText>
      </w:r>
      <w:r>
        <w:rPr>
          <w:i w:val="0"/>
          <w:iCs w:val="0"/>
        </w:rPr>
        <w:fldChar w:fldCharType="separate"/>
      </w:r>
      <w:r>
        <w:rPr>
          <w:i w:val="0"/>
          <w:iCs w:val="0"/>
        </w:rPr>
        <w:t>142</w:t>
      </w:r>
      <w:r>
        <w:rPr>
          <w:i w:val="0"/>
          <w:iCs w:val="0"/>
        </w:rPr>
        <w:fldChar w:fldCharType="end"/>
      </w:r>
      <w:r>
        <w:rPr>
          <w:rFonts w:ascii="宋体" w:hAnsi="宋体"/>
          <w:bCs/>
          <w:i w:val="0"/>
          <w:iCs w:val="0"/>
          <w:szCs w:val="21"/>
          <w:lang w:val="zh-CN"/>
        </w:rPr>
        <w:fldChar w:fldCharType="end"/>
      </w:r>
    </w:p>
    <w:p w14:paraId="78F73C1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_Toc20949 </w:instrText>
      </w:r>
      <w:r>
        <w:rPr>
          <w:rFonts w:ascii="宋体" w:hAnsi="宋体"/>
          <w:bCs/>
          <w:i w:val="0"/>
          <w:iCs w:val="0"/>
          <w:szCs w:val="21"/>
          <w:lang w:val="zh-CN"/>
        </w:rPr>
        <w:fldChar w:fldCharType="separate"/>
      </w:r>
      <w:r>
        <w:rPr>
          <w:rFonts w:hint="eastAsia" w:ascii="宋体" w:hAnsi="宋体"/>
          <w:i w:val="0"/>
          <w:iCs w:val="0"/>
        </w:rPr>
        <w:t>8、测量放线</w:t>
      </w:r>
      <w:r>
        <w:rPr>
          <w:i w:val="0"/>
          <w:iCs w:val="0"/>
        </w:rPr>
        <w:tab/>
      </w:r>
      <w:r>
        <w:rPr>
          <w:i w:val="0"/>
          <w:iCs w:val="0"/>
        </w:rPr>
        <w:fldChar w:fldCharType="begin"/>
      </w:r>
      <w:r>
        <w:rPr>
          <w:i w:val="0"/>
          <w:iCs w:val="0"/>
        </w:rPr>
        <w:instrText xml:space="preserve"> PAGEREF _Toc20949 \h </w:instrText>
      </w:r>
      <w:r>
        <w:rPr>
          <w:i w:val="0"/>
          <w:iCs w:val="0"/>
        </w:rPr>
        <w:fldChar w:fldCharType="separate"/>
      </w:r>
      <w:r>
        <w:rPr>
          <w:i w:val="0"/>
          <w:iCs w:val="0"/>
        </w:rPr>
        <w:t>143</w:t>
      </w:r>
      <w:r>
        <w:rPr>
          <w:i w:val="0"/>
          <w:iCs w:val="0"/>
        </w:rPr>
        <w:fldChar w:fldCharType="end"/>
      </w:r>
      <w:r>
        <w:rPr>
          <w:rFonts w:ascii="宋体" w:hAnsi="宋体"/>
          <w:bCs/>
          <w:i w:val="0"/>
          <w:iCs w:val="0"/>
          <w:szCs w:val="21"/>
          <w:lang w:val="zh-CN"/>
        </w:rPr>
        <w:fldChar w:fldCharType="end"/>
      </w:r>
    </w:p>
    <w:p w14:paraId="123168D4">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_Toc17591 </w:instrText>
      </w:r>
      <w:r>
        <w:rPr>
          <w:rFonts w:ascii="宋体" w:hAnsi="宋体"/>
          <w:bCs/>
          <w:i w:val="0"/>
          <w:iCs w:val="0"/>
          <w:szCs w:val="21"/>
          <w:lang w:val="zh-CN"/>
        </w:rPr>
        <w:fldChar w:fldCharType="separate"/>
      </w:r>
      <w:r>
        <w:rPr>
          <w:rFonts w:hint="eastAsia" w:ascii="宋体" w:hAnsi="宋体"/>
          <w:i w:val="0"/>
          <w:iCs w:val="0"/>
        </w:rPr>
        <w:t>9、施工安全、治安保卫和环境保护</w:t>
      </w:r>
      <w:r>
        <w:rPr>
          <w:i w:val="0"/>
          <w:iCs w:val="0"/>
        </w:rPr>
        <w:tab/>
      </w:r>
      <w:r>
        <w:rPr>
          <w:i w:val="0"/>
          <w:iCs w:val="0"/>
        </w:rPr>
        <w:fldChar w:fldCharType="begin"/>
      </w:r>
      <w:r>
        <w:rPr>
          <w:i w:val="0"/>
          <w:iCs w:val="0"/>
        </w:rPr>
        <w:instrText xml:space="preserve"> PAGEREF _Toc17591 \h </w:instrText>
      </w:r>
      <w:r>
        <w:rPr>
          <w:i w:val="0"/>
          <w:iCs w:val="0"/>
        </w:rPr>
        <w:fldChar w:fldCharType="separate"/>
      </w:r>
      <w:r>
        <w:rPr>
          <w:i w:val="0"/>
          <w:iCs w:val="0"/>
        </w:rPr>
        <w:t>143</w:t>
      </w:r>
      <w:r>
        <w:rPr>
          <w:i w:val="0"/>
          <w:iCs w:val="0"/>
        </w:rPr>
        <w:fldChar w:fldCharType="end"/>
      </w:r>
      <w:r>
        <w:rPr>
          <w:rFonts w:ascii="宋体" w:hAnsi="宋体"/>
          <w:bCs/>
          <w:i w:val="0"/>
          <w:iCs w:val="0"/>
          <w:szCs w:val="21"/>
          <w:lang w:val="zh-CN"/>
        </w:rPr>
        <w:fldChar w:fldCharType="end"/>
      </w:r>
    </w:p>
    <w:p w14:paraId="33089F8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_Toc3118 </w:instrText>
      </w:r>
      <w:r>
        <w:rPr>
          <w:rFonts w:ascii="宋体" w:hAnsi="宋体"/>
          <w:bCs/>
          <w:i w:val="0"/>
          <w:iCs w:val="0"/>
          <w:szCs w:val="21"/>
          <w:lang w:val="zh-CN"/>
        </w:rPr>
        <w:fldChar w:fldCharType="separate"/>
      </w:r>
      <w:r>
        <w:rPr>
          <w:rFonts w:hint="eastAsia" w:ascii="宋体" w:hAnsi="宋体"/>
          <w:i w:val="0"/>
          <w:iCs w:val="0"/>
        </w:rPr>
        <w:t>10、进度计划</w:t>
      </w:r>
      <w:r>
        <w:rPr>
          <w:i w:val="0"/>
          <w:iCs w:val="0"/>
        </w:rPr>
        <w:tab/>
      </w:r>
      <w:r>
        <w:rPr>
          <w:i w:val="0"/>
          <w:iCs w:val="0"/>
        </w:rPr>
        <w:fldChar w:fldCharType="begin"/>
      </w:r>
      <w:r>
        <w:rPr>
          <w:i w:val="0"/>
          <w:iCs w:val="0"/>
        </w:rPr>
        <w:instrText xml:space="preserve"> PAGEREF _Toc3118 \h </w:instrText>
      </w:r>
      <w:r>
        <w:rPr>
          <w:i w:val="0"/>
          <w:iCs w:val="0"/>
        </w:rPr>
        <w:fldChar w:fldCharType="separate"/>
      </w:r>
      <w:r>
        <w:rPr>
          <w:i w:val="0"/>
          <w:iCs w:val="0"/>
        </w:rPr>
        <w:t>147</w:t>
      </w:r>
      <w:r>
        <w:rPr>
          <w:i w:val="0"/>
          <w:iCs w:val="0"/>
        </w:rPr>
        <w:fldChar w:fldCharType="end"/>
      </w:r>
      <w:r>
        <w:rPr>
          <w:rFonts w:ascii="宋体" w:hAnsi="宋体"/>
          <w:bCs/>
          <w:i w:val="0"/>
          <w:iCs w:val="0"/>
          <w:szCs w:val="21"/>
          <w:lang w:val="zh-CN"/>
        </w:rPr>
        <w:fldChar w:fldCharType="end"/>
      </w:r>
    </w:p>
    <w:p w14:paraId="5042E9C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_Toc22496 </w:instrText>
      </w:r>
      <w:r>
        <w:rPr>
          <w:rFonts w:ascii="宋体" w:hAnsi="宋体"/>
          <w:bCs/>
          <w:i w:val="0"/>
          <w:iCs w:val="0"/>
          <w:szCs w:val="21"/>
          <w:lang w:val="zh-CN"/>
        </w:rPr>
        <w:fldChar w:fldCharType="separate"/>
      </w:r>
      <w:r>
        <w:rPr>
          <w:rFonts w:hint="eastAsia" w:ascii="宋体" w:hAnsi="宋体"/>
          <w:i w:val="0"/>
          <w:iCs w:val="0"/>
        </w:rPr>
        <w:t>11、开工和竣工</w:t>
      </w:r>
      <w:r>
        <w:rPr>
          <w:i w:val="0"/>
          <w:iCs w:val="0"/>
        </w:rPr>
        <w:tab/>
      </w:r>
      <w:r>
        <w:rPr>
          <w:i w:val="0"/>
          <w:iCs w:val="0"/>
        </w:rPr>
        <w:fldChar w:fldCharType="begin"/>
      </w:r>
      <w:r>
        <w:rPr>
          <w:i w:val="0"/>
          <w:iCs w:val="0"/>
        </w:rPr>
        <w:instrText xml:space="preserve"> PAGEREF _Toc22496 \h </w:instrText>
      </w:r>
      <w:r>
        <w:rPr>
          <w:i w:val="0"/>
          <w:iCs w:val="0"/>
        </w:rPr>
        <w:fldChar w:fldCharType="separate"/>
      </w:r>
      <w:r>
        <w:rPr>
          <w:i w:val="0"/>
          <w:iCs w:val="0"/>
        </w:rPr>
        <w:t>147</w:t>
      </w:r>
      <w:r>
        <w:rPr>
          <w:i w:val="0"/>
          <w:iCs w:val="0"/>
        </w:rPr>
        <w:fldChar w:fldCharType="end"/>
      </w:r>
      <w:r>
        <w:rPr>
          <w:rFonts w:ascii="宋体" w:hAnsi="宋体"/>
          <w:bCs/>
          <w:i w:val="0"/>
          <w:iCs w:val="0"/>
          <w:szCs w:val="21"/>
          <w:lang w:val="zh-CN"/>
        </w:rPr>
        <w:fldChar w:fldCharType="end"/>
      </w:r>
    </w:p>
    <w:p w14:paraId="0FE37EF7">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_Toc18231 </w:instrText>
      </w:r>
      <w:r>
        <w:rPr>
          <w:rFonts w:ascii="宋体" w:hAnsi="宋体"/>
          <w:bCs/>
          <w:i w:val="0"/>
          <w:iCs w:val="0"/>
          <w:szCs w:val="21"/>
          <w:lang w:val="zh-CN"/>
        </w:rPr>
        <w:fldChar w:fldCharType="separate"/>
      </w:r>
      <w:r>
        <w:rPr>
          <w:rFonts w:hint="eastAsia" w:ascii="宋体" w:hAnsi="宋体"/>
          <w:i w:val="0"/>
          <w:iCs w:val="0"/>
        </w:rPr>
        <w:t>12、暂停施工</w:t>
      </w:r>
      <w:r>
        <w:rPr>
          <w:i w:val="0"/>
          <w:iCs w:val="0"/>
        </w:rPr>
        <w:tab/>
      </w:r>
      <w:r>
        <w:rPr>
          <w:i w:val="0"/>
          <w:iCs w:val="0"/>
        </w:rPr>
        <w:fldChar w:fldCharType="begin"/>
      </w:r>
      <w:r>
        <w:rPr>
          <w:i w:val="0"/>
          <w:iCs w:val="0"/>
        </w:rPr>
        <w:instrText xml:space="preserve"> PAGEREF _Toc18231 \h </w:instrText>
      </w:r>
      <w:r>
        <w:rPr>
          <w:i w:val="0"/>
          <w:iCs w:val="0"/>
        </w:rPr>
        <w:fldChar w:fldCharType="separate"/>
      </w:r>
      <w:r>
        <w:rPr>
          <w:i w:val="0"/>
          <w:iCs w:val="0"/>
        </w:rPr>
        <w:t>149</w:t>
      </w:r>
      <w:r>
        <w:rPr>
          <w:i w:val="0"/>
          <w:iCs w:val="0"/>
        </w:rPr>
        <w:fldChar w:fldCharType="end"/>
      </w:r>
      <w:r>
        <w:rPr>
          <w:rFonts w:ascii="宋体" w:hAnsi="宋体"/>
          <w:bCs/>
          <w:i w:val="0"/>
          <w:iCs w:val="0"/>
          <w:szCs w:val="21"/>
          <w:lang w:val="zh-CN"/>
        </w:rPr>
        <w:fldChar w:fldCharType="end"/>
      </w:r>
    </w:p>
    <w:p w14:paraId="505722BE">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_Toc6108 </w:instrText>
      </w:r>
      <w:r>
        <w:rPr>
          <w:rFonts w:ascii="宋体" w:hAnsi="宋体"/>
          <w:bCs/>
          <w:i w:val="0"/>
          <w:iCs w:val="0"/>
          <w:szCs w:val="21"/>
          <w:lang w:val="zh-CN"/>
        </w:rPr>
        <w:fldChar w:fldCharType="separate"/>
      </w:r>
      <w:r>
        <w:rPr>
          <w:rFonts w:hint="eastAsia" w:ascii="宋体" w:hAnsi="宋体"/>
          <w:i w:val="0"/>
          <w:iCs w:val="0"/>
        </w:rPr>
        <w:t>13、工程质量</w:t>
      </w:r>
      <w:r>
        <w:rPr>
          <w:i w:val="0"/>
          <w:iCs w:val="0"/>
        </w:rPr>
        <w:tab/>
      </w:r>
      <w:r>
        <w:rPr>
          <w:i w:val="0"/>
          <w:iCs w:val="0"/>
        </w:rPr>
        <w:fldChar w:fldCharType="begin"/>
      </w:r>
      <w:r>
        <w:rPr>
          <w:i w:val="0"/>
          <w:iCs w:val="0"/>
        </w:rPr>
        <w:instrText xml:space="preserve"> PAGEREF _Toc6108 \h </w:instrText>
      </w:r>
      <w:r>
        <w:rPr>
          <w:i w:val="0"/>
          <w:iCs w:val="0"/>
        </w:rPr>
        <w:fldChar w:fldCharType="separate"/>
      </w:r>
      <w:r>
        <w:rPr>
          <w:i w:val="0"/>
          <w:iCs w:val="0"/>
        </w:rPr>
        <w:t>150</w:t>
      </w:r>
      <w:r>
        <w:rPr>
          <w:i w:val="0"/>
          <w:iCs w:val="0"/>
        </w:rPr>
        <w:fldChar w:fldCharType="end"/>
      </w:r>
      <w:r>
        <w:rPr>
          <w:rFonts w:ascii="宋体" w:hAnsi="宋体"/>
          <w:bCs/>
          <w:i w:val="0"/>
          <w:iCs w:val="0"/>
          <w:szCs w:val="21"/>
          <w:lang w:val="zh-CN"/>
        </w:rPr>
        <w:fldChar w:fldCharType="end"/>
      </w:r>
    </w:p>
    <w:p w14:paraId="3D90E2F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_Toc18465 </w:instrText>
      </w:r>
      <w:r>
        <w:rPr>
          <w:rFonts w:ascii="宋体" w:hAnsi="宋体"/>
          <w:bCs/>
          <w:i w:val="0"/>
          <w:iCs w:val="0"/>
          <w:szCs w:val="21"/>
          <w:lang w:val="zh-CN"/>
        </w:rPr>
        <w:fldChar w:fldCharType="separate"/>
      </w:r>
      <w:r>
        <w:rPr>
          <w:rFonts w:hint="eastAsia" w:ascii="宋体" w:hAnsi="宋体"/>
          <w:i w:val="0"/>
          <w:iCs w:val="0"/>
        </w:rPr>
        <w:t>14、试验和检验</w:t>
      </w:r>
      <w:r>
        <w:rPr>
          <w:i w:val="0"/>
          <w:iCs w:val="0"/>
        </w:rPr>
        <w:tab/>
      </w:r>
      <w:r>
        <w:rPr>
          <w:i w:val="0"/>
          <w:iCs w:val="0"/>
        </w:rPr>
        <w:fldChar w:fldCharType="begin"/>
      </w:r>
      <w:r>
        <w:rPr>
          <w:i w:val="0"/>
          <w:iCs w:val="0"/>
        </w:rPr>
        <w:instrText xml:space="preserve"> PAGEREF _Toc18465 \h </w:instrText>
      </w:r>
      <w:r>
        <w:rPr>
          <w:i w:val="0"/>
          <w:iCs w:val="0"/>
        </w:rPr>
        <w:fldChar w:fldCharType="separate"/>
      </w:r>
      <w:r>
        <w:rPr>
          <w:i w:val="0"/>
          <w:iCs w:val="0"/>
        </w:rPr>
        <w:t>152</w:t>
      </w:r>
      <w:r>
        <w:rPr>
          <w:i w:val="0"/>
          <w:iCs w:val="0"/>
        </w:rPr>
        <w:fldChar w:fldCharType="end"/>
      </w:r>
      <w:r>
        <w:rPr>
          <w:rFonts w:ascii="宋体" w:hAnsi="宋体"/>
          <w:bCs/>
          <w:i w:val="0"/>
          <w:iCs w:val="0"/>
          <w:szCs w:val="21"/>
          <w:lang w:val="zh-CN"/>
        </w:rPr>
        <w:fldChar w:fldCharType="end"/>
      </w:r>
    </w:p>
    <w:p w14:paraId="6B5B16CE">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_Toc5672 </w:instrText>
      </w:r>
      <w:r>
        <w:rPr>
          <w:rFonts w:ascii="宋体" w:hAnsi="宋体"/>
          <w:bCs/>
          <w:i w:val="0"/>
          <w:iCs w:val="0"/>
          <w:szCs w:val="21"/>
          <w:lang w:val="zh-CN"/>
        </w:rPr>
        <w:fldChar w:fldCharType="separate"/>
      </w:r>
      <w:r>
        <w:rPr>
          <w:rFonts w:hint="eastAsia" w:ascii="宋体" w:hAnsi="宋体"/>
          <w:i w:val="0"/>
          <w:iCs w:val="0"/>
        </w:rPr>
        <w:t>15、变更</w:t>
      </w:r>
      <w:r>
        <w:rPr>
          <w:i w:val="0"/>
          <w:iCs w:val="0"/>
        </w:rPr>
        <w:tab/>
      </w:r>
      <w:r>
        <w:rPr>
          <w:i w:val="0"/>
          <w:iCs w:val="0"/>
        </w:rPr>
        <w:fldChar w:fldCharType="begin"/>
      </w:r>
      <w:r>
        <w:rPr>
          <w:i w:val="0"/>
          <w:iCs w:val="0"/>
        </w:rPr>
        <w:instrText xml:space="preserve"> PAGEREF _Toc5672 \h </w:instrText>
      </w:r>
      <w:r>
        <w:rPr>
          <w:i w:val="0"/>
          <w:iCs w:val="0"/>
        </w:rPr>
        <w:fldChar w:fldCharType="separate"/>
      </w:r>
      <w:r>
        <w:rPr>
          <w:i w:val="0"/>
          <w:iCs w:val="0"/>
        </w:rPr>
        <w:t>152</w:t>
      </w:r>
      <w:r>
        <w:rPr>
          <w:i w:val="0"/>
          <w:iCs w:val="0"/>
        </w:rPr>
        <w:fldChar w:fldCharType="end"/>
      </w:r>
      <w:r>
        <w:rPr>
          <w:rFonts w:ascii="宋体" w:hAnsi="宋体"/>
          <w:bCs/>
          <w:i w:val="0"/>
          <w:iCs w:val="0"/>
          <w:szCs w:val="21"/>
          <w:lang w:val="zh-CN"/>
        </w:rPr>
        <w:fldChar w:fldCharType="end"/>
      </w:r>
    </w:p>
    <w:p w14:paraId="2CB90D4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_Toc32570 </w:instrText>
      </w:r>
      <w:r>
        <w:rPr>
          <w:rFonts w:ascii="宋体" w:hAnsi="宋体"/>
          <w:bCs/>
          <w:i w:val="0"/>
          <w:iCs w:val="0"/>
          <w:szCs w:val="21"/>
          <w:lang w:val="zh-CN"/>
        </w:rPr>
        <w:fldChar w:fldCharType="separate"/>
      </w:r>
      <w:r>
        <w:rPr>
          <w:rFonts w:hint="eastAsia" w:ascii="宋体" w:hAnsi="宋体"/>
          <w:i w:val="0"/>
          <w:iCs w:val="0"/>
        </w:rPr>
        <w:t>16、价格调整</w:t>
      </w:r>
      <w:r>
        <w:rPr>
          <w:i w:val="0"/>
          <w:iCs w:val="0"/>
        </w:rPr>
        <w:tab/>
      </w:r>
      <w:r>
        <w:rPr>
          <w:i w:val="0"/>
          <w:iCs w:val="0"/>
        </w:rPr>
        <w:fldChar w:fldCharType="begin"/>
      </w:r>
      <w:r>
        <w:rPr>
          <w:i w:val="0"/>
          <w:iCs w:val="0"/>
        </w:rPr>
        <w:instrText xml:space="preserve"> PAGEREF _Toc32570 \h </w:instrText>
      </w:r>
      <w:r>
        <w:rPr>
          <w:i w:val="0"/>
          <w:iCs w:val="0"/>
        </w:rPr>
        <w:fldChar w:fldCharType="separate"/>
      </w:r>
      <w:r>
        <w:rPr>
          <w:i w:val="0"/>
          <w:iCs w:val="0"/>
        </w:rPr>
        <w:t>156</w:t>
      </w:r>
      <w:r>
        <w:rPr>
          <w:i w:val="0"/>
          <w:iCs w:val="0"/>
        </w:rPr>
        <w:fldChar w:fldCharType="end"/>
      </w:r>
      <w:r>
        <w:rPr>
          <w:rFonts w:ascii="宋体" w:hAnsi="宋体"/>
          <w:bCs/>
          <w:i w:val="0"/>
          <w:iCs w:val="0"/>
          <w:szCs w:val="21"/>
          <w:lang w:val="zh-CN"/>
        </w:rPr>
        <w:fldChar w:fldCharType="end"/>
      </w:r>
    </w:p>
    <w:p w14:paraId="069235B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_Toc15231 </w:instrText>
      </w:r>
      <w:r>
        <w:rPr>
          <w:rFonts w:ascii="宋体" w:hAnsi="宋体"/>
          <w:bCs/>
          <w:i w:val="0"/>
          <w:iCs w:val="0"/>
          <w:szCs w:val="21"/>
          <w:lang w:val="zh-CN"/>
        </w:rPr>
        <w:fldChar w:fldCharType="separate"/>
      </w:r>
      <w:r>
        <w:rPr>
          <w:rFonts w:hint="eastAsia" w:ascii="宋体" w:hAnsi="宋体"/>
          <w:i w:val="0"/>
          <w:iCs w:val="0"/>
        </w:rPr>
        <w:t>17、计量与支付</w:t>
      </w:r>
      <w:r>
        <w:rPr>
          <w:i w:val="0"/>
          <w:iCs w:val="0"/>
        </w:rPr>
        <w:tab/>
      </w:r>
      <w:r>
        <w:rPr>
          <w:i w:val="0"/>
          <w:iCs w:val="0"/>
        </w:rPr>
        <w:fldChar w:fldCharType="begin"/>
      </w:r>
      <w:r>
        <w:rPr>
          <w:i w:val="0"/>
          <w:iCs w:val="0"/>
        </w:rPr>
        <w:instrText xml:space="preserve"> PAGEREF _Toc15231 \h </w:instrText>
      </w:r>
      <w:r>
        <w:rPr>
          <w:i w:val="0"/>
          <w:iCs w:val="0"/>
        </w:rPr>
        <w:fldChar w:fldCharType="separate"/>
      </w:r>
      <w:r>
        <w:rPr>
          <w:i w:val="0"/>
          <w:iCs w:val="0"/>
        </w:rPr>
        <w:t>158</w:t>
      </w:r>
      <w:r>
        <w:rPr>
          <w:i w:val="0"/>
          <w:iCs w:val="0"/>
        </w:rPr>
        <w:fldChar w:fldCharType="end"/>
      </w:r>
      <w:r>
        <w:rPr>
          <w:rFonts w:ascii="宋体" w:hAnsi="宋体"/>
          <w:bCs/>
          <w:i w:val="0"/>
          <w:iCs w:val="0"/>
          <w:szCs w:val="21"/>
          <w:lang w:val="zh-CN"/>
        </w:rPr>
        <w:fldChar w:fldCharType="end"/>
      </w:r>
    </w:p>
    <w:p w14:paraId="64DCFB5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_Toc3444 </w:instrText>
      </w:r>
      <w:r>
        <w:rPr>
          <w:rFonts w:ascii="宋体" w:hAnsi="宋体"/>
          <w:bCs/>
          <w:i w:val="0"/>
          <w:iCs w:val="0"/>
          <w:szCs w:val="21"/>
          <w:lang w:val="zh-CN"/>
        </w:rPr>
        <w:fldChar w:fldCharType="separate"/>
      </w:r>
      <w:r>
        <w:rPr>
          <w:rFonts w:hint="eastAsia" w:ascii="宋体" w:hAnsi="宋体"/>
          <w:i w:val="0"/>
          <w:iCs w:val="0"/>
        </w:rPr>
        <w:t>18、竣工验收</w:t>
      </w:r>
      <w:r>
        <w:rPr>
          <w:i w:val="0"/>
          <w:iCs w:val="0"/>
        </w:rPr>
        <w:tab/>
      </w:r>
      <w:r>
        <w:rPr>
          <w:i w:val="0"/>
          <w:iCs w:val="0"/>
        </w:rPr>
        <w:fldChar w:fldCharType="begin"/>
      </w:r>
      <w:r>
        <w:rPr>
          <w:i w:val="0"/>
          <w:iCs w:val="0"/>
        </w:rPr>
        <w:instrText xml:space="preserve"> PAGEREF _Toc3444 \h </w:instrText>
      </w:r>
      <w:r>
        <w:rPr>
          <w:i w:val="0"/>
          <w:iCs w:val="0"/>
        </w:rPr>
        <w:fldChar w:fldCharType="separate"/>
      </w:r>
      <w:r>
        <w:rPr>
          <w:i w:val="0"/>
          <w:iCs w:val="0"/>
        </w:rPr>
        <w:t>165</w:t>
      </w:r>
      <w:r>
        <w:rPr>
          <w:i w:val="0"/>
          <w:iCs w:val="0"/>
        </w:rPr>
        <w:fldChar w:fldCharType="end"/>
      </w:r>
      <w:r>
        <w:rPr>
          <w:rFonts w:ascii="宋体" w:hAnsi="宋体"/>
          <w:bCs/>
          <w:i w:val="0"/>
          <w:iCs w:val="0"/>
          <w:szCs w:val="21"/>
          <w:lang w:val="zh-CN"/>
        </w:rPr>
        <w:fldChar w:fldCharType="end"/>
      </w:r>
    </w:p>
    <w:p w14:paraId="00B8644E">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_Toc31675 </w:instrText>
      </w:r>
      <w:r>
        <w:rPr>
          <w:rFonts w:ascii="宋体" w:hAnsi="宋体"/>
          <w:bCs/>
          <w:i w:val="0"/>
          <w:iCs w:val="0"/>
          <w:szCs w:val="21"/>
          <w:lang w:val="zh-CN"/>
        </w:rPr>
        <w:fldChar w:fldCharType="separate"/>
      </w:r>
      <w:r>
        <w:rPr>
          <w:rFonts w:hint="eastAsia" w:ascii="宋体" w:hAnsi="宋体"/>
          <w:i w:val="0"/>
          <w:iCs w:val="0"/>
        </w:rPr>
        <w:t>19、缺陷责任与保修责任</w:t>
      </w:r>
      <w:r>
        <w:rPr>
          <w:i w:val="0"/>
          <w:iCs w:val="0"/>
        </w:rPr>
        <w:tab/>
      </w:r>
      <w:r>
        <w:rPr>
          <w:i w:val="0"/>
          <w:iCs w:val="0"/>
        </w:rPr>
        <w:fldChar w:fldCharType="begin"/>
      </w:r>
      <w:r>
        <w:rPr>
          <w:i w:val="0"/>
          <w:iCs w:val="0"/>
        </w:rPr>
        <w:instrText xml:space="preserve"> PAGEREF _Toc31675 \h </w:instrText>
      </w:r>
      <w:r>
        <w:rPr>
          <w:i w:val="0"/>
          <w:iCs w:val="0"/>
        </w:rPr>
        <w:fldChar w:fldCharType="separate"/>
      </w:r>
      <w:r>
        <w:rPr>
          <w:i w:val="0"/>
          <w:iCs w:val="0"/>
        </w:rPr>
        <w:t>166</w:t>
      </w:r>
      <w:r>
        <w:rPr>
          <w:i w:val="0"/>
          <w:iCs w:val="0"/>
        </w:rPr>
        <w:fldChar w:fldCharType="end"/>
      </w:r>
      <w:r>
        <w:rPr>
          <w:rFonts w:ascii="宋体" w:hAnsi="宋体"/>
          <w:bCs/>
          <w:i w:val="0"/>
          <w:iCs w:val="0"/>
          <w:szCs w:val="21"/>
          <w:lang w:val="zh-CN"/>
        </w:rPr>
        <w:fldChar w:fldCharType="end"/>
      </w:r>
    </w:p>
    <w:p w14:paraId="70E35DC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_Toc23333 </w:instrText>
      </w:r>
      <w:r>
        <w:rPr>
          <w:rFonts w:ascii="宋体" w:hAnsi="宋体"/>
          <w:bCs/>
          <w:i w:val="0"/>
          <w:iCs w:val="0"/>
          <w:szCs w:val="21"/>
          <w:lang w:val="zh-CN"/>
        </w:rPr>
        <w:fldChar w:fldCharType="separate"/>
      </w:r>
      <w:r>
        <w:rPr>
          <w:rFonts w:hint="eastAsia" w:ascii="宋体" w:hAnsi="宋体"/>
          <w:i w:val="0"/>
          <w:iCs w:val="0"/>
        </w:rPr>
        <w:t>20、保险</w:t>
      </w:r>
      <w:r>
        <w:rPr>
          <w:i w:val="0"/>
          <w:iCs w:val="0"/>
        </w:rPr>
        <w:tab/>
      </w:r>
      <w:r>
        <w:rPr>
          <w:i w:val="0"/>
          <w:iCs w:val="0"/>
        </w:rPr>
        <w:fldChar w:fldCharType="begin"/>
      </w:r>
      <w:r>
        <w:rPr>
          <w:i w:val="0"/>
          <w:iCs w:val="0"/>
        </w:rPr>
        <w:instrText xml:space="preserve"> PAGEREF _Toc23333 \h </w:instrText>
      </w:r>
      <w:r>
        <w:rPr>
          <w:i w:val="0"/>
          <w:iCs w:val="0"/>
        </w:rPr>
        <w:fldChar w:fldCharType="separate"/>
      </w:r>
      <w:r>
        <w:rPr>
          <w:i w:val="0"/>
          <w:iCs w:val="0"/>
        </w:rPr>
        <w:t>166</w:t>
      </w:r>
      <w:r>
        <w:rPr>
          <w:i w:val="0"/>
          <w:iCs w:val="0"/>
        </w:rPr>
        <w:fldChar w:fldCharType="end"/>
      </w:r>
      <w:r>
        <w:rPr>
          <w:rFonts w:ascii="宋体" w:hAnsi="宋体"/>
          <w:bCs/>
          <w:i w:val="0"/>
          <w:iCs w:val="0"/>
          <w:szCs w:val="21"/>
          <w:lang w:val="zh-CN"/>
        </w:rPr>
        <w:fldChar w:fldCharType="end"/>
      </w:r>
    </w:p>
    <w:p w14:paraId="3A915BD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_Toc31259 </w:instrText>
      </w:r>
      <w:r>
        <w:rPr>
          <w:rFonts w:ascii="宋体" w:hAnsi="宋体"/>
          <w:bCs/>
          <w:i w:val="0"/>
          <w:iCs w:val="0"/>
          <w:szCs w:val="21"/>
          <w:lang w:val="zh-CN"/>
        </w:rPr>
        <w:fldChar w:fldCharType="separate"/>
      </w:r>
      <w:r>
        <w:rPr>
          <w:rFonts w:hint="eastAsia" w:ascii="宋体" w:hAnsi="宋体"/>
          <w:i w:val="0"/>
          <w:iCs w:val="0"/>
        </w:rPr>
        <w:t>21、不可抗力</w:t>
      </w:r>
      <w:r>
        <w:rPr>
          <w:i w:val="0"/>
          <w:iCs w:val="0"/>
        </w:rPr>
        <w:tab/>
      </w:r>
      <w:r>
        <w:rPr>
          <w:i w:val="0"/>
          <w:iCs w:val="0"/>
        </w:rPr>
        <w:fldChar w:fldCharType="begin"/>
      </w:r>
      <w:r>
        <w:rPr>
          <w:i w:val="0"/>
          <w:iCs w:val="0"/>
        </w:rPr>
        <w:instrText xml:space="preserve"> PAGEREF _Toc31259 \h </w:instrText>
      </w:r>
      <w:r>
        <w:rPr>
          <w:i w:val="0"/>
          <w:iCs w:val="0"/>
        </w:rPr>
        <w:fldChar w:fldCharType="separate"/>
      </w:r>
      <w:r>
        <w:rPr>
          <w:i w:val="0"/>
          <w:iCs w:val="0"/>
        </w:rPr>
        <w:t>168</w:t>
      </w:r>
      <w:r>
        <w:rPr>
          <w:i w:val="0"/>
          <w:iCs w:val="0"/>
        </w:rPr>
        <w:fldChar w:fldCharType="end"/>
      </w:r>
      <w:r>
        <w:rPr>
          <w:rFonts w:ascii="宋体" w:hAnsi="宋体"/>
          <w:bCs/>
          <w:i w:val="0"/>
          <w:iCs w:val="0"/>
          <w:szCs w:val="21"/>
          <w:lang w:val="zh-CN"/>
        </w:rPr>
        <w:fldChar w:fldCharType="end"/>
      </w:r>
    </w:p>
    <w:p w14:paraId="533CD9F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_Toc29128 </w:instrText>
      </w:r>
      <w:r>
        <w:rPr>
          <w:rFonts w:ascii="宋体" w:hAnsi="宋体"/>
          <w:bCs/>
          <w:i w:val="0"/>
          <w:iCs w:val="0"/>
          <w:szCs w:val="21"/>
          <w:lang w:val="zh-CN"/>
        </w:rPr>
        <w:fldChar w:fldCharType="separate"/>
      </w:r>
      <w:r>
        <w:rPr>
          <w:rFonts w:hint="eastAsia" w:ascii="宋体" w:hAnsi="宋体"/>
          <w:i w:val="0"/>
          <w:iCs w:val="0"/>
        </w:rPr>
        <w:t>22、违约</w:t>
      </w:r>
      <w:r>
        <w:rPr>
          <w:i w:val="0"/>
          <w:iCs w:val="0"/>
        </w:rPr>
        <w:tab/>
      </w:r>
      <w:r>
        <w:rPr>
          <w:i w:val="0"/>
          <w:iCs w:val="0"/>
        </w:rPr>
        <w:fldChar w:fldCharType="begin"/>
      </w:r>
      <w:r>
        <w:rPr>
          <w:i w:val="0"/>
          <w:iCs w:val="0"/>
        </w:rPr>
        <w:instrText xml:space="preserve"> PAGEREF _Toc29128 \h </w:instrText>
      </w:r>
      <w:r>
        <w:rPr>
          <w:i w:val="0"/>
          <w:iCs w:val="0"/>
        </w:rPr>
        <w:fldChar w:fldCharType="separate"/>
      </w:r>
      <w:r>
        <w:rPr>
          <w:i w:val="0"/>
          <w:iCs w:val="0"/>
        </w:rPr>
        <w:t>169</w:t>
      </w:r>
      <w:r>
        <w:rPr>
          <w:i w:val="0"/>
          <w:iCs w:val="0"/>
        </w:rPr>
        <w:fldChar w:fldCharType="end"/>
      </w:r>
      <w:r>
        <w:rPr>
          <w:rFonts w:ascii="宋体" w:hAnsi="宋体"/>
          <w:bCs/>
          <w:i w:val="0"/>
          <w:iCs w:val="0"/>
          <w:szCs w:val="21"/>
          <w:lang w:val="zh-CN"/>
        </w:rPr>
        <w:fldChar w:fldCharType="end"/>
      </w:r>
    </w:p>
    <w:p w14:paraId="67D7019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_Toc10368 </w:instrText>
      </w:r>
      <w:r>
        <w:rPr>
          <w:rFonts w:ascii="宋体" w:hAnsi="宋体"/>
          <w:bCs/>
          <w:i w:val="0"/>
          <w:iCs w:val="0"/>
          <w:szCs w:val="21"/>
          <w:lang w:val="zh-CN"/>
        </w:rPr>
        <w:fldChar w:fldCharType="separate"/>
      </w:r>
      <w:r>
        <w:rPr>
          <w:rFonts w:hint="eastAsia" w:ascii="宋体" w:hAnsi="宋体"/>
          <w:i w:val="0"/>
          <w:iCs w:val="0"/>
        </w:rPr>
        <w:t>23、索赔</w:t>
      </w:r>
      <w:r>
        <w:rPr>
          <w:i w:val="0"/>
          <w:iCs w:val="0"/>
        </w:rPr>
        <w:tab/>
      </w:r>
      <w:r>
        <w:rPr>
          <w:i w:val="0"/>
          <w:iCs w:val="0"/>
        </w:rPr>
        <w:fldChar w:fldCharType="begin"/>
      </w:r>
      <w:r>
        <w:rPr>
          <w:i w:val="0"/>
          <w:iCs w:val="0"/>
        </w:rPr>
        <w:instrText xml:space="preserve"> PAGEREF _Toc10368 \h </w:instrText>
      </w:r>
      <w:r>
        <w:rPr>
          <w:i w:val="0"/>
          <w:iCs w:val="0"/>
        </w:rPr>
        <w:fldChar w:fldCharType="separate"/>
      </w:r>
      <w:r>
        <w:rPr>
          <w:i w:val="0"/>
          <w:iCs w:val="0"/>
        </w:rPr>
        <w:t>175</w:t>
      </w:r>
      <w:r>
        <w:rPr>
          <w:i w:val="0"/>
          <w:iCs w:val="0"/>
        </w:rPr>
        <w:fldChar w:fldCharType="end"/>
      </w:r>
      <w:r>
        <w:rPr>
          <w:rFonts w:ascii="宋体" w:hAnsi="宋体"/>
          <w:bCs/>
          <w:i w:val="0"/>
          <w:iCs w:val="0"/>
          <w:szCs w:val="21"/>
          <w:lang w:val="zh-CN"/>
        </w:rPr>
        <w:fldChar w:fldCharType="end"/>
      </w:r>
    </w:p>
    <w:p w14:paraId="608F2A00">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_Toc6345 </w:instrText>
      </w:r>
      <w:r>
        <w:rPr>
          <w:rFonts w:ascii="宋体" w:hAnsi="宋体"/>
          <w:bCs/>
          <w:i w:val="0"/>
          <w:iCs w:val="0"/>
          <w:szCs w:val="21"/>
          <w:lang w:val="zh-CN"/>
        </w:rPr>
        <w:fldChar w:fldCharType="separate"/>
      </w:r>
      <w:r>
        <w:rPr>
          <w:rFonts w:hint="eastAsia" w:ascii="宋体" w:hAnsi="宋体"/>
          <w:i w:val="0"/>
          <w:iCs w:val="0"/>
        </w:rPr>
        <w:t>24、争议的解决</w:t>
      </w:r>
      <w:r>
        <w:rPr>
          <w:i w:val="0"/>
          <w:iCs w:val="0"/>
        </w:rPr>
        <w:tab/>
      </w:r>
      <w:r>
        <w:rPr>
          <w:i w:val="0"/>
          <w:iCs w:val="0"/>
        </w:rPr>
        <w:fldChar w:fldCharType="begin"/>
      </w:r>
      <w:r>
        <w:rPr>
          <w:i w:val="0"/>
          <w:iCs w:val="0"/>
        </w:rPr>
        <w:instrText xml:space="preserve"> PAGEREF _Toc6345 \h </w:instrText>
      </w:r>
      <w:r>
        <w:rPr>
          <w:i w:val="0"/>
          <w:iCs w:val="0"/>
        </w:rPr>
        <w:fldChar w:fldCharType="separate"/>
      </w:r>
      <w:r>
        <w:rPr>
          <w:i w:val="0"/>
          <w:iCs w:val="0"/>
        </w:rPr>
        <w:t>176</w:t>
      </w:r>
      <w:r>
        <w:rPr>
          <w:i w:val="0"/>
          <w:iCs w:val="0"/>
        </w:rPr>
        <w:fldChar w:fldCharType="end"/>
      </w:r>
      <w:r>
        <w:rPr>
          <w:rFonts w:ascii="宋体" w:hAnsi="宋体"/>
          <w:bCs/>
          <w:i w:val="0"/>
          <w:iCs w:val="0"/>
          <w:szCs w:val="21"/>
          <w:lang w:val="zh-CN"/>
        </w:rPr>
        <w:fldChar w:fldCharType="end"/>
      </w:r>
    </w:p>
    <w:p w14:paraId="4E69D66B">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_Toc396 </w:instrText>
      </w:r>
      <w:r>
        <w:rPr>
          <w:rFonts w:ascii="宋体" w:hAnsi="宋体"/>
          <w:bCs/>
          <w:i w:val="0"/>
          <w:iCs w:val="0"/>
          <w:szCs w:val="21"/>
          <w:lang w:val="zh-CN"/>
        </w:rPr>
        <w:fldChar w:fldCharType="separate"/>
      </w:r>
      <w:r>
        <w:rPr>
          <w:rFonts w:hint="eastAsia" w:ascii="宋体" w:hAnsi="宋体"/>
          <w:i w:val="0"/>
          <w:iCs w:val="0"/>
        </w:rPr>
        <w:t>25、补充条款</w:t>
      </w:r>
      <w:r>
        <w:rPr>
          <w:i w:val="0"/>
          <w:iCs w:val="0"/>
        </w:rPr>
        <w:tab/>
      </w:r>
      <w:r>
        <w:rPr>
          <w:i w:val="0"/>
          <w:iCs w:val="0"/>
        </w:rPr>
        <w:fldChar w:fldCharType="begin"/>
      </w:r>
      <w:r>
        <w:rPr>
          <w:i w:val="0"/>
          <w:iCs w:val="0"/>
        </w:rPr>
        <w:instrText xml:space="preserve"> PAGEREF _Toc396 \h </w:instrText>
      </w:r>
      <w:r>
        <w:rPr>
          <w:i w:val="0"/>
          <w:iCs w:val="0"/>
        </w:rPr>
        <w:fldChar w:fldCharType="separate"/>
      </w:r>
      <w:r>
        <w:rPr>
          <w:i w:val="0"/>
          <w:iCs w:val="0"/>
        </w:rPr>
        <w:t>177</w:t>
      </w:r>
      <w:r>
        <w:rPr>
          <w:i w:val="0"/>
          <w:iCs w:val="0"/>
        </w:rPr>
        <w:fldChar w:fldCharType="end"/>
      </w:r>
      <w:r>
        <w:rPr>
          <w:rFonts w:ascii="宋体" w:hAnsi="宋体"/>
          <w:bCs/>
          <w:i w:val="0"/>
          <w:iCs w:val="0"/>
          <w:szCs w:val="21"/>
          <w:lang w:val="zh-CN"/>
        </w:rPr>
        <w:fldChar w:fldCharType="end"/>
      </w:r>
    </w:p>
    <w:p w14:paraId="5B74777D">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_Toc30109 </w:instrText>
      </w:r>
      <w:r>
        <w:rPr>
          <w:rFonts w:ascii="宋体" w:hAnsi="宋体"/>
          <w:bCs/>
          <w:szCs w:val="21"/>
          <w:lang w:val="zh-CN"/>
        </w:rPr>
        <w:fldChar w:fldCharType="separate"/>
      </w:r>
      <w:r>
        <w:rPr>
          <w:rFonts w:ascii="宋体" w:hAnsi="宋体"/>
        </w:rPr>
        <w:t xml:space="preserve">第三节 </w:t>
      </w:r>
      <w:r>
        <w:rPr>
          <w:rFonts w:hint="eastAsia" w:ascii="宋体" w:hAnsi="宋体"/>
        </w:rPr>
        <w:t>合同附件格式</w:t>
      </w:r>
      <w:r>
        <w:tab/>
      </w:r>
      <w:r>
        <w:fldChar w:fldCharType="begin"/>
      </w:r>
      <w:r>
        <w:instrText xml:space="preserve"> PAGEREF _Toc30109 \h </w:instrText>
      </w:r>
      <w:r>
        <w:fldChar w:fldCharType="separate"/>
      </w:r>
      <w:r>
        <w:t>179</w:t>
      </w:r>
      <w:r>
        <w:fldChar w:fldCharType="end"/>
      </w:r>
      <w:r>
        <w:rPr>
          <w:rFonts w:ascii="宋体" w:hAnsi="宋体"/>
          <w:bCs/>
          <w:szCs w:val="21"/>
          <w:lang w:val="zh-CN"/>
        </w:rPr>
        <w:fldChar w:fldCharType="end"/>
      </w:r>
    </w:p>
    <w:p w14:paraId="6D1D1DF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_Toc15568 </w:instrText>
      </w:r>
      <w:r>
        <w:rPr>
          <w:rFonts w:ascii="宋体" w:hAnsi="宋体"/>
          <w:bCs/>
          <w:i w:val="0"/>
          <w:iCs w:val="0"/>
          <w:szCs w:val="21"/>
          <w:lang w:val="zh-CN"/>
        </w:rPr>
        <w:fldChar w:fldCharType="separate"/>
      </w:r>
      <w:r>
        <w:rPr>
          <w:rFonts w:hint="eastAsia" w:ascii="宋体" w:hAnsi="宋体" w:cs="黑体"/>
          <w:i w:val="0"/>
          <w:iCs w:val="0"/>
        </w:rPr>
        <w:t>附件一 合同协议书</w:t>
      </w:r>
      <w:r>
        <w:rPr>
          <w:i w:val="0"/>
          <w:iCs w:val="0"/>
        </w:rPr>
        <w:tab/>
      </w:r>
      <w:r>
        <w:rPr>
          <w:i w:val="0"/>
          <w:iCs w:val="0"/>
        </w:rPr>
        <w:fldChar w:fldCharType="begin"/>
      </w:r>
      <w:r>
        <w:rPr>
          <w:i w:val="0"/>
          <w:iCs w:val="0"/>
        </w:rPr>
        <w:instrText xml:space="preserve"> PAGEREF _Toc15568 \h </w:instrText>
      </w:r>
      <w:r>
        <w:rPr>
          <w:i w:val="0"/>
          <w:iCs w:val="0"/>
        </w:rPr>
        <w:fldChar w:fldCharType="separate"/>
      </w:r>
      <w:r>
        <w:rPr>
          <w:i w:val="0"/>
          <w:iCs w:val="0"/>
        </w:rPr>
        <w:t>180</w:t>
      </w:r>
      <w:r>
        <w:rPr>
          <w:i w:val="0"/>
          <w:iCs w:val="0"/>
        </w:rPr>
        <w:fldChar w:fldCharType="end"/>
      </w:r>
      <w:r>
        <w:rPr>
          <w:rFonts w:ascii="宋体" w:hAnsi="宋体"/>
          <w:bCs/>
          <w:i w:val="0"/>
          <w:iCs w:val="0"/>
          <w:szCs w:val="21"/>
          <w:lang w:val="zh-CN"/>
        </w:rPr>
        <w:fldChar w:fldCharType="end"/>
      </w:r>
    </w:p>
    <w:p w14:paraId="36E9D0BF">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_Toc12727 </w:instrText>
      </w:r>
      <w:r>
        <w:rPr>
          <w:rFonts w:ascii="宋体" w:hAnsi="宋体"/>
          <w:bCs/>
          <w:i w:val="0"/>
          <w:iCs w:val="0"/>
          <w:szCs w:val="21"/>
          <w:lang w:val="zh-CN"/>
        </w:rPr>
        <w:fldChar w:fldCharType="separate"/>
      </w:r>
      <w:r>
        <w:rPr>
          <w:rFonts w:hint="eastAsia" w:ascii="宋体" w:hAnsi="宋体" w:cs="黑体"/>
          <w:i w:val="0"/>
          <w:iCs w:val="0"/>
        </w:rPr>
        <w:t>附件二 廉政合同</w:t>
      </w:r>
      <w:r>
        <w:rPr>
          <w:i w:val="0"/>
          <w:iCs w:val="0"/>
        </w:rPr>
        <w:tab/>
      </w:r>
      <w:r>
        <w:rPr>
          <w:i w:val="0"/>
          <w:iCs w:val="0"/>
        </w:rPr>
        <w:fldChar w:fldCharType="begin"/>
      </w:r>
      <w:r>
        <w:rPr>
          <w:i w:val="0"/>
          <w:iCs w:val="0"/>
        </w:rPr>
        <w:instrText xml:space="preserve"> PAGEREF _Toc12727 \h </w:instrText>
      </w:r>
      <w:r>
        <w:rPr>
          <w:i w:val="0"/>
          <w:iCs w:val="0"/>
        </w:rPr>
        <w:fldChar w:fldCharType="separate"/>
      </w:r>
      <w:r>
        <w:rPr>
          <w:i w:val="0"/>
          <w:iCs w:val="0"/>
        </w:rPr>
        <w:t>184</w:t>
      </w:r>
      <w:r>
        <w:rPr>
          <w:i w:val="0"/>
          <w:iCs w:val="0"/>
        </w:rPr>
        <w:fldChar w:fldCharType="end"/>
      </w:r>
      <w:r>
        <w:rPr>
          <w:rFonts w:ascii="宋体" w:hAnsi="宋体"/>
          <w:bCs/>
          <w:i w:val="0"/>
          <w:iCs w:val="0"/>
          <w:szCs w:val="21"/>
          <w:lang w:val="zh-CN"/>
        </w:rPr>
        <w:fldChar w:fldCharType="end"/>
      </w:r>
    </w:p>
    <w:p w14:paraId="1FBB28CF">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_Toc5489 </w:instrText>
      </w:r>
      <w:r>
        <w:rPr>
          <w:rFonts w:ascii="宋体" w:hAnsi="宋体"/>
          <w:bCs/>
          <w:i w:val="0"/>
          <w:iCs w:val="0"/>
          <w:szCs w:val="21"/>
          <w:lang w:val="zh-CN"/>
        </w:rPr>
        <w:fldChar w:fldCharType="separate"/>
      </w:r>
      <w:r>
        <w:rPr>
          <w:rFonts w:hint="eastAsia" w:ascii="宋体" w:hAnsi="宋体" w:cs="黑体"/>
          <w:i w:val="0"/>
          <w:iCs w:val="0"/>
          <w:szCs w:val="32"/>
          <w:lang w:bidi="ar"/>
        </w:rPr>
        <w:t>附件三 安全生产合同</w:t>
      </w:r>
      <w:r>
        <w:rPr>
          <w:i w:val="0"/>
          <w:iCs w:val="0"/>
        </w:rPr>
        <w:tab/>
      </w:r>
      <w:r>
        <w:rPr>
          <w:i w:val="0"/>
          <w:iCs w:val="0"/>
        </w:rPr>
        <w:fldChar w:fldCharType="begin"/>
      </w:r>
      <w:r>
        <w:rPr>
          <w:i w:val="0"/>
          <w:iCs w:val="0"/>
        </w:rPr>
        <w:instrText xml:space="preserve"> PAGEREF _Toc5489 \h </w:instrText>
      </w:r>
      <w:r>
        <w:rPr>
          <w:i w:val="0"/>
          <w:iCs w:val="0"/>
        </w:rPr>
        <w:fldChar w:fldCharType="separate"/>
      </w:r>
      <w:r>
        <w:rPr>
          <w:i w:val="0"/>
          <w:iCs w:val="0"/>
        </w:rPr>
        <w:t>186</w:t>
      </w:r>
      <w:r>
        <w:rPr>
          <w:i w:val="0"/>
          <w:iCs w:val="0"/>
        </w:rPr>
        <w:fldChar w:fldCharType="end"/>
      </w:r>
      <w:r>
        <w:rPr>
          <w:rFonts w:ascii="宋体" w:hAnsi="宋体"/>
          <w:bCs/>
          <w:i w:val="0"/>
          <w:iCs w:val="0"/>
          <w:szCs w:val="21"/>
          <w:lang w:val="zh-CN"/>
        </w:rPr>
        <w:fldChar w:fldCharType="end"/>
      </w:r>
    </w:p>
    <w:p w14:paraId="1780C383">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_Toc32032 </w:instrText>
      </w:r>
      <w:r>
        <w:rPr>
          <w:rFonts w:ascii="宋体" w:hAnsi="宋体"/>
          <w:bCs/>
          <w:i w:val="0"/>
          <w:iCs w:val="0"/>
          <w:szCs w:val="21"/>
          <w:lang w:val="zh-CN"/>
        </w:rPr>
        <w:fldChar w:fldCharType="separate"/>
      </w:r>
      <w:r>
        <w:rPr>
          <w:rFonts w:hint="eastAsia" w:ascii="宋体" w:hAnsi="宋体" w:cs="黑体"/>
          <w:i w:val="0"/>
          <w:iCs w:val="0"/>
          <w:szCs w:val="32"/>
          <w:lang w:bidi="ar"/>
        </w:rPr>
        <w:t>附件四 环保合同</w:t>
      </w:r>
      <w:r>
        <w:rPr>
          <w:i w:val="0"/>
          <w:iCs w:val="0"/>
        </w:rPr>
        <w:tab/>
      </w:r>
      <w:r>
        <w:rPr>
          <w:i w:val="0"/>
          <w:iCs w:val="0"/>
        </w:rPr>
        <w:fldChar w:fldCharType="begin"/>
      </w:r>
      <w:r>
        <w:rPr>
          <w:i w:val="0"/>
          <w:iCs w:val="0"/>
        </w:rPr>
        <w:instrText xml:space="preserve"> PAGEREF _Toc32032 \h </w:instrText>
      </w:r>
      <w:r>
        <w:rPr>
          <w:i w:val="0"/>
          <w:iCs w:val="0"/>
        </w:rPr>
        <w:fldChar w:fldCharType="separate"/>
      </w:r>
      <w:r>
        <w:rPr>
          <w:i w:val="0"/>
          <w:iCs w:val="0"/>
        </w:rPr>
        <w:t>189</w:t>
      </w:r>
      <w:r>
        <w:rPr>
          <w:i w:val="0"/>
          <w:iCs w:val="0"/>
        </w:rPr>
        <w:fldChar w:fldCharType="end"/>
      </w:r>
      <w:r>
        <w:rPr>
          <w:rFonts w:ascii="宋体" w:hAnsi="宋体"/>
          <w:bCs/>
          <w:i w:val="0"/>
          <w:iCs w:val="0"/>
          <w:szCs w:val="21"/>
          <w:lang w:val="zh-CN"/>
        </w:rPr>
        <w:fldChar w:fldCharType="end"/>
      </w:r>
    </w:p>
    <w:p w14:paraId="37830E5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_Toc15024 </w:instrText>
      </w:r>
      <w:r>
        <w:rPr>
          <w:rFonts w:ascii="宋体" w:hAnsi="宋体"/>
          <w:bCs/>
          <w:i w:val="0"/>
          <w:iCs w:val="0"/>
          <w:szCs w:val="21"/>
          <w:lang w:val="zh-CN"/>
        </w:rPr>
        <w:fldChar w:fldCharType="separate"/>
      </w:r>
      <w:r>
        <w:rPr>
          <w:rFonts w:hint="eastAsia" w:ascii="宋体" w:hAnsi="宋体" w:cs="黑体"/>
          <w:i w:val="0"/>
          <w:iCs w:val="0"/>
          <w:szCs w:val="32"/>
          <w:lang w:bidi="ar"/>
        </w:rPr>
        <w:t>附件五 其他管理和技术人员最低要求</w:t>
      </w:r>
      <w:r>
        <w:rPr>
          <w:i w:val="0"/>
          <w:iCs w:val="0"/>
        </w:rPr>
        <w:tab/>
      </w:r>
      <w:r>
        <w:rPr>
          <w:i w:val="0"/>
          <w:iCs w:val="0"/>
        </w:rPr>
        <w:fldChar w:fldCharType="begin"/>
      </w:r>
      <w:r>
        <w:rPr>
          <w:i w:val="0"/>
          <w:iCs w:val="0"/>
        </w:rPr>
        <w:instrText xml:space="preserve"> PAGEREF _Toc15024 \h </w:instrText>
      </w:r>
      <w:r>
        <w:rPr>
          <w:i w:val="0"/>
          <w:iCs w:val="0"/>
        </w:rPr>
        <w:fldChar w:fldCharType="separate"/>
      </w:r>
      <w:r>
        <w:rPr>
          <w:i w:val="0"/>
          <w:iCs w:val="0"/>
        </w:rPr>
        <w:t>191</w:t>
      </w:r>
      <w:r>
        <w:rPr>
          <w:i w:val="0"/>
          <w:iCs w:val="0"/>
        </w:rPr>
        <w:fldChar w:fldCharType="end"/>
      </w:r>
      <w:r>
        <w:rPr>
          <w:rFonts w:ascii="宋体" w:hAnsi="宋体"/>
          <w:bCs/>
          <w:i w:val="0"/>
          <w:iCs w:val="0"/>
          <w:szCs w:val="21"/>
          <w:lang w:val="zh-CN"/>
        </w:rPr>
        <w:fldChar w:fldCharType="end"/>
      </w:r>
    </w:p>
    <w:p w14:paraId="0C7EBB4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_Toc16598 </w:instrText>
      </w:r>
      <w:r>
        <w:rPr>
          <w:rFonts w:ascii="宋体" w:hAnsi="宋体"/>
          <w:bCs/>
          <w:i w:val="0"/>
          <w:iCs w:val="0"/>
          <w:szCs w:val="21"/>
          <w:lang w:val="zh-CN"/>
        </w:rPr>
        <w:fldChar w:fldCharType="separate"/>
      </w:r>
      <w:r>
        <w:rPr>
          <w:rFonts w:hint="eastAsia" w:ascii="宋体" w:hAnsi="宋体" w:cs="黑体"/>
          <w:i w:val="0"/>
          <w:iCs w:val="0"/>
          <w:szCs w:val="32"/>
          <w:lang w:bidi="ar"/>
        </w:rPr>
        <w:t>附件六 主要机械设备和试验检测设备最低要求</w:t>
      </w:r>
      <w:r>
        <w:rPr>
          <w:i w:val="0"/>
          <w:iCs w:val="0"/>
        </w:rPr>
        <w:tab/>
      </w:r>
      <w:r>
        <w:rPr>
          <w:i w:val="0"/>
          <w:iCs w:val="0"/>
        </w:rPr>
        <w:fldChar w:fldCharType="begin"/>
      </w:r>
      <w:r>
        <w:rPr>
          <w:i w:val="0"/>
          <w:iCs w:val="0"/>
        </w:rPr>
        <w:instrText xml:space="preserve"> PAGEREF _Toc16598 \h </w:instrText>
      </w:r>
      <w:r>
        <w:rPr>
          <w:i w:val="0"/>
          <w:iCs w:val="0"/>
        </w:rPr>
        <w:fldChar w:fldCharType="separate"/>
      </w:r>
      <w:r>
        <w:rPr>
          <w:i w:val="0"/>
          <w:iCs w:val="0"/>
        </w:rPr>
        <w:t>192</w:t>
      </w:r>
      <w:r>
        <w:rPr>
          <w:i w:val="0"/>
          <w:iCs w:val="0"/>
        </w:rPr>
        <w:fldChar w:fldCharType="end"/>
      </w:r>
      <w:r>
        <w:rPr>
          <w:rFonts w:ascii="宋体" w:hAnsi="宋体"/>
          <w:bCs/>
          <w:i w:val="0"/>
          <w:iCs w:val="0"/>
          <w:szCs w:val="21"/>
          <w:lang w:val="zh-CN"/>
        </w:rPr>
        <w:fldChar w:fldCharType="end"/>
      </w:r>
    </w:p>
    <w:p w14:paraId="246B2963">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_Toc19267 </w:instrText>
      </w:r>
      <w:r>
        <w:rPr>
          <w:rFonts w:ascii="宋体" w:hAnsi="宋体"/>
          <w:bCs/>
          <w:i w:val="0"/>
          <w:iCs w:val="0"/>
          <w:szCs w:val="21"/>
          <w:lang w:val="zh-CN"/>
        </w:rPr>
        <w:fldChar w:fldCharType="separate"/>
      </w:r>
      <w:r>
        <w:rPr>
          <w:rFonts w:hint="eastAsia" w:ascii="宋体" w:hAnsi="宋体" w:cs="黑体"/>
          <w:i w:val="0"/>
          <w:iCs w:val="0"/>
          <w:szCs w:val="32"/>
          <w:lang w:bidi="ar"/>
        </w:rPr>
        <w:t>附件七 项目经理委任书</w:t>
      </w:r>
      <w:r>
        <w:rPr>
          <w:i w:val="0"/>
          <w:iCs w:val="0"/>
        </w:rPr>
        <w:tab/>
      </w:r>
      <w:r>
        <w:rPr>
          <w:i w:val="0"/>
          <w:iCs w:val="0"/>
        </w:rPr>
        <w:fldChar w:fldCharType="begin"/>
      </w:r>
      <w:r>
        <w:rPr>
          <w:i w:val="0"/>
          <w:iCs w:val="0"/>
        </w:rPr>
        <w:instrText xml:space="preserve"> PAGEREF _Toc19267 \h </w:instrText>
      </w:r>
      <w:r>
        <w:rPr>
          <w:i w:val="0"/>
          <w:iCs w:val="0"/>
        </w:rPr>
        <w:fldChar w:fldCharType="separate"/>
      </w:r>
      <w:r>
        <w:rPr>
          <w:i w:val="0"/>
          <w:iCs w:val="0"/>
        </w:rPr>
        <w:t>193</w:t>
      </w:r>
      <w:r>
        <w:rPr>
          <w:i w:val="0"/>
          <w:iCs w:val="0"/>
        </w:rPr>
        <w:fldChar w:fldCharType="end"/>
      </w:r>
      <w:r>
        <w:rPr>
          <w:rFonts w:ascii="宋体" w:hAnsi="宋体"/>
          <w:bCs/>
          <w:i w:val="0"/>
          <w:iCs w:val="0"/>
          <w:szCs w:val="21"/>
          <w:lang w:val="zh-CN"/>
        </w:rPr>
        <w:fldChar w:fldCharType="end"/>
      </w:r>
    </w:p>
    <w:p w14:paraId="428800B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_Toc31183 </w:instrText>
      </w:r>
      <w:r>
        <w:rPr>
          <w:rFonts w:ascii="宋体" w:hAnsi="宋体"/>
          <w:bCs/>
          <w:i w:val="0"/>
          <w:iCs w:val="0"/>
          <w:szCs w:val="21"/>
          <w:lang w:val="zh-CN"/>
        </w:rPr>
        <w:fldChar w:fldCharType="separate"/>
      </w:r>
      <w:r>
        <w:rPr>
          <w:rFonts w:hint="eastAsia" w:ascii="宋体" w:hAnsi="宋体" w:cs="黑体"/>
          <w:i w:val="0"/>
          <w:iCs w:val="0"/>
          <w:szCs w:val="32"/>
          <w:lang w:bidi="ar"/>
        </w:rPr>
        <w:t>附件八 履约保证金格式</w:t>
      </w:r>
      <w:r>
        <w:rPr>
          <w:i w:val="0"/>
          <w:iCs w:val="0"/>
        </w:rPr>
        <w:tab/>
      </w:r>
      <w:r>
        <w:rPr>
          <w:i w:val="0"/>
          <w:iCs w:val="0"/>
        </w:rPr>
        <w:fldChar w:fldCharType="begin"/>
      </w:r>
      <w:r>
        <w:rPr>
          <w:i w:val="0"/>
          <w:iCs w:val="0"/>
        </w:rPr>
        <w:instrText xml:space="preserve"> PAGEREF _Toc31183 \h </w:instrText>
      </w:r>
      <w:r>
        <w:rPr>
          <w:i w:val="0"/>
          <w:iCs w:val="0"/>
        </w:rPr>
        <w:fldChar w:fldCharType="separate"/>
      </w:r>
      <w:r>
        <w:rPr>
          <w:i w:val="0"/>
          <w:iCs w:val="0"/>
        </w:rPr>
        <w:t>194</w:t>
      </w:r>
      <w:r>
        <w:rPr>
          <w:i w:val="0"/>
          <w:iCs w:val="0"/>
        </w:rPr>
        <w:fldChar w:fldCharType="end"/>
      </w:r>
      <w:r>
        <w:rPr>
          <w:rFonts w:ascii="宋体" w:hAnsi="宋体"/>
          <w:bCs/>
          <w:i w:val="0"/>
          <w:iCs w:val="0"/>
          <w:szCs w:val="21"/>
          <w:lang w:val="zh-CN"/>
        </w:rPr>
        <w:fldChar w:fldCharType="end"/>
      </w:r>
    </w:p>
    <w:p w14:paraId="1B9116A1">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_Toc22365 </w:instrText>
      </w:r>
      <w:r>
        <w:rPr>
          <w:rFonts w:ascii="宋体" w:hAnsi="宋体"/>
          <w:bCs/>
          <w:i w:val="0"/>
          <w:iCs w:val="0"/>
          <w:szCs w:val="21"/>
          <w:lang w:val="zh-CN"/>
        </w:rPr>
        <w:fldChar w:fldCharType="separate"/>
      </w:r>
      <w:r>
        <w:rPr>
          <w:rFonts w:hint="eastAsia" w:ascii="宋体" w:hAnsi="宋体" w:cs="黑体"/>
          <w:i w:val="0"/>
          <w:iCs w:val="0"/>
          <w:szCs w:val="32"/>
          <w:lang w:bidi="ar"/>
        </w:rPr>
        <w:t>附件九 工程资金监管协议格式</w:t>
      </w:r>
      <w:r>
        <w:rPr>
          <w:i w:val="0"/>
          <w:iCs w:val="0"/>
        </w:rPr>
        <w:tab/>
      </w:r>
      <w:r>
        <w:rPr>
          <w:i w:val="0"/>
          <w:iCs w:val="0"/>
        </w:rPr>
        <w:fldChar w:fldCharType="begin"/>
      </w:r>
      <w:r>
        <w:rPr>
          <w:i w:val="0"/>
          <w:iCs w:val="0"/>
        </w:rPr>
        <w:instrText xml:space="preserve"> PAGEREF _Toc22365 \h </w:instrText>
      </w:r>
      <w:r>
        <w:rPr>
          <w:i w:val="0"/>
          <w:iCs w:val="0"/>
        </w:rPr>
        <w:fldChar w:fldCharType="separate"/>
      </w:r>
      <w:r>
        <w:rPr>
          <w:i w:val="0"/>
          <w:iCs w:val="0"/>
        </w:rPr>
        <w:t>195</w:t>
      </w:r>
      <w:r>
        <w:rPr>
          <w:i w:val="0"/>
          <w:iCs w:val="0"/>
        </w:rPr>
        <w:fldChar w:fldCharType="end"/>
      </w:r>
      <w:r>
        <w:rPr>
          <w:rFonts w:ascii="宋体" w:hAnsi="宋体"/>
          <w:bCs/>
          <w:i w:val="0"/>
          <w:iCs w:val="0"/>
          <w:szCs w:val="21"/>
          <w:lang w:val="zh-CN"/>
        </w:rPr>
        <w:fldChar w:fldCharType="end"/>
      </w:r>
    </w:p>
    <w:p w14:paraId="323FA566">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_Toc19216 </w:instrText>
      </w:r>
      <w:r>
        <w:rPr>
          <w:rFonts w:ascii="宋体" w:hAnsi="宋体"/>
          <w:bCs/>
          <w:i w:val="0"/>
          <w:iCs w:val="0"/>
          <w:szCs w:val="21"/>
          <w:lang w:val="zh-CN"/>
        </w:rPr>
        <w:fldChar w:fldCharType="separate"/>
      </w:r>
      <w:r>
        <w:rPr>
          <w:rFonts w:hint="eastAsia" w:ascii="宋体" w:hAnsi="宋体" w:cs="黑体"/>
          <w:i w:val="0"/>
          <w:iCs w:val="0"/>
          <w:szCs w:val="32"/>
          <w:lang w:bidi="ar"/>
        </w:rPr>
        <w:t>附件十 低价风险担保保函示范文本（独立保函）（如有）</w:t>
      </w:r>
      <w:r>
        <w:rPr>
          <w:i w:val="0"/>
          <w:iCs w:val="0"/>
        </w:rPr>
        <w:tab/>
      </w:r>
      <w:r>
        <w:rPr>
          <w:i w:val="0"/>
          <w:iCs w:val="0"/>
        </w:rPr>
        <w:fldChar w:fldCharType="begin"/>
      </w:r>
      <w:r>
        <w:rPr>
          <w:i w:val="0"/>
          <w:iCs w:val="0"/>
        </w:rPr>
        <w:instrText xml:space="preserve"> PAGEREF _Toc19216 \h </w:instrText>
      </w:r>
      <w:r>
        <w:rPr>
          <w:i w:val="0"/>
          <w:iCs w:val="0"/>
        </w:rPr>
        <w:fldChar w:fldCharType="separate"/>
      </w:r>
      <w:r>
        <w:rPr>
          <w:i w:val="0"/>
          <w:iCs w:val="0"/>
        </w:rPr>
        <w:t>197</w:t>
      </w:r>
      <w:r>
        <w:rPr>
          <w:i w:val="0"/>
          <w:iCs w:val="0"/>
        </w:rPr>
        <w:fldChar w:fldCharType="end"/>
      </w:r>
      <w:r>
        <w:rPr>
          <w:rFonts w:ascii="宋体" w:hAnsi="宋体"/>
          <w:bCs/>
          <w:i w:val="0"/>
          <w:iCs w:val="0"/>
          <w:szCs w:val="21"/>
          <w:lang w:val="zh-CN"/>
        </w:rPr>
        <w:fldChar w:fldCharType="end"/>
      </w:r>
    </w:p>
    <w:p w14:paraId="4F8D918C">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_Toc13075 </w:instrText>
      </w:r>
      <w:r>
        <w:rPr>
          <w:rFonts w:ascii="宋体" w:hAnsi="宋体"/>
          <w:bCs/>
          <w:szCs w:val="21"/>
          <w:lang w:val="zh-CN"/>
        </w:rPr>
        <w:fldChar w:fldCharType="separate"/>
      </w:r>
      <w:r>
        <w:rPr>
          <w:rFonts w:hint="eastAsia" w:ascii="宋体" w:hAnsi="宋体" w:cs="宋体"/>
        </w:rPr>
        <w:t>第五章  工程量清单</w:t>
      </w:r>
      <w:r>
        <w:tab/>
      </w:r>
      <w:r>
        <w:fldChar w:fldCharType="begin"/>
      </w:r>
      <w:r>
        <w:instrText xml:space="preserve"> PAGEREF _Toc13075 \h </w:instrText>
      </w:r>
      <w:r>
        <w:fldChar w:fldCharType="separate"/>
      </w:r>
      <w:r>
        <w:t>199</w:t>
      </w:r>
      <w:r>
        <w:fldChar w:fldCharType="end"/>
      </w:r>
      <w:r>
        <w:rPr>
          <w:rFonts w:ascii="宋体" w:hAnsi="宋体"/>
          <w:bCs/>
          <w:szCs w:val="21"/>
          <w:lang w:val="zh-CN"/>
        </w:rPr>
        <w:fldChar w:fldCharType="end"/>
      </w:r>
    </w:p>
    <w:p w14:paraId="159B850C">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_Toc14631 </w:instrText>
      </w:r>
      <w:r>
        <w:rPr>
          <w:rFonts w:ascii="宋体" w:hAnsi="宋体"/>
          <w:bCs/>
          <w:szCs w:val="21"/>
          <w:lang w:val="zh-CN"/>
        </w:rPr>
        <w:fldChar w:fldCharType="separate"/>
      </w:r>
      <w:r>
        <w:rPr>
          <w:rFonts w:hint="eastAsia" w:ascii="宋体" w:hAnsi="宋体"/>
          <w:szCs w:val="52"/>
        </w:rPr>
        <w:t>第 二 卷</w:t>
      </w:r>
      <w:r>
        <w:tab/>
      </w:r>
      <w:r>
        <w:fldChar w:fldCharType="begin"/>
      </w:r>
      <w:r>
        <w:instrText xml:space="preserve"> PAGEREF _Toc14631 \h </w:instrText>
      </w:r>
      <w:r>
        <w:fldChar w:fldCharType="separate"/>
      </w:r>
      <w:r>
        <w:t>201</w:t>
      </w:r>
      <w:r>
        <w:fldChar w:fldCharType="end"/>
      </w:r>
      <w:r>
        <w:rPr>
          <w:rFonts w:ascii="宋体" w:hAnsi="宋体"/>
          <w:bCs/>
          <w:szCs w:val="21"/>
          <w:lang w:val="zh-CN"/>
        </w:rPr>
        <w:fldChar w:fldCharType="end"/>
      </w:r>
    </w:p>
    <w:p w14:paraId="1B274F6C">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_Toc5696 </w:instrText>
      </w:r>
      <w:r>
        <w:rPr>
          <w:rFonts w:ascii="宋体" w:hAnsi="宋体"/>
          <w:bCs/>
          <w:szCs w:val="21"/>
          <w:lang w:val="zh-CN"/>
        </w:rPr>
        <w:fldChar w:fldCharType="separate"/>
      </w:r>
      <w:r>
        <w:rPr>
          <w:rFonts w:hint="eastAsia" w:ascii="宋体" w:hAnsi="宋体" w:cs="宋体"/>
        </w:rPr>
        <w:t>第六章  图纸</w:t>
      </w:r>
      <w:r>
        <w:tab/>
      </w:r>
      <w:r>
        <w:fldChar w:fldCharType="begin"/>
      </w:r>
      <w:r>
        <w:instrText xml:space="preserve"> PAGEREF _Toc5696 \h </w:instrText>
      </w:r>
      <w:r>
        <w:fldChar w:fldCharType="separate"/>
      </w:r>
      <w:r>
        <w:t>202</w:t>
      </w:r>
      <w:r>
        <w:fldChar w:fldCharType="end"/>
      </w:r>
      <w:r>
        <w:rPr>
          <w:rFonts w:ascii="宋体" w:hAnsi="宋体"/>
          <w:bCs/>
          <w:szCs w:val="21"/>
          <w:lang w:val="zh-CN"/>
        </w:rPr>
        <w:fldChar w:fldCharType="end"/>
      </w:r>
    </w:p>
    <w:p w14:paraId="2ED6F422">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_Toc29671 </w:instrText>
      </w:r>
      <w:r>
        <w:rPr>
          <w:rFonts w:ascii="宋体" w:hAnsi="宋体"/>
          <w:bCs/>
          <w:szCs w:val="21"/>
          <w:lang w:val="zh-CN"/>
        </w:rPr>
        <w:fldChar w:fldCharType="separate"/>
      </w:r>
      <w:r>
        <w:rPr>
          <w:rFonts w:hint="eastAsia" w:ascii="宋体" w:hAnsi="宋体"/>
          <w:szCs w:val="52"/>
        </w:rPr>
        <w:t>第 三 卷</w:t>
      </w:r>
      <w:r>
        <w:tab/>
      </w:r>
      <w:r>
        <w:fldChar w:fldCharType="begin"/>
      </w:r>
      <w:r>
        <w:instrText xml:space="preserve"> PAGEREF _Toc29671 \h </w:instrText>
      </w:r>
      <w:r>
        <w:fldChar w:fldCharType="separate"/>
      </w:r>
      <w:r>
        <w:t>203</w:t>
      </w:r>
      <w:r>
        <w:fldChar w:fldCharType="end"/>
      </w:r>
      <w:r>
        <w:rPr>
          <w:rFonts w:ascii="宋体" w:hAnsi="宋体"/>
          <w:bCs/>
          <w:szCs w:val="21"/>
          <w:lang w:val="zh-CN"/>
        </w:rPr>
        <w:fldChar w:fldCharType="end"/>
      </w:r>
    </w:p>
    <w:p w14:paraId="7EB78152">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_Toc29511 </w:instrText>
      </w:r>
      <w:r>
        <w:rPr>
          <w:rFonts w:ascii="宋体" w:hAnsi="宋体"/>
          <w:bCs/>
          <w:szCs w:val="21"/>
          <w:lang w:val="zh-CN"/>
        </w:rPr>
        <w:fldChar w:fldCharType="separate"/>
      </w:r>
      <w:r>
        <w:rPr>
          <w:rFonts w:hint="eastAsia" w:ascii="宋体" w:hAnsi="宋体" w:cs="宋体"/>
        </w:rPr>
        <w:t>第七章  技术标准和要求</w:t>
      </w:r>
      <w:r>
        <w:tab/>
      </w:r>
      <w:r>
        <w:fldChar w:fldCharType="begin"/>
      </w:r>
      <w:r>
        <w:instrText xml:space="preserve"> PAGEREF _Toc29511 \h </w:instrText>
      </w:r>
      <w:r>
        <w:fldChar w:fldCharType="separate"/>
      </w:r>
      <w:r>
        <w:t>204</w:t>
      </w:r>
      <w:r>
        <w:fldChar w:fldCharType="end"/>
      </w:r>
      <w:r>
        <w:rPr>
          <w:rFonts w:ascii="宋体" w:hAnsi="宋体"/>
          <w:bCs/>
          <w:szCs w:val="21"/>
          <w:lang w:val="zh-CN"/>
        </w:rPr>
        <w:fldChar w:fldCharType="end"/>
      </w:r>
    </w:p>
    <w:p w14:paraId="211732BE">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_Toc1694 </w:instrText>
      </w:r>
      <w:r>
        <w:rPr>
          <w:rFonts w:ascii="宋体" w:hAnsi="宋体"/>
          <w:bCs/>
          <w:szCs w:val="21"/>
          <w:lang w:val="zh-CN"/>
        </w:rPr>
        <w:fldChar w:fldCharType="separate"/>
      </w:r>
      <w:r>
        <w:rPr>
          <w:rFonts w:hint="eastAsia" w:ascii="宋体" w:hAnsi="宋体" w:cs="宋体"/>
        </w:rPr>
        <w:t xml:space="preserve">第八章 </w:t>
      </w:r>
      <w:r>
        <w:rPr>
          <w:rFonts w:ascii="宋体" w:hAnsi="宋体" w:cs="宋体"/>
        </w:rPr>
        <w:t xml:space="preserve"> 工程量清单计量规则</w:t>
      </w:r>
      <w:r>
        <w:tab/>
      </w:r>
      <w:r>
        <w:fldChar w:fldCharType="begin"/>
      </w:r>
      <w:r>
        <w:instrText xml:space="preserve"> PAGEREF _Toc1694 \h </w:instrText>
      </w:r>
      <w:r>
        <w:fldChar w:fldCharType="separate"/>
      </w:r>
      <w:r>
        <w:t>205</w:t>
      </w:r>
      <w:r>
        <w:fldChar w:fldCharType="end"/>
      </w:r>
      <w:r>
        <w:rPr>
          <w:rFonts w:ascii="宋体" w:hAnsi="宋体"/>
          <w:bCs/>
          <w:szCs w:val="21"/>
          <w:lang w:val="zh-CN"/>
        </w:rPr>
        <w:fldChar w:fldCharType="end"/>
      </w:r>
    </w:p>
    <w:p w14:paraId="03EB9076">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_Toc18667 </w:instrText>
      </w:r>
      <w:r>
        <w:rPr>
          <w:rFonts w:ascii="宋体" w:hAnsi="宋体"/>
          <w:bCs/>
          <w:szCs w:val="21"/>
          <w:lang w:val="zh-CN"/>
        </w:rPr>
        <w:fldChar w:fldCharType="separate"/>
      </w:r>
      <w:r>
        <w:rPr>
          <w:rFonts w:hint="eastAsia" w:ascii="宋体" w:hAnsi="宋体"/>
          <w:szCs w:val="52"/>
        </w:rPr>
        <w:t>第 四 卷</w:t>
      </w:r>
      <w:r>
        <w:tab/>
      </w:r>
      <w:r>
        <w:fldChar w:fldCharType="begin"/>
      </w:r>
      <w:r>
        <w:instrText xml:space="preserve"> PAGEREF _Toc18667 \h </w:instrText>
      </w:r>
      <w:r>
        <w:fldChar w:fldCharType="separate"/>
      </w:r>
      <w:r>
        <w:t>206</w:t>
      </w:r>
      <w:r>
        <w:fldChar w:fldCharType="end"/>
      </w:r>
      <w:r>
        <w:rPr>
          <w:rFonts w:ascii="宋体" w:hAnsi="宋体"/>
          <w:bCs/>
          <w:szCs w:val="21"/>
          <w:lang w:val="zh-CN"/>
        </w:rPr>
        <w:fldChar w:fldCharType="end"/>
      </w:r>
    </w:p>
    <w:p w14:paraId="50F9A9AA">
      <w:pPr>
        <w:pStyle w:val="22"/>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_Toc15099 </w:instrText>
      </w:r>
      <w:r>
        <w:rPr>
          <w:rFonts w:ascii="宋体" w:hAnsi="宋体"/>
          <w:bCs/>
          <w:szCs w:val="21"/>
          <w:lang w:val="zh-CN"/>
        </w:rPr>
        <w:fldChar w:fldCharType="separate"/>
      </w:r>
      <w:r>
        <w:rPr>
          <w:rFonts w:hint="eastAsia" w:ascii="宋体" w:hAnsi="宋体" w:cs="宋体"/>
        </w:rPr>
        <w:t>第九章  投标文件格式</w:t>
      </w:r>
      <w:r>
        <w:tab/>
      </w:r>
      <w:r>
        <w:fldChar w:fldCharType="begin"/>
      </w:r>
      <w:r>
        <w:instrText xml:space="preserve"> PAGEREF _Toc15099 \h </w:instrText>
      </w:r>
      <w:r>
        <w:fldChar w:fldCharType="separate"/>
      </w:r>
      <w:r>
        <w:t>207</w:t>
      </w:r>
      <w:r>
        <w:fldChar w:fldCharType="end"/>
      </w:r>
      <w:r>
        <w:rPr>
          <w:rFonts w:ascii="宋体" w:hAnsi="宋体"/>
          <w:bCs/>
          <w:szCs w:val="21"/>
          <w:lang w:val="zh-CN"/>
        </w:rPr>
        <w:fldChar w:fldCharType="end"/>
      </w:r>
    </w:p>
    <w:p w14:paraId="68778112">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_Toc30232 </w:instrText>
      </w:r>
      <w:r>
        <w:rPr>
          <w:rFonts w:ascii="宋体" w:hAnsi="宋体"/>
          <w:bCs/>
          <w:szCs w:val="21"/>
          <w:lang w:val="zh-CN"/>
        </w:rPr>
        <w:fldChar w:fldCharType="separate"/>
      </w:r>
      <w:r>
        <w:rPr>
          <w:rFonts w:hint="eastAsia" w:ascii="宋体" w:hAnsi="宋体"/>
          <w:szCs w:val="44"/>
        </w:rPr>
        <w:t>一、投标函部分</w:t>
      </w:r>
      <w:r>
        <w:tab/>
      </w:r>
      <w:r>
        <w:fldChar w:fldCharType="begin"/>
      </w:r>
      <w:r>
        <w:instrText xml:space="preserve"> PAGEREF _Toc30232 \h </w:instrText>
      </w:r>
      <w:r>
        <w:fldChar w:fldCharType="separate"/>
      </w:r>
      <w:r>
        <w:t>209</w:t>
      </w:r>
      <w:r>
        <w:fldChar w:fldCharType="end"/>
      </w:r>
      <w:r>
        <w:rPr>
          <w:rFonts w:ascii="宋体" w:hAnsi="宋体"/>
          <w:bCs/>
          <w:szCs w:val="21"/>
          <w:lang w:val="zh-CN"/>
        </w:rPr>
        <w:fldChar w:fldCharType="end"/>
      </w:r>
    </w:p>
    <w:p w14:paraId="7099EAAA">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_Toc6232 </w:instrText>
      </w:r>
      <w:r>
        <w:rPr>
          <w:rFonts w:ascii="宋体" w:hAnsi="宋体"/>
          <w:bCs/>
          <w:i w:val="0"/>
          <w:iCs w:val="0"/>
          <w:szCs w:val="21"/>
          <w:lang w:val="zh-CN"/>
        </w:rPr>
        <w:fldChar w:fldCharType="separate"/>
      </w:r>
      <w:r>
        <w:rPr>
          <w:rFonts w:hint="eastAsia" w:ascii="宋体" w:hAnsi="宋体" w:cs="宋体"/>
          <w:i w:val="0"/>
          <w:iCs w:val="0"/>
        </w:rPr>
        <w:t>（一）投标函</w:t>
      </w:r>
      <w:r>
        <w:rPr>
          <w:i w:val="0"/>
          <w:iCs w:val="0"/>
        </w:rPr>
        <w:tab/>
      </w:r>
      <w:r>
        <w:rPr>
          <w:i w:val="0"/>
          <w:iCs w:val="0"/>
        </w:rPr>
        <w:fldChar w:fldCharType="begin"/>
      </w:r>
      <w:r>
        <w:rPr>
          <w:i w:val="0"/>
          <w:iCs w:val="0"/>
        </w:rPr>
        <w:instrText xml:space="preserve"> PAGEREF _Toc6232 \h </w:instrText>
      </w:r>
      <w:r>
        <w:rPr>
          <w:i w:val="0"/>
          <w:iCs w:val="0"/>
        </w:rPr>
        <w:fldChar w:fldCharType="separate"/>
      </w:r>
      <w:r>
        <w:rPr>
          <w:i w:val="0"/>
          <w:iCs w:val="0"/>
        </w:rPr>
        <w:t>212</w:t>
      </w:r>
      <w:r>
        <w:rPr>
          <w:i w:val="0"/>
          <w:iCs w:val="0"/>
        </w:rPr>
        <w:fldChar w:fldCharType="end"/>
      </w:r>
      <w:r>
        <w:rPr>
          <w:rFonts w:ascii="宋体" w:hAnsi="宋体"/>
          <w:bCs/>
          <w:i w:val="0"/>
          <w:iCs w:val="0"/>
          <w:szCs w:val="21"/>
          <w:lang w:val="zh-CN"/>
        </w:rPr>
        <w:fldChar w:fldCharType="end"/>
      </w:r>
    </w:p>
    <w:p w14:paraId="2357D36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_Toc25971 </w:instrText>
      </w:r>
      <w:r>
        <w:rPr>
          <w:rFonts w:ascii="宋体" w:hAnsi="宋体"/>
          <w:bCs/>
          <w:i w:val="0"/>
          <w:iCs w:val="0"/>
          <w:szCs w:val="21"/>
          <w:lang w:val="zh-CN"/>
        </w:rPr>
        <w:fldChar w:fldCharType="separate"/>
      </w:r>
      <w:r>
        <w:rPr>
          <w:rFonts w:hint="eastAsia" w:ascii="宋体" w:hAnsi="宋体" w:cs="宋体"/>
          <w:i w:val="0"/>
          <w:iCs w:val="0"/>
        </w:rPr>
        <w:t>（二）投标函附录</w:t>
      </w:r>
      <w:r>
        <w:rPr>
          <w:i w:val="0"/>
          <w:iCs w:val="0"/>
        </w:rPr>
        <w:tab/>
      </w:r>
      <w:r>
        <w:rPr>
          <w:i w:val="0"/>
          <w:iCs w:val="0"/>
        </w:rPr>
        <w:fldChar w:fldCharType="begin"/>
      </w:r>
      <w:r>
        <w:rPr>
          <w:i w:val="0"/>
          <w:iCs w:val="0"/>
        </w:rPr>
        <w:instrText xml:space="preserve"> PAGEREF _Toc25971 \h </w:instrText>
      </w:r>
      <w:r>
        <w:rPr>
          <w:i w:val="0"/>
          <w:iCs w:val="0"/>
        </w:rPr>
        <w:fldChar w:fldCharType="separate"/>
      </w:r>
      <w:r>
        <w:rPr>
          <w:i w:val="0"/>
          <w:iCs w:val="0"/>
        </w:rPr>
        <w:t>213</w:t>
      </w:r>
      <w:r>
        <w:rPr>
          <w:i w:val="0"/>
          <w:iCs w:val="0"/>
        </w:rPr>
        <w:fldChar w:fldCharType="end"/>
      </w:r>
      <w:r>
        <w:rPr>
          <w:rFonts w:ascii="宋体" w:hAnsi="宋体"/>
          <w:bCs/>
          <w:i w:val="0"/>
          <w:iCs w:val="0"/>
          <w:szCs w:val="21"/>
          <w:lang w:val="zh-CN"/>
        </w:rPr>
        <w:fldChar w:fldCharType="end"/>
      </w:r>
    </w:p>
    <w:p w14:paraId="32798EB4">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_Toc3120 </w:instrText>
      </w:r>
      <w:r>
        <w:rPr>
          <w:rFonts w:ascii="宋体" w:hAnsi="宋体"/>
          <w:bCs/>
          <w:i w:val="0"/>
          <w:iCs w:val="0"/>
          <w:szCs w:val="21"/>
          <w:lang w:val="zh-CN"/>
        </w:rPr>
        <w:fldChar w:fldCharType="separate"/>
      </w:r>
      <w:r>
        <w:rPr>
          <w:rFonts w:ascii="宋体" w:hAnsi="宋体" w:cs="宋体"/>
          <w:i w:val="0"/>
          <w:iCs w:val="0"/>
        </w:rPr>
        <w:t>（</w:t>
      </w:r>
      <w:r>
        <w:rPr>
          <w:rFonts w:hint="eastAsia" w:ascii="宋体" w:hAnsi="宋体" w:cs="宋体"/>
          <w:i w:val="0"/>
          <w:iCs w:val="0"/>
        </w:rPr>
        <w:t>三</w:t>
      </w:r>
      <w:r>
        <w:rPr>
          <w:rFonts w:ascii="宋体" w:hAnsi="宋体" w:cs="宋体"/>
          <w:i w:val="0"/>
          <w:iCs w:val="0"/>
        </w:rPr>
        <w:t>）</w:t>
      </w:r>
      <w:r>
        <w:rPr>
          <w:rFonts w:hint="eastAsia" w:ascii="宋体" w:hAnsi="宋体" w:cs="宋体"/>
          <w:i w:val="0"/>
          <w:iCs w:val="0"/>
        </w:rPr>
        <w:t>法定代表人身份证明或附有法定代表人身份证明的授权委托书</w:t>
      </w:r>
      <w:r>
        <w:rPr>
          <w:i w:val="0"/>
          <w:iCs w:val="0"/>
        </w:rPr>
        <w:tab/>
      </w:r>
      <w:r>
        <w:rPr>
          <w:i w:val="0"/>
          <w:iCs w:val="0"/>
        </w:rPr>
        <w:fldChar w:fldCharType="begin"/>
      </w:r>
      <w:r>
        <w:rPr>
          <w:i w:val="0"/>
          <w:iCs w:val="0"/>
        </w:rPr>
        <w:instrText xml:space="preserve"> PAGEREF _Toc3120 \h </w:instrText>
      </w:r>
      <w:r>
        <w:rPr>
          <w:i w:val="0"/>
          <w:iCs w:val="0"/>
        </w:rPr>
        <w:fldChar w:fldCharType="separate"/>
      </w:r>
      <w:r>
        <w:rPr>
          <w:i w:val="0"/>
          <w:iCs w:val="0"/>
        </w:rPr>
        <w:t>214</w:t>
      </w:r>
      <w:r>
        <w:rPr>
          <w:i w:val="0"/>
          <w:iCs w:val="0"/>
        </w:rPr>
        <w:fldChar w:fldCharType="end"/>
      </w:r>
      <w:r>
        <w:rPr>
          <w:rFonts w:ascii="宋体" w:hAnsi="宋体"/>
          <w:bCs/>
          <w:i w:val="0"/>
          <w:iCs w:val="0"/>
          <w:szCs w:val="21"/>
          <w:lang w:val="zh-CN"/>
        </w:rPr>
        <w:fldChar w:fldCharType="end"/>
      </w:r>
    </w:p>
    <w:p w14:paraId="15963FF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_Toc9968 </w:instrText>
      </w:r>
      <w:r>
        <w:rPr>
          <w:rFonts w:ascii="宋体" w:hAnsi="宋体"/>
          <w:bCs/>
          <w:i w:val="0"/>
          <w:iCs w:val="0"/>
          <w:szCs w:val="21"/>
          <w:lang w:val="zh-CN"/>
        </w:rPr>
        <w:fldChar w:fldCharType="separate"/>
      </w:r>
      <w:r>
        <w:rPr>
          <w:rFonts w:ascii="宋体" w:hAnsi="宋体" w:cs="宋体"/>
          <w:i w:val="0"/>
          <w:iCs w:val="0"/>
        </w:rPr>
        <w:t>（</w:t>
      </w:r>
      <w:r>
        <w:rPr>
          <w:rFonts w:hint="eastAsia" w:ascii="宋体" w:hAnsi="宋体" w:cs="宋体"/>
          <w:i w:val="0"/>
          <w:iCs w:val="0"/>
        </w:rPr>
        <w:t>四</w:t>
      </w:r>
      <w:r>
        <w:rPr>
          <w:rFonts w:ascii="宋体" w:hAnsi="宋体" w:cs="宋体"/>
          <w:i w:val="0"/>
          <w:iCs w:val="0"/>
        </w:rPr>
        <w:t>）</w:t>
      </w:r>
      <w:r>
        <w:rPr>
          <w:rFonts w:hint="eastAsia" w:ascii="宋体" w:hAnsi="宋体" w:cs="宋体"/>
          <w:i w:val="0"/>
          <w:iCs w:val="0"/>
        </w:rPr>
        <w:t>低价风险担保提交承诺书</w:t>
      </w:r>
      <w:r>
        <w:rPr>
          <w:i w:val="0"/>
          <w:iCs w:val="0"/>
        </w:rPr>
        <w:tab/>
      </w:r>
      <w:r>
        <w:rPr>
          <w:i w:val="0"/>
          <w:iCs w:val="0"/>
        </w:rPr>
        <w:fldChar w:fldCharType="begin"/>
      </w:r>
      <w:r>
        <w:rPr>
          <w:i w:val="0"/>
          <w:iCs w:val="0"/>
        </w:rPr>
        <w:instrText xml:space="preserve"> PAGEREF _Toc9968 \h </w:instrText>
      </w:r>
      <w:r>
        <w:rPr>
          <w:i w:val="0"/>
          <w:iCs w:val="0"/>
        </w:rPr>
        <w:fldChar w:fldCharType="separate"/>
      </w:r>
      <w:r>
        <w:rPr>
          <w:i w:val="0"/>
          <w:iCs w:val="0"/>
        </w:rPr>
        <w:t>216</w:t>
      </w:r>
      <w:r>
        <w:rPr>
          <w:i w:val="0"/>
          <w:iCs w:val="0"/>
        </w:rPr>
        <w:fldChar w:fldCharType="end"/>
      </w:r>
      <w:r>
        <w:rPr>
          <w:rFonts w:ascii="宋体" w:hAnsi="宋体"/>
          <w:bCs/>
          <w:i w:val="0"/>
          <w:iCs w:val="0"/>
          <w:szCs w:val="21"/>
          <w:lang w:val="zh-CN"/>
        </w:rPr>
        <w:fldChar w:fldCharType="end"/>
      </w:r>
    </w:p>
    <w:p w14:paraId="53E85C82">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_Toc27062 </w:instrText>
      </w:r>
      <w:r>
        <w:rPr>
          <w:rFonts w:ascii="宋体" w:hAnsi="宋体"/>
          <w:bCs/>
          <w:szCs w:val="21"/>
          <w:lang w:val="zh-CN"/>
        </w:rPr>
        <w:fldChar w:fldCharType="separate"/>
      </w:r>
      <w:r>
        <w:rPr>
          <w:rFonts w:hint="eastAsia" w:ascii="宋体" w:hAnsi="宋体"/>
          <w:szCs w:val="44"/>
        </w:rPr>
        <w:t>二、经济部分</w:t>
      </w:r>
      <w:r>
        <w:tab/>
      </w:r>
      <w:r>
        <w:fldChar w:fldCharType="begin"/>
      </w:r>
      <w:r>
        <w:instrText xml:space="preserve"> PAGEREF _Toc27062 \h </w:instrText>
      </w:r>
      <w:r>
        <w:fldChar w:fldCharType="separate"/>
      </w:r>
      <w:r>
        <w:t>217</w:t>
      </w:r>
      <w:r>
        <w:fldChar w:fldCharType="end"/>
      </w:r>
      <w:r>
        <w:rPr>
          <w:rFonts w:ascii="宋体" w:hAnsi="宋体"/>
          <w:bCs/>
          <w:szCs w:val="21"/>
          <w:lang w:val="zh-CN"/>
        </w:rPr>
        <w:fldChar w:fldCharType="end"/>
      </w:r>
    </w:p>
    <w:p w14:paraId="015C246C">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_Toc4199 </w:instrText>
      </w:r>
      <w:r>
        <w:rPr>
          <w:rFonts w:ascii="宋体" w:hAnsi="宋体"/>
          <w:bCs/>
          <w:i w:val="0"/>
          <w:iCs w:val="0"/>
          <w:szCs w:val="21"/>
          <w:lang w:val="zh-CN"/>
        </w:rPr>
        <w:fldChar w:fldCharType="separate"/>
      </w:r>
      <w:r>
        <w:rPr>
          <w:rFonts w:hint="eastAsia" w:ascii="宋体" w:hAnsi="宋体"/>
          <w:i w:val="0"/>
          <w:iCs w:val="0"/>
        </w:rPr>
        <w:t>（一）已标价工程量清单</w:t>
      </w:r>
      <w:r>
        <w:rPr>
          <w:i w:val="0"/>
          <w:iCs w:val="0"/>
        </w:rPr>
        <w:tab/>
      </w:r>
      <w:r>
        <w:rPr>
          <w:i w:val="0"/>
          <w:iCs w:val="0"/>
        </w:rPr>
        <w:fldChar w:fldCharType="begin"/>
      </w:r>
      <w:r>
        <w:rPr>
          <w:i w:val="0"/>
          <w:iCs w:val="0"/>
        </w:rPr>
        <w:instrText xml:space="preserve"> PAGEREF _Toc4199 \h </w:instrText>
      </w:r>
      <w:r>
        <w:rPr>
          <w:i w:val="0"/>
          <w:iCs w:val="0"/>
        </w:rPr>
        <w:fldChar w:fldCharType="separate"/>
      </w:r>
      <w:r>
        <w:rPr>
          <w:i w:val="0"/>
          <w:iCs w:val="0"/>
        </w:rPr>
        <w:t>220</w:t>
      </w:r>
      <w:r>
        <w:rPr>
          <w:i w:val="0"/>
          <w:iCs w:val="0"/>
        </w:rPr>
        <w:fldChar w:fldCharType="end"/>
      </w:r>
      <w:r>
        <w:rPr>
          <w:rFonts w:ascii="宋体" w:hAnsi="宋体"/>
          <w:bCs/>
          <w:i w:val="0"/>
          <w:iCs w:val="0"/>
          <w:szCs w:val="21"/>
          <w:lang w:val="zh-CN"/>
        </w:rPr>
        <w:fldChar w:fldCharType="end"/>
      </w:r>
    </w:p>
    <w:p w14:paraId="4A728978">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_Toc28840 </w:instrText>
      </w:r>
      <w:r>
        <w:rPr>
          <w:rFonts w:ascii="宋体" w:hAnsi="宋体"/>
          <w:bCs/>
          <w:szCs w:val="21"/>
          <w:lang w:val="zh-CN"/>
        </w:rPr>
        <w:fldChar w:fldCharType="separate"/>
      </w:r>
      <w:r>
        <w:rPr>
          <w:rFonts w:hint="eastAsia" w:ascii="宋体" w:hAnsi="宋体"/>
          <w:szCs w:val="44"/>
        </w:rPr>
        <w:t>三、商务部分</w:t>
      </w:r>
      <w:r>
        <w:tab/>
      </w:r>
      <w:r>
        <w:fldChar w:fldCharType="begin"/>
      </w:r>
      <w:r>
        <w:instrText xml:space="preserve"> PAGEREF _Toc28840 \h </w:instrText>
      </w:r>
      <w:r>
        <w:fldChar w:fldCharType="separate"/>
      </w:r>
      <w:r>
        <w:t>221</w:t>
      </w:r>
      <w:r>
        <w:fldChar w:fldCharType="end"/>
      </w:r>
      <w:r>
        <w:rPr>
          <w:rFonts w:ascii="宋体" w:hAnsi="宋体"/>
          <w:bCs/>
          <w:szCs w:val="21"/>
          <w:lang w:val="zh-CN"/>
        </w:rPr>
        <w:fldChar w:fldCharType="end"/>
      </w:r>
    </w:p>
    <w:p w14:paraId="2DE0D757">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_Toc22532 </w:instrText>
      </w:r>
      <w:r>
        <w:rPr>
          <w:rFonts w:ascii="宋体" w:hAnsi="宋体"/>
          <w:bCs/>
          <w:szCs w:val="21"/>
          <w:lang w:val="zh-CN"/>
        </w:rPr>
        <w:fldChar w:fldCharType="separate"/>
      </w:r>
      <w:r>
        <w:rPr>
          <w:rFonts w:hint="eastAsia" w:ascii="宋体" w:hAnsi="宋体" w:cs="宋体"/>
          <w:szCs w:val="44"/>
        </w:rPr>
        <w:t>四、</w:t>
      </w:r>
      <w:r>
        <w:rPr>
          <w:rFonts w:hint="eastAsia" w:ascii="宋体" w:hAnsi="宋体"/>
          <w:szCs w:val="44"/>
        </w:rPr>
        <w:t>技术部分</w:t>
      </w:r>
      <w:r>
        <w:tab/>
      </w:r>
      <w:r>
        <w:fldChar w:fldCharType="begin"/>
      </w:r>
      <w:r>
        <w:instrText xml:space="preserve"> PAGEREF _Toc22532 \h </w:instrText>
      </w:r>
      <w:r>
        <w:fldChar w:fldCharType="separate"/>
      </w:r>
      <w:r>
        <w:t>224</w:t>
      </w:r>
      <w:r>
        <w:fldChar w:fldCharType="end"/>
      </w:r>
      <w:r>
        <w:rPr>
          <w:rFonts w:ascii="宋体" w:hAnsi="宋体"/>
          <w:bCs/>
          <w:szCs w:val="21"/>
          <w:lang w:val="zh-CN"/>
        </w:rPr>
        <w:fldChar w:fldCharType="end"/>
      </w:r>
    </w:p>
    <w:p w14:paraId="22D4ED6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_Toc3948 </w:instrText>
      </w:r>
      <w:r>
        <w:rPr>
          <w:rFonts w:ascii="宋体" w:hAnsi="宋体"/>
          <w:bCs/>
          <w:i w:val="0"/>
          <w:iCs w:val="0"/>
          <w:szCs w:val="21"/>
          <w:lang w:val="zh-CN"/>
        </w:rPr>
        <w:fldChar w:fldCharType="separate"/>
      </w:r>
      <w:r>
        <w:rPr>
          <w:rFonts w:hint="eastAsia" w:ascii="宋体" w:hAnsi="宋体"/>
          <w:i w:val="0"/>
          <w:iCs w:val="0"/>
          <w:szCs w:val="36"/>
        </w:rPr>
        <w:t>（一）</w:t>
      </w:r>
      <w:r>
        <w:rPr>
          <w:rFonts w:hint="eastAsia" w:ascii="宋体" w:hAnsi="宋体"/>
          <w:i w:val="0"/>
          <w:iCs w:val="0"/>
        </w:rPr>
        <w:t>技术方案</w:t>
      </w:r>
      <w:r>
        <w:rPr>
          <w:i w:val="0"/>
          <w:iCs w:val="0"/>
        </w:rPr>
        <w:tab/>
      </w:r>
      <w:r>
        <w:rPr>
          <w:i w:val="0"/>
          <w:iCs w:val="0"/>
        </w:rPr>
        <w:fldChar w:fldCharType="begin"/>
      </w:r>
      <w:r>
        <w:rPr>
          <w:i w:val="0"/>
          <w:iCs w:val="0"/>
        </w:rPr>
        <w:instrText xml:space="preserve"> PAGEREF _Toc3948 \h </w:instrText>
      </w:r>
      <w:r>
        <w:rPr>
          <w:i w:val="0"/>
          <w:iCs w:val="0"/>
        </w:rPr>
        <w:fldChar w:fldCharType="separate"/>
      </w:r>
      <w:r>
        <w:rPr>
          <w:i w:val="0"/>
          <w:iCs w:val="0"/>
        </w:rPr>
        <w:t>226</w:t>
      </w:r>
      <w:r>
        <w:rPr>
          <w:i w:val="0"/>
          <w:iCs w:val="0"/>
        </w:rPr>
        <w:fldChar w:fldCharType="end"/>
      </w:r>
      <w:r>
        <w:rPr>
          <w:rFonts w:ascii="宋体" w:hAnsi="宋体"/>
          <w:bCs/>
          <w:i w:val="0"/>
          <w:iCs w:val="0"/>
          <w:szCs w:val="21"/>
          <w:lang w:val="zh-CN"/>
        </w:rPr>
        <w:fldChar w:fldCharType="end"/>
      </w:r>
    </w:p>
    <w:p w14:paraId="32BF79C2">
      <w:pPr>
        <w:pStyle w:val="26"/>
        <w:tabs>
          <w:tab w:val="right" w:leader="dot" w:pos="9469"/>
        </w:tabs>
      </w:pPr>
      <w:r>
        <w:rPr>
          <w:rFonts w:ascii="宋体" w:hAnsi="宋体"/>
          <w:bCs/>
          <w:szCs w:val="21"/>
          <w:lang w:val="zh-CN"/>
        </w:rPr>
        <w:fldChar w:fldCharType="begin"/>
      </w:r>
      <w:r>
        <w:rPr>
          <w:rFonts w:ascii="宋体" w:hAnsi="宋体"/>
          <w:bCs/>
          <w:szCs w:val="21"/>
          <w:lang w:val="zh-CN"/>
        </w:rPr>
        <w:instrText xml:space="preserve"> HYPERLINK \l _Toc14615 </w:instrText>
      </w:r>
      <w:r>
        <w:rPr>
          <w:rFonts w:ascii="宋体" w:hAnsi="宋体"/>
          <w:bCs/>
          <w:szCs w:val="21"/>
          <w:lang w:val="zh-CN"/>
        </w:rPr>
        <w:fldChar w:fldCharType="separate"/>
      </w:r>
      <w:r>
        <w:rPr>
          <w:rFonts w:hint="eastAsia" w:ascii="宋体" w:hAnsi="宋体"/>
          <w:szCs w:val="44"/>
        </w:rPr>
        <w:t>五、资格审查资料</w:t>
      </w:r>
      <w:r>
        <w:tab/>
      </w:r>
      <w:r>
        <w:fldChar w:fldCharType="begin"/>
      </w:r>
      <w:r>
        <w:instrText xml:space="preserve"> PAGEREF _Toc14615 \h </w:instrText>
      </w:r>
      <w:r>
        <w:fldChar w:fldCharType="separate"/>
      </w:r>
      <w:r>
        <w:t>227</w:t>
      </w:r>
      <w:r>
        <w:fldChar w:fldCharType="end"/>
      </w:r>
      <w:r>
        <w:rPr>
          <w:rFonts w:ascii="宋体" w:hAnsi="宋体"/>
          <w:bCs/>
          <w:szCs w:val="21"/>
          <w:lang w:val="zh-CN"/>
        </w:rPr>
        <w:fldChar w:fldCharType="end"/>
      </w:r>
    </w:p>
    <w:p w14:paraId="12980BCF">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_Toc31647 </w:instrText>
      </w:r>
      <w:r>
        <w:rPr>
          <w:rFonts w:ascii="宋体" w:hAnsi="宋体"/>
          <w:bCs/>
          <w:i w:val="0"/>
          <w:iCs w:val="0"/>
          <w:szCs w:val="21"/>
          <w:lang w:val="zh-CN"/>
        </w:rPr>
        <w:fldChar w:fldCharType="separate"/>
      </w:r>
      <w:r>
        <w:rPr>
          <w:rFonts w:hint="eastAsia" w:ascii="宋体" w:hAnsi="宋体"/>
          <w:i w:val="0"/>
          <w:iCs w:val="0"/>
        </w:rPr>
        <w:t>（一）法定代表人身份证明或附有法定代表人身份证明的授权委托书</w:t>
      </w:r>
      <w:r>
        <w:rPr>
          <w:i w:val="0"/>
          <w:iCs w:val="0"/>
        </w:rPr>
        <w:tab/>
      </w:r>
      <w:r>
        <w:rPr>
          <w:i w:val="0"/>
          <w:iCs w:val="0"/>
        </w:rPr>
        <w:fldChar w:fldCharType="begin"/>
      </w:r>
      <w:r>
        <w:rPr>
          <w:i w:val="0"/>
          <w:iCs w:val="0"/>
        </w:rPr>
        <w:instrText xml:space="preserve"> PAGEREF _Toc31647 \h </w:instrText>
      </w:r>
      <w:r>
        <w:rPr>
          <w:i w:val="0"/>
          <w:iCs w:val="0"/>
        </w:rPr>
        <w:fldChar w:fldCharType="separate"/>
      </w:r>
      <w:r>
        <w:rPr>
          <w:i w:val="0"/>
          <w:iCs w:val="0"/>
        </w:rPr>
        <w:t>230</w:t>
      </w:r>
      <w:r>
        <w:rPr>
          <w:i w:val="0"/>
          <w:iCs w:val="0"/>
        </w:rPr>
        <w:fldChar w:fldCharType="end"/>
      </w:r>
      <w:r>
        <w:rPr>
          <w:rFonts w:ascii="宋体" w:hAnsi="宋体"/>
          <w:bCs/>
          <w:i w:val="0"/>
          <w:iCs w:val="0"/>
          <w:szCs w:val="21"/>
          <w:lang w:val="zh-CN"/>
        </w:rPr>
        <w:fldChar w:fldCharType="end"/>
      </w:r>
    </w:p>
    <w:p w14:paraId="6EFB1FF5">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_Toc10201 </w:instrText>
      </w:r>
      <w:r>
        <w:rPr>
          <w:rFonts w:ascii="宋体" w:hAnsi="宋体"/>
          <w:bCs/>
          <w:i w:val="0"/>
          <w:iCs w:val="0"/>
          <w:szCs w:val="21"/>
          <w:lang w:val="zh-CN"/>
        </w:rPr>
        <w:fldChar w:fldCharType="separate"/>
      </w:r>
      <w:r>
        <w:rPr>
          <w:rFonts w:hint="eastAsia" w:ascii="宋体" w:hAnsi="宋体"/>
          <w:i w:val="0"/>
          <w:iCs w:val="0"/>
        </w:rPr>
        <w:t>（二）联合体协议书（如有）</w:t>
      </w:r>
      <w:r>
        <w:rPr>
          <w:i w:val="0"/>
          <w:iCs w:val="0"/>
        </w:rPr>
        <w:tab/>
      </w:r>
      <w:r>
        <w:rPr>
          <w:i w:val="0"/>
          <w:iCs w:val="0"/>
        </w:rPr>
        <w:fldChar w:fldCharType="begin"/>
      </w:r>
      <w:r>
        <w:rPr>
          <w:i w:val="0"/>
          <w:iCs w:val="0"/>
        </w:rPr>
        <w:instrText xml:space="preserve"> PAGEREF _Toc10201 \h </w:instrText>
      </w:r>
      <w:r>
        <w:rPr>
          <w:i w:val="0"/>
          <w:iCs w:val="0"/>
        </w:rPr>
        <w:fldChar w:fldCharType="separate"/>
      </w:r>
      <w:r>
        <w:rPr>
          <w:i w:val="0"/>
          <w:iCs w:val="0"/>
        </w:rPr>
        <w:t>232</w:t>
      </w:r>
      <w:r>
        <w:rPr>
          <w:i w:val="0"/>
          <w:iCs w:val="0"/>
        </w:rPr>
        <w:fldChar w:fldCharType="end"/>
      </w:r>
      <w:r>
        <w:rPr>
          <w:rFonts w:ascii="宋体" w:hAnsi="宋体"/>
          <w:bCs/>
          <w:i w:val="0"/>
          <w:iCs w:val="0"/>
          <w:szCs w:val="21"/>
          <w:lang w:val="zh-CN"/>
        </w:rPr>
        <w:fldChar w:fldCharType="end"/>
      </w:r>
    </w:p>
    <w:p w14:paraId="401B2E0F">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_Toc28772 </w:instrText>
      </w:r>
      <w:r>
        <w:rPr>
          <w:rFonts w:ascii="宋体" w:hAnsi="宋体"/>
          <w:bCs/>
          <w:i w:val="0"/>
          <w:iCs w:val="0"/>
          <w:szCs w:val="21"/>
          <w:lang w:val="zh-CN"/>
        </w:rPr>
        <w:fldChar w:fldCharType="separate"/>
      </w:r>
      <w:r>
        <w:rPr>
          <w:rFonts w:hint="eastAsia" w:ascii="宋体" w:hAnsi="宋体"/>
          <w:i w:val="0"/>
          <w:iCs w:val="0"/>
        </w:rPr>
        <w:t>（三）投标人基本情况表</w:t>
      </w:r>
      <w:r>
        <w:rPr>
          <w:i w:val="0"/>
          <w:iCs w:val="0"/>
        </w:rPr>
        <w:tab/>
      </w:r>
      <w:r>
        <w:rPr>
          <w:i w:val="0"/>
          <w:iCs w:val="0"/>
        </w:rPr>
        <w:fldChar w:fldCharType="begin"/>
      </w:r>
      <w:r>
        <w:rPr>
          <w:i w:val="0"/>
          <w:iCs w:val="0"/>
        </w:rPr>
        <w:instrText xml:space="preserve"> PAGEREF _Toc28772 \h </w:instrText>
      </w:r>
      <w:r>
        <w:rPr>
          <w:i w:val="0"/>
          <w:iCs w:val="0"/>
        </w:rPr>
        <w:fldChar w:fldCharType="separate"/>
      </w:r>
      <w:r>
        <w:rPr>
          <w:i w:val="0"/>
          <w:iCs w:val="0"/>
        </w:rPr>
        <w:t>234</w:t>
      </w:r>
      <w:r>
        <w:rPr>
          <w:i w:val="0"/>
          <w:iCs w:val="0"/>
        </w:rPr>
        <w:fldChar w:fldCharType="end"/>
      </w:r>
      <w:r>
        <w:rPr>
          <w:rFonts w:ascii="宋体" w:hAnsi="宋体"/>
          <w:bCs/>
          <w:i w:val="0"/>
          <w:iCs w:val="0"/>
          <w:szCs w:val="21"/>
          <w:lang w:val="zh-CN"/>
        </w:rPr>
        <w:fldChar w:fldCharType="end"/>
      </w:r>
    </w:p>
    <w:p w14:paraId="16D07835">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_Toc29963 </w:instrText>
      </w:r>
      <w:r>
        <w:rPr>
          <w:rFonts w:ascii="宋体" w:hAnsi="宋体"/>
          <w:bCs/>
          <w:i w:val="0"/>
          <w:iCs w:val="0"/>
          <w:szCs w:val="21"/>
          <w:lang w:val="zh-CN"/>
        </w:rPr>
        <w:fldChar w:fldCharType="separate"/>
      </w:r>
      <w:r>
        <w:rPr>
          <w:rFonts w:hint="eastAsia" w:ascii="宋体" w:hAnsi="宋体"/>
          <w:i w:val="0"/>
          <w:iCs w:val="0"/>
        </w:rPr>
        <w:t>（四）项目管理机构</w:t>
      </w:r>
      <w:r>
        <w:rPr>
          <w:i w:val="0"/>
          <w:iCs w:val="0"/>
        </w:rPr>
        <w:tab/>
      </w:r>
      <w:r>
        <w:rPr>
          <w:i w:val="0"/>
          <w:iCs w:val="0"/>
        </w:rPr>
        <w:fldChar w:fldCharType="begin"/>
      </w:r>
      <w:r>
        <w:rPr>
          <w:i w:val="0"/>
          <w:iCs w:val="0"/>
        </w:rPr>
        <w:instrText xml:space="preserve"> PAGEREF _Toc29963 \h </w:instrText>
      </w:r>
      <w:r>
        <w:rPr>
          <w:i w:val="0"/>
          <w:iCs w:val="0"/>
        </w:rPr>
        <w:fldChar w:fldCharType="separate"/>
      </w:r>
      <w:r>
        <w:rPr>
          <w:i w:val="0"/>
          <w:iCs w:val="0"/>
        </w:rPr>
        <w:t>235</w:t>
      </w:r>
      <w:r>
        <w:rPr>
          <w:i w:val="0"/>
          <w:iCs w:val="0"/>
        </w:rPr>
        <w:fldChar w:fldCharType="end"/>
      </w:r>
      <w:r>
        <w:rPr>
          <w:rFonts w:ascii="宋体" w:hAnsi="宋体"/>
          <w:bCs/>
          <w:i w:val="0"/>
          <w:iCs w:val="0"/>
          <w:szCs w:val="21"/>
          <w:lang w:val="zh-CN"/>
        </w:rPr>
        <w:fldChar w:fldCharType="end"/>
      </w:r>
    </w:p>
    <w:p w14:paraId="5C2744D8">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_Toc14965 </w:instrText>
      </w:r>
      <w:r>
        <w:rPr>
          <w:rFonts w:ascii="宋体" w:hAnsi="宋体"/>
          <w:bCs/>
          <w:i w:val="0"/>
          <w:iCs w:val="0"/>
          <w:szCs w:val="21"/>
          <w:lang w:val="zh-CN"/>
        </w:rPr>
        <w:fldChar w:fldCharType="separate"/>
      </w:r>
      <w:r>
        <w:rPr>
          <w:rFonts w:hint="eastAsia" w:ascii="宋体" w:hAnsi="宋体"/>
          <w:i w:val="0"/>
          <w:iCs w:val="0"/>
        </w:rPr>
        <w:t>（五）近年财务状况表</w:t>
      </w:r>
      <w:r>
        <w:rPr>
          <w:i w:val="0"/>
          <w:iCs w:val="0"/>
        </w:rPr>
        <w:tab/>
      </w:r>
      <w:r>
        <w:rPr>
          <w:i w:val="0"/>
          <w:iCs w:val="0"/>
        </w:rPr>
        <w:fldChar w:fldCharType="begin"/>
      </w:r>
      <w:r>
        <w:rPr>
          <w:i w:val="0"/>
          <w:iCs w:val="0"/>
        </w:rPr>
        <w:instrText xml:space="preserve"> PAGEREF _Toc14965 \h </w:instrText>
      </w:r>
      <w:r>
        <w:rPr>
          <w:i w:val="0"/>
          <w:iCs w:val="0"/>
        </w:rPr>
        <w:fldChar w:fldCharType="separate"/>
      </w:r>
      <w:r>
        <w:rPr>
          <w:i w:val="0"/>
          <w:iCs w:val="0"/>
        </w:rPr>
        <w:t>237</w:t>
      </w:r>
      <w:r>
        <w:rPr>
          <w:i w:val="0"/>
          <w:iCs w:val="0"/>
        </w:rPr>
        <w:fldChar w:fldCharType="end"/>
      </w:r>
      <w:r>
        <w:rPr>
          <w:rFonts w:ascii="宋体" w:hAnsi="宋体"/>
          <w:bCs/>
          <w:i w:val="0"/>
          <w:iCs w:val="0"/>
          <w:szCs w:val="21"/>
          <w:lang w:val="zh-CN"/>
        </w:rPr>
        <w:fldChar w:fldCharType="end"/>
      </w:r>
    </w:p>
    <w:p w14:paraId="44216082">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_Toc25994 </w:instrText>
      </w:r>
      <w:r>
        <w:rPr>
          <w:rFonts w:ascii="宋体" w:hAnsi="宋体"/>
          <w:bCs/>
          <w:i w:val="0"/>
          <w:iCs w:val="0"/>
          <w:szCs w:val="21"/>
          <w:lang w:val="zh-CN"/>
        </w:rPr>
        <w:fldChar w:fldCharType="separate"/>
      </w:r>
      <w:r>
        <w:rPr>
          <w:rFonts w:ascii="宋体" w:hAnsi="宋体"/>
          <w:i w:val="0"/>
          <w:iCs w:val="0"/>
        </w:rPr>
        <w:t>（</w:t>
      </w:r>
      <w:r>
        <w:rPr>
          <w:rFonts w:hint="eastAsia" w:ascii="宋体" w:hAnsi="宋体"/>
          <w:i w:val="0"/>
          <w:iCs w:val="0"/>
        </w:rPr>
        <w:t>六</w:t>
      </w:r>
      <w:r>
        <w:rPr>
          <w:rFonts w:ascii="宋体" w:hAnsi="宋体"/>
          <w:i w:val="0"/>
          <w:iCs w:val="0"/>
        </w:rPr>
        <w:t>）类似项目情况表</w:t>
      </w:r>
      <w:r>
        <w:rPr>
          <w:i w:val="0"/>
          <w:iCs w:val="0"/>
        </w:rPr>
        <w:tab/>
      </w:r>
      <w:r>
        <w:rPr>
          <w:i w:val="0"/>
          <w:iCs w:val="0"/>
        </w:rPr>
        <w:fldChar w:fldCharType="begin"/>
      </w:r>
      <w:r>
        <w:rPr>
          <w:i w:val="0"/>
          <w:iCs w:val="0"/>
        </w:rPr>
        <w:instrText xml:space="preserve"> PAGEREF _Toc25994 \h </w:instrText>
      </w:r>
      <w:r>
        <w:rPr>
          <w:i w:val="0"/>
          <w:iCs w:val="0"/>
        </w:rPr>
        <w:fldChar w:fldCharType="separate"/>
      </w:r>
      <w:r>
        <w:rPr>
          <w:i w:val="0"/>
          <w:iCs w:val="0"/>
        </w:rPr>
        <w:t>238</w:t>
      </w:r>
      <w:r>
        <w:rPr>
          <w:i w:val="0"/>
          <w:iCs w:val="0"/>
        </w:rPr>
        <w:fldChar w:fldCharType="end"/>
      </w:r>
      <w:r>
        <w:rPr>
          <w:rFonts w:ascii="宋体" w:hAnsi="宋体"/>
          <w:bCs/>
          <w:i w:val="0"/>
          <w:iCs w:val="0"/>
          <w:szCs w:val="21"/>
          <w:lang w:val="zh-CN"/>
        </w:rPr>
        <w:fldChar w:fldCharType="end"/>
      </w:r>
    </w:p>
    <w:p w14:paraId="6F28C69D">
      <w:pPr>
        <w:pStyle w:val="14"/>
        <w:tabs>
          <w:tab w:val="right" w:leader="dot" w:pos="9469"/>
        </w:tabs>
        <w:rPr>
          <w:i w:val="0"/>
          <w:iCs w:val="0"/>
        </w:rPr>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_Toc20992 </w:instrText>
      </w:r>
      <w:r>
        <w:rPr>
          <w:rFonts w:ascii="宋体" w:hAnsi="宋体"/>
          <w:bCs/>
          <w:i w:val="0"/>
          <w:iCs w:val="0"/>
          <w:szCs w:val="21"/>
          <w:lang w:val="zh-CN"/>
        </w:rPr>
        <w:fldChar w:fldCharType="separate"/>
      </w:r>
      <w:r>
        <w:rPr>
          <w:rFonts w:ascii="宋体" w:hAnsi="宋体"/>
          <w:i w:val="0"/>
          <w:iCs w:val="0"/>
        </w:rPr>
        <w:t>（</w:t>
      </w:r>
      <w:r>
        <w:rPr>
          <w:rFonts w:hint="eastAsia" w:ascii="宋体" w:hAnsi="宋体"/>
          <w:i w:val="0"/>
          <w:iCs w:val="0"/>
        </w:rPr>
        <w:t>七</w:t>
      </w:r>
      <w:r>
        <w:rPr>
          <w:rFonts w:ascii="宋体" w:hAnsi="宋体"/>
          <w:i w:val="0"/>
          <w:iCs w:val="0"/>
        </w:rPr>
        <w:t>）</w:t>
      </w:r>
      <w:r>
        <w:rPr>
          <w:rFonts w:hint="eastAsia" w:ascii="宋体" w:hAnsi="宋体"/>
          <w:i w:val="0"/>
          <w:iCs w:val="0"/>
        </w:rPr>
        <w:t>承诺</w:t>
      </w:r>
      <w:r>
        <w:rPr>
          <w:i w:val="0"/>
          <w:iCs w:val="0"/>
        </w:rPr>
        <w:tab/>
      </w:r>
      <w:r>
        <w:rPr>
          <w:i w:val="0"/>
          <w:iCs w:val="0"/>
        </w:rPr>
        <w:fldChar w:fldCharType="begin"/>
      </w:r>
      <w:r>
        <w:rPr>
          <w:i w:val="0"/>
          <w:iCs w:val="0"/>
        </w:rPr>
        <w:instrText xml:space="preserve"> PAGEREF _Toc20992 \h </w:instrText>
      </w:r>
      <w:r>
        <w:rPr>
          <w:i w:val="0"/>
          <w:iCs w:val="0"/>
        </w:rPr>
        <w:fldChar w:fldCharType="separate"/>
      </w:r>
      <w:r>
        <w:rPr>
          <w:i w:val="0"/>
          <w:iCs w:val="0"/>
        </w:rPr>
        <w:t>239</w:t>
      </w:r>
      <w:r>
        <w:rPr>
          <w:i w:val="0"/>
          <w:iCs w:val="0"/>
        </w:rPr>
        <w:fldChar w:fldCharType="end"/>
      </w:r>
      <w:r>
        <w:rPr>
          <w:rFonts w:ascii="宋体" w:hAnsi="宋体"/>
          <w:bCs/>
          <w:i w:val="0"/>
          <w:iCs w:val="0"/>
          <w:szCs w:val="21"/>
          <w:lang w:val="zh-CN"/>
        </w:rPr>
        <w:fldChar w:fldCharType="end"/>
      </w:r>
    </w:p>
    <w:p w14:paraId="0D0019BA">
      <w:pPr>
        <w:pStyle w:val="14"/>
        <w:tabs>
          <w:tab w:val="right" w:leader="dot" w:pos="9469"/>
        </w:tabs>
      </w:pPr>
      <w:r>
        <w:rPr>
          <w:rFonts w:ascii="宋体" w:hAnsi="宋体"/>
          <w:bCs/>
          <w:i w:val="0"/>
          <w:iCs w:val="0"/>
          <w:szCs w:val="21"/>
          <w:lang w:val="zh-CN"/>
        </w:rPr>
        <w:fldChar w:fldCharType="begin"/>
      </w:r>
      <w:r>
        <w:rPr>
          <w:rFonts w:ascii="宋体" w:hAnsi="宋体"/>
          <w:bCs/>
          <w:i w:val="0"/>
          <w:iCs w:val="0"/>
          <w:szCs w:val="21"/>
          <w:lang w:val="zh-CN"/>
        </w:rPr>
        <w:instrText xml:space="preserve"> HYPERLINK \l _Toc25715 </w:instrText>
      </w:r>
      <w:r>
        <w:rPr>
          <w:rFonts w:ascii="宋体" w:hAnsi="宋体"/>
          <w:bCs/>
          <w:i w:val="0"/>
          <w:iCs w:val="0"/>
          <w:szCs w:val="21"/>
          <w:lang w:val="zh-CN"/>
        </w:rPr>
        <w:fldChar w:fldCharType="separate"/>
      </w:r>
      <w:r>
        <w:rPr>
          <w:rFonts w:hint="eastAsia" w:ascii="宋体" w:hAnsi="宋体"/>
          <w:i w:val="0"/>
          <w:iCs w:val="0"/>
        </w:rPr>
        <w:t>（八）其他资料</w:t>
      </w:r>
      <w:r>
        <w:rPr>
          <w:i w:val="0"/>
          <w:iCs w:val="0"/>
        </w:rPr>
        <w:tab/>
      </w:r>
      <w:r>
        <w:rPr>
          <w:i w:val="0"/>
          <w:iCs w:val="0"/>
        </w:rPr>
        <w:fldChar w:fldCharType="begin"/>
      </w:r>
      <w:r>
        <w:rPr>
          <w:i w:val="0"/>
          <w:iCs w:val="0"/>
        </w:rPr>
        <w:instrText xml:space="preserve"> PAGEREF _Toc25715 \h </w:instrText>
      </w:r>
      <w:r>
        <w:rPr>
          <w:i w:val="0"/>
          <w:iCs w:val="0"/>
        </w:rPr>
        <w:fldChar w:fldCharType="separate"/>
      </w:r>
      <w:r>
        <w:rPr>
          <w:i w:val="0"/>
          <w:iCs w:val="0"/>
        </w:rPr>
        <w:t>241</w:t>
      </w:r>
      <w:r>
        <w:rPr>
          <w:i w:val="0"/>
          <w:iCs w:val="0"/>
        </w:rPr>
        <w:fldChar w:fldCharType="end"/>
      </w:r>
      <w:r>
        <w:rPr>
          <w:rFonts w:ascii="宋体" w:hAnsi="宋体"/>
          <w:bCs/>
          <w:i w:val="0"/>
          <w:iCs w:val="0"/>
          <w:szCs w:val="21"/>
          <w:lang w:val="zh-CN"/>
        </w:rPr>
        <w:fldChar w:fldCharType="end"/>
      </w:r>
    </w:p>
    <w:p w14:paraId="48C43A53">
      <w:pPr>
        <w:rPr>
          <w:rFonts w:ascii="宋体" w:hAnsi="宋体"/>
        </w:rPr>
      </w:pPr>
      <w:r>
        <w:rPr>
          <w:rFonts w:ascii="宋体" w:hAnsi="宋体"/>
          <w:bCs/>
          <w:szCs w:val="21"/>
          <w:lang w:val="zh-CN"/>
        </w:rPr>
        <w:fldChar w:fldCharType="end"/>
      </w:r>
    </w:p>
    <w:p w14:paraId="7AEB7654">
      <w:pPr>
        <w:spacing w:line="20" w:lineRule="exact"/>
        <w:jc w:val="left"/>
        <w:rPr>
          <w:rFonts w:hint="eastAsia" w:ascii="宋体" w:hAnsi="宋体"/>
        </w:rPr>
        <w:sectPr>
          <w:footerReference r:id="rId8" w:type="default"/>
          <w:pgSz w:w="11907" w:h="16840"/>
          <w:pgMar w:top="1304" w:right="1134" w:bottom="1304" w:left="1304" w:header="851" w:footer="992" w:gutter="0"/>
          <w:pgNumType w:start="1"/>
          <w:cols w:space="720" w:num="1"/>
          <w:docGrid w:linePitch="312" w:charSpace="0"/>
        </w:sectPr>
      </w:pPr>
    </w:p>
    <w:bookmarkEnd w:id="11"/>
    <w:p w14:paraId="11AE5C92">
      <w:pPr>
        <w:rPr>
          <w:rFonts w:hint="eastAsia" w:ascii="宋体" w:hAnsi="宋体"/>
        </w:rPr>
      </w:pPr>
      <w:bookmarkStart w:id="12" w:name="_Toc509218690"/>
    </w:p>
    <w:p w14:paraId="26319393">
      <w:pPr>
        <w:pStyle w:val="3"/>
        <w:spacing w:before="0" w:after="0" w:line="480" w:lineRule="auto"/>
        <w:jc w:val="center"/>
        <w:rPr>
          <w:rFonts w:hint="eastAsia" w:ascii="宋体" w:hAnsi="宋体"/>
          <w:b w:val="0"/>
          <w:bCs w:val="0"/>
          <w:sz w:val="56"/>
          <w:szCs w:val="56"/>
        </w:rPr>
      </w:pPr>
      <w:bookmarkStart w:id="13" w:name="_Toc57795841"/>
      <w:bookmarkStart w:id="14" w:name="_Toc31826"/>
      <w:r>
        <w:rPr>
          <w:rFonts w:hint="eastAsia" w:ascii="宋体" w:hAnsi="宋体"/>
          <w:sz w:val="52"/>
          <w:szCs w:val="52"/>
        </w:rPr>
        <w:t>第 一 卷</w:t>
      </w:r>
      <w:bookmarkEnd w:id="12"/>
      <w:bookmarkEnd w:id="13"/>
      <w:bookmarkEnd w:id="14"/>
    </w:p>
    <w:p w14:paraId="33DD36C5">
      <w:pPr>
        <w:pStyle w:val="3"/>
        <w:spacing w:line="360" w:lineRule="auto"/>
        <w:jc w:val="center"/>
        <w:rPr>
          <w:rFonts w:ascii="宋体" w:hAnsi="宋体"/>
          <w:b w:val="0"/>
          <w:bCs w:val="0"/>
          <w:snapToGrid w:val="0"/>
          <w:kern w:val="0"/>
        </w:rPr>
      </w:pPr>
      <w:bookmarkStart w:id="15" w:name="_Toc430530415"/>
      <w:bookmarkStart w:id="16" w:name="_Toc509218691"/>
      <w:bookmarkStart w:id="17" w:name="_Toc287607727"/>
      <w:bookmarkStart w:id="18" w:name="_Toc277082535"/>
      <w:bookmarkStart w:id="19" w:name="_Toc287620666"/>
      <w:bookmarkStart w:id="20" w:name="_Toc224103298"/>
      <w:r>
        <w:rPr>
          <w:rFonts w:ascii="宋体" w:hAnsi="宋体"/>
          <w:snapToGrid w:val="0"/>
          <w:kern w:val="0"/>
        </w:rPr>
        <w:br w:type="page"/>
      </w:r>
      <w:bookmarkStart w:id="21" w:name="_Toc57795842"/>
      <w:bookmarkStart w:id="22" w:name="_Toc25158"/>
      <w:r>
        <w:rPr>
          <w:rFonts w:ascii="宋体" w:hAnsi="宋体"/>
          <w:snapToGrid w:val="0"/>
          <w:kern w:val="0"/>
        </w:rPr>
        <w:t>第一章</w:t>
      </w:r>
      <w:r>
        <w:rPr>
          <w:rFonts w:hint="eastAsia" w:ascii="宋体" w:hAnsi="宋体"/>
          <w:snapToGrid w:val="0"/>
          <w:kern w:val="0"/>
        </w:rPr>
        <w:t xml:space="preserve">  </w:t>
      </w:r>
      <w:r>
        <w:rPr>
          <w:rFonts w:ascii="宋体" w:hAnsi="宋体"/>
          <w:snapToGrid w:val="0"/>
          <w:kern w:val="0"/>
        </w:rPr>
        <w:t>招标公告（</w:t>
      </w:r>
      <w:r>
        <w:rPr>
          <w:rFonts w:hint="eastAsia" w:ascii="宋体" w:hAnsi="宋体"/>
          <w:snapToGrid w:val="0"/>
        </w:rPr>
        <w:t>适用于公开招标</w:t>
      </w:r>
      <w:r>
        <w:rPr>
          <w:rFonts w:ascii="宋体" w:hAnsi="宋体"/>
          <w:b w:val="0"/>
          <w:bCs w:val="0"/>
          <w:snapToGrid w:val="0"/>
          <w:kern w:val="0"/>
        </w:rPr>
        <w:t>）</w:t>
      </w:r>
      <w:bookmarkEnd w:id="15"/>
      <w:bookmarkEnd w:id="16"/>
      <w:bookmarkEnd w:id="17"/>
      <w:bookmarkEnd w:id="18"/>
      <w:bookmarkEnd w:id="19"/>
      <w:bookmarkEnd w:id="20"/>
      <w:bookmarkEnd w:id="21"/>
      <w:bookmarkEnd w:id="22"/>
    </w:p>
    <w:p w14:paraId="70EFF84D">
      <w:pPr>
        <w:autoSpaceDE w:val="0"/>
        <w:autoSpaceDN w:val="0"/>
        <w:adjustRightInd w:val="0"/>
        <w:snapToGrid w:val="0"/>
        <w:spacing w:line="360" w:lineRule="auto"/>
        <w:jc w:val="center"/>
        <w:rPr>
          <w:rFonts w:ascii="宋体" w:hAnsi="宋体"/>
          <w:snapToGrid w:val="0"/>
          <w:kern w:val="0"/>
          <w:sz w:val="10"/>
          <w:szCs w:val="10"/>
        </w:rPr>
      </w:pPr>
      <w:r>
        <w:rPr>
          <w:rFonts w:ascii="宋体" w:hAnsi="宋体"/>
          <w:snapToGrid w:val="0"/>
          <w:kern w:val="0"/>
          <w:sz w:val="28"/>
          <w:szCs w:val="28"/>
          <w:u w:val="single"/>
        </w:rPr>
        <w:t xml:space="preserve">                 （项目名称）</w:t>
      </w:r>
      <w:r>
        <w:rPr>
          <w:rFonts w:ascii="宋体" w:hAnsi="宋体"/>
          <w:snapToGrid w:val="0"/>
          <w:w w:val="99"/>
          <w:kern w:val="0"/>
          <w:sz w:val="28"/>
          <w:szCs w:val="28"/>
        </w:rPr>
        <w:t>招标公告</w:t>
      </w:r>
    </w:p>
    <w:p w14:paraId="502DC3D1">
      <w:pPr>
        <w:pStyle w:val="79"/>
        <w:keepNext w:val="0"/>
        <w:keepLines w:val="0"/>
        <w:pageBreakBefore w:val="0"/>
        <w:widowControl/>
        <w:kinsoku/>
        <w:wordWrap w:val="0"/>
        <w:overflowPunct/>
        <w:topLinePunct w:val="0"/>
        <w:autoSpaceDE/>
        <w:autoSpaceDN/>
        <w:bidi w:val="0"/>
        <w:adjustRightInd/>
        <w:snapToGrid/>
        <w:spacing w:line="560" w:lineRule="exact"/>
        <w:ind w:left="0" w:leftChars="0" w:firstLine="562" w:firstLineChars="200"/>
        <w:textAlignment w:val="auto"/>
        <w:rPr>
          <w:rFonts w:ascii="宋体" w:hAnsi="宋体" w:eastAsia="宋体" w:cs="宋体"/>
          <w:b/>
          <w:bCs/>
          <w:color w:val="auto"/>
          <w:sz w:val="28"/>
          <w:szCs w:val="28"/>
        </w:rPr>
      </w:pPr>
      <w:bookmarkStart w:id="23" w:name="_Toc287607728"/>
      <w:bookmarkStart w:id="24" w:name="_Toc6401"/>
      <w:bookmarkStart w:id="25" w:name="_Toc430530416"/>
      <w:bookmarkStart w:id="26" w:name="_Toc277082536"/>
      <w:bookmarkStart w:id="27" w:name="_Toc509218692"/>
      <w:bookmarkStart w:id="28" w:name="_Toc224103299"/>
      <w:bookmarkStart w:id="29" w:name="_Toc200359238"/>
      <w:bookmarkStart w:id="30" w:name="_Toc287620667"/>
      <w:bookmarkStart w:id="31" w:name="_Toc200359427"/>
      <w:bookmarkStart w:id="32" w:name="_Toc57795843"/>
      <w:r>
        <w:rPr>
          <w:rFonts w:ascii="宋体" w:hAnsi="宋体" w:eastAsia="宋体" w:cs="宋体"/>
          <w:b/>
          <w:bCs/>
          <w:color w:val="auto"/>
          <w:sz w:val="28"/>
          <w:szCs w:val="28"/>
        </w:rPr>
        <w:t>特别提示：</w:t>
      </w:r>
    </w:p>
    <w:p w14:paraId="20EAFD17">
      <w:pPr>
        <w:pStyle w:val="79"/>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eastAsia="宋体" w:cs="宋体"/>
          <w:color w:val="auto"/>
          <w:sz w:val="28"/>
          <w:szCs w:val="28"/>
          <w:lang w:eastAsia="zh-CN"/>
        </w:rPr>
      </w:pPr>
      <w:r>
        <w:rPr>
          <w:rFonts w:ascii="宋体" w:hAnsi="宋体" w:eastAsia="宋体" w:cs="宋体"/>
          <w:color w:val="auto"/>
          <w:sz w:val="28"/>
          <w:szCs w:val="28"/>
        </w:rPr>
        <w:t>为依法严厉打击公共资源交易领域串通投标、弄虚作假投标、借用资质投标、胁迫其他潜在投标人参与或放弃投标及黑恶势力插手干预招投标等违法犯罪行为，欢迎社会各界积极提供有效线索、证据举报，相关部门将依法进行调查处理。</w:t>
      </w:r>
    </w:p>
    <w:p w14:paraId="234BC1FD">
      <w:pPr>
        <w:pStyle w:val="79"/>
        <w:keepNext w:val="0"/>
        <w:keepLines w:val="0"/>
        <w:pageBreakBefore w:val="0"/>
        <w:widowControl/>
        <w:kinsoku/>
        <w:wordWrap w:val="0"/>
        <w:overflowPunct/>
        <w:topLinePunct w:val="0"/>
        <w:autoSpaceDE/>
        <w:autoSpaceDN/>
        <w:bidi w:val="0"/>
        <w:adjustRightInd/>
        <w:snapToGrid/>
        <w:spacing w:line="560" w:lineRule="exact"/>
        <w:ind w:left="0" w:leftChars="0" w:firstLine="560" w:firstLineChars="200"/>
        <w:textAlignment w:val="auto"/>
        <w:rPr>
          <w:rFonts w:hint="eastAsia" w:ascii="宋体" w:hAnsi="宋体" w:cs="宋体"/>
          <w:bCs w:val="0"/>
          <w:snapToGrid w:val="0"/>
          <w:color w:val="auto"/>
          <w:sz w:val="22"/>
          <w:szCs w:val="21"/>
          <w:highlight w:val="none"/>
        </w:rPr>
      </w:pPr>
      <w:r>
        <w:rPr>
          <w:rFonts w:ascii="宋体" w:hAnsi="宋体" w:eastAsia="宋体" w:cs="宋体"/>
          <w:color w:val="auto"/>
          <w:sz w:val="28"/>
          <w:szCs w:val="28"/>
        </w:rPr>
        <w:t>县</w:t>
      </w:r>
      <w:r>
        <w:rPr>
          <w:rFonts w:hint="eastAsia" w:ascii="宋体" w:hAnsi="宋体" w:cs="宋体"/>
          <w:color w:val="auto"/>
          <w:sz w:val="28"/>
          <w:szCs w:val="28"/>
          <w:lang w:eastAsia="zh-CN"/>
        </w:rPr>
        <w:t>发展改革委</w:t>
      </w:r>
      <w:r>
        <w:rPr>
          <w:rFonts w:ascii="宋体" w:hAnsi="宋体" w:eastAsia="宋体" w:cs="宋体"/>
          <w:color w:val="auto"/>
          <w:sz w:val="28"/>
          <w:szCs w:val="28"/>
        </w:rPr>
        <w:t>举报电话：023—70605</w:t>
      </w:r>
      <w:r>
        <w:rPr>
          <w:rFonts w:hint="eastAsia" w:ascii="宋体" w:hAnsi="宋体" w:cs="宋体"/>
          <w:color w:val="auto"/>
          <w:sz w:val="28"/>
          <w:szCs w:val="28"/>
          <w:lang w:val="en-US" w:eastAsia="zh-CN"/>
        </w:rPr>
        <w:t>988、70605345</w:t>
      </w:r>
      <w:r>
        <w:rPr>
          <w:rFonts w:hint="eastAsia" w:ascii="宋体" w:hAnsi="宋体" w:cs="宋体"/>
          <w:color w:val="auto"/>
          <w:sz w:val="28"/>
          <w:szCs w:val="28"/>
          <w:lang w:eastAsia="zh-CN"/>
        </w:rPr>
        <w:t>；</w:t>
      </w:r>
      <w:r>
        <w:rPr>
          <w:rFonts w:ascii="宋体" w:hAnsi="宋体" w:eastAsia="宋体" w:cs="宋体"/>
          <w:color w:val="auto"/>
          <w:sz w:val="28"/>
          <w:szCs w:val="28"/>
        </w:rPr>
        <w:t>县公安局举报电话：023—70709926</w:t>
      </w:r>
      <w:r>
        <w:rPr>
          <w:rFonts w:hint="eastAsia" w:ascii="宋体" w:hAnsi="宋体" w:cs="宋体"/>
          <w:color w:val="auto"/>
          <w:sz w:val="28"/>
          <w:szCs w:val="28"/>
          <w:lang w:eastAsia="zh-CN"/>
        </w:rPr>
        <w:t>；</w:t>
      </w:r>
      <w:r>
        <w:rPr>
          <w:rFonts w:ascii="宋体" w:hAnsi="宋体" w:eastAsia="宋体" w:cs="宋体"/>
          <w:color w:val="auto"/>
          <w:sz w:val="28"/>
          <w:szCs w:val="28"/>
        </w:rPr>
        <w:t>县扫黑办举报电话：023—70606165。</w:t>
      </w:r>
    </w:p>
    <w:p w14:paraId="5479C6CF">
      <w:pPr>
        <w:pStyle w:val="4"/>
        <w:spacing w:before="0" w:after="0" w:line="360" w:lineRule="auto"/>
        <w:rPr>
          <w:rFonts w:hint="eastAsia" w:ascii="宋体" w:hAnsi="宋体" w:cs="宋体"/>
          <w:bCs w:val="0"/>
          <w:snapToGrid w:val="0"/>
        </w:rPr>
      </w:pPr>
    </w:p>
    <w:p w14:paraId="528BCBE3">
      <w:pPr>
        <w:pStyle w:val="4"/>
        <w:spacing w:before="0" w:after="0" w:line="360" w:lineRule="auto"/>
        <w:rPr>
          <w:rFonts w:hint="eastAsia" w:ascii="宋体" w:hAnsi="宋体" w:cs="宋体"/>
          <w:bCs w:val="0"/>
          <w:snapToGrid w:val="0"/>
        </w:rPr>
      </w:pPr>
      <w:r>
        <w:rPr>
          <w:rFonts w:hint="eastAsia" w:ascii="宋体" w:hAnsi="宋体" w:cs="宋体"/>
          <w:bCs w:val="0"/>
          <w:snapToGrid w:val="0"/>
        </w:rPr>
        <w:t>1. 招标条件</w:t>
      </w:r>
      <w:bookmarkEnd w:id="23"/>
      <w:bookmarkEnd w:id="24"/>
      <w:bookmarkEnd w:id="25"/>
      <w:bookmarkEnd w:id="26"/>
      <w:bookmarkEnd w:id="27"/>
      <w:bookmarkEnd w:id="28"/>
      <w:bookmarkEnd w:id="29"/>
      <w:bookmarkEnd w:id="30"/>
      <w:bookmarkEnd w:id="31"/>
      <w:bookmarkEnd w:id="32"/>
    </w:p>
    <w:p w14:paraId="387EB69B">
      <w:pPr>
        <w:tabs>
          <w:tab w:val="left" w:pos="3315"/>
          <w:tab w:val="left" w:pos="3390"/>
          <w:tab w:val="left" w:pos="6120"/>
          <w:tab w:val="left" w:pos="8850"/>
        </w:tabs>
        <w:autoSpaceDE w:val="0"/>
        <w:autoSpaceDN w:val="0"/>
        <w:adjustRightInd w:val="0"/>
        <w:snapToGrid w:val="0"/>
        <w:spacing w:line="460" w:lineRule="exact"/>
        <w:ind w:firstLine="420"/>
        <w:jc w:val="left"/>
        <w:rPr>
          <w:rFonts w:ascii="宋体" w:hAnsi="宋体"/>
          <w:snapToGrid w:val="0"/>
          <w:kern w:val="0"/>
          <w:szCs w:val="21"/>
        </w:rPr>
      </w:pPr>
      <w:bookmarkStart w:id="33" w:name="_Toc277082537"/>
      <w:bookmarkStart w:id="34" w:name="_Toc430530417"/>
      <w:bookmarkStart w:id="35" w:name="_Toc200359428"/>
      <w:bookmarkStart w:id="36" w:name="_Toc287620668"/>
      <w:bookmarkStart w:id="37" w:name="_Toc287607729"/>
      <w:bookmarkStart w:id="38" w:name="_Toc509218693"/>
      <w:bookmarkStart w:id="39" w:name="_Toc200359239"/>
      <w:bookmarkStart w:id="40" w:name="_Toc224103300"/>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hint="eastAsia" w:ascii="宋体" w:hAnsi="宋体"/>
          <w:snapToGrid w:val="0"/>
          <w:kern w:val="0"/>
          <w:szCs w:val="21"/>
        </w:rPr>
        <w:t>列入</w:t>
      </w:r>
      <w:r>
        <w:rPr>
          <w:rFonts w:hint="eastAsia" w:ascii="宋体" w:hAnsi="宋体"/>
          <w:snapToGrid w:val="0"/>
          <w:kern w:val="0"/>
          <w:szCs w:val="21"/>
          <w:u w:val="single"/>
        </w:rPr>
        <w:t xml:space="preserve">     </w:t>
      </w:r>
      <w:r>
        <w:rPr>
          <w:rFonts w:hint="eastAsia" w:ascii="宋体" w:hAnsi="宋体"/>
          <w:snapToGrid w:val="0"/>
          <w:kern w:val="0"/>
          <w:szCs w:val="21"/>
        </w:rPr>
        <w:t>计划，由</w:t>
      </w:r>
      <w:r>
        <w:rPr>
          <w:rFonts w:hint="eastAsia" w:ascii="宋体" w:hAnsi="宋体"/>
          <w:snapToGrid w:val="0"/>
          <w:kern w:val="0"/>
          <w:szCs w:val="21"/>
          <w:u w:val="single"/>
        </w:rPr>
        <w:t xml:space="preserve">       </w:t>
      </w:r>
      <w:r>
        <w:rPr>
          <w:rFonts w:hint="eastAsia" w:ascii="宋体" w:hAnsi="宋体"/>
          <w:snapToGrid w:val="0"/>
          <w:kern w:val="0"/>
          <w:szCs w:val="21"/>
        </w:rPr>
        <w:t>以</w:t>
      </w:r>
      <w:r>
        <w:rPr>
          <w:rFonts w:hint="eastAsia" w:ascii="宋体" w:hAnsi="宋体"/>
          <w:snapToGrid w:val="0"/>
          <w:kern w:val="0"/>
          <w:szCs w:val="21"/>
          <w:u w:val="single"/>
        </w:rPr>
        <w:t xml:space="preserve">   （批文文号/文件文号）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，出资比例为</w:t>
      </w:r>
      <w:r>
        <w:rPr>
          <w:rFonts w:hint="eastAsia" w:ascii="宋体" w:hAnsi="宋体"/>
          <w:snapToGrid w:val="0"/>
          <w:kern w:val="0"/>
          <w:szCs w:val="21"/>
          <w:u w:val="single"/>
        </w:rPr>
        <w:t xml:space="preserve">                 </w:t>
      </w:r>
      <w:r>
        <w:rPr>
          <w:rFonts w:ascii="宋体" w:hAnsi="宋体"/>
          <w:snapToGrid w:val="0"/>
          <w:kern w:val="0"/>
          <w:szCs w:val="21"/>
        </w:rPr>
        <w:t>，招标人</w:t>
      </w:r>
      <w:r>
        <w:rPr>
          <w:rFonts w:ascii="宋体" w:hAnsi="宋体"/>
          <w:snapToGrid w:val="0"/>
          <w:kern w:val="0"/>
          <w:position w:val="-2"/>
          <w:szCs w:val="21"/>
        </w:rPr>
        <w:t>为</w:t>
      </w:r>
      <w:r>
        <w:rPr>
          <w:rFonts w:hint="eastAsia" w:ascii="宋体" w:hAnsi="宋体"/>
          <w:snapToGrid w:val="0"/>
          <w:kern w:val="0"/>
          <w:szCs w:val="21"/>
          <w:u w:val="single"/>
        </w:rPr>
        <w:t xml:space="preserve">                   </w:t>
      </w:r>
      <w:r>
        <w:rPr>
          <w:rFonts w:ascii="宋体" w:hAnsi="宋体"/>
          <w:snapToGrid w:val="0"/>
          <w:kern w:val="0"/>
          <w:position w:val="-2"/>
          <w:szCs w:val="21"/>
        </w:rPr>
        <w:t>。项目已具备招标条件，现对</w:t>
      </w:r>
      <w:r>
        <w:rPr>
          <w:rFonts w:hint="eastAsia" w:ascii="宋体" w:hAnsi="宋体"/>
          <w:snapToGrid w:val="0"/>
          <w:kern w:val="0"/>
          <w:position w:val="-2"/>
          <w:szCs w:val="21"/>
        </w:rPr>
        <w:t>该项目</w:t>
      </w:r>
      <w:r>
        <w:rPr>
          <w:rFonts w:ascii="宋体" w:hAnsi="宋体"/>
          <w:snapToGrid w:val="0"/>
          <w:kern w:val="0"/>
          <w:position w:val="-2"/>
          <w:szCs w:val="21"/>
        </w:rPr>
        <w:t>进行公开招标。</w:t>
      </w:r>
    </w:p>
    <w:p w14:paraId="40B42387">
      <w:pPr>
        <w:pStyle w:val="4"/>
        <w:spacing w:before="0" w:after="0" w:line="360" w:lineRule="auto"/>
        <w:rPr>
          <w:rFonts w:hint="eastAsia" w:ascii="宋体" w:hAnsi="宋体" w:cs="宋体"/>
          <w:bCs w:val="0"/>
          <w:snapToGrid w:val="0"/>
        </w:rPr>
      </w:pPr>
      <w:bookmarkStart w:id="41" w:name="_Toc2877"/>
      <w:bookmarkStart w:id="42" w:name="_Toc57795844"/>
      <w:r>
        <w:rPr>
          <w:rFonts w:hint="eastAsia" w:ascii="宋体" w:hAnsi="宋体" w:cs="宋体"/>
          <w:bCs w:val="0"/>
          <w:snapToGrid w:val="0"/>
        </w:rPr>
        <w:t>2. 项目概况与招标范围</w:t>
      </w:r>
      <w:bookmarkEnd w:id="33"/>
      <w:bookmarkEnd w:id="34"/>
      <w:bookmarkEnd w:id="35"/>
      <w:bookmarkEnd w:id="36"/>
      <w:bookmarkEnd w:id="37"/>
      <w:bookmarkEnd w:id="38"/>
      <w:bookmarkEnd w:id="39"/>
      <w:bookmarkEnd w:id="40"/>
      <w:bookmarkEnd w:id="41"/>
      <w:bookmarkEnd w:id="42"/>
      <w:bookmarkStart w:id="43" w:name="_Toc200359429"/>
      <w:bookmarkStart w:id="44" w:name="_Toc287620669"/>
      <w:bookmarkStart w:id="45" w:name="_Toc509218694"/>
      <w:bookmarkStart w:id="46" w:name="_Toc224103301"/>
      <w:bookmarkStart w:id="47" w:name="_Toc200359240"/>
      <w:bookmarkStart w:id="48" w:name="_Toc287607730"/>
      <w:bookmarkStart w:id="49" w:name="_Toc430530418"/>
      <w:bookmarkStart w:id="50" w:name="_Toc277082538"/>
    </w:p>
    <w:p w14:paraId="01467572">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.1</w:t>
      </w:r>
      <w:r>
        <w:rPr>
          <w:rFonts w:hint="eastAsia" w:ascii="宋体" w:hAnsi="宋体" w:cs="宋体"/>
          <w:snapToGrid w:val="0"/>
          <w:kern w:val="0"/>
          <w:szCs w:val="21"/>
        </w:rPr>
        <w:t xml:space="preserve"> </w:t>
      </w:r>
      <w:r>
        <w:rPr>
          <w:rFonts w:ascii="宋体" w:hAnsi="宋体" w:cs="宋体"/>
          <w:snapToGrid w:val="0"/>
          <w:kern w:val="0"/>
          <w:szCs w:val="21"/>
        </w:rPr>
        <w:t>建设地点：</w:t>
      </w:r>
      <w:r>
        <w:rPr>
          <w:rFonts w:hint="eastAsia" w:ascii="宋体" w:hAnsi="宋体" w:cs="宋体"/>
          <w:snapToGrid w:val="0"/>
          <w:kern w:val="0"/>
          <w:szCs w:val="21"/>
          <w:u w:val="single"/>
        </w:rPr>
        <w:t xml:space="preserve">        </w:t>
      </w:r>
    </w:p>
    <w:p w14:paraId="617BB337">
      <w:pPr>
        <w:spacing w:line="360" w:lineRule="auto"/>
        <w:ind w:firstLine="420" w:firstLineChars="200"/>
        <w:rPr>
          <w:rFonts w:hint="eastAsia" w:ascii="宋体" w:hAnsi="宋体"/>
          <w:i/>
          <w:szCs w:val="21"/>
        </w:rPr>
      </w:pPr>
      <w:r>
        <w:rPr>
          <w:rFonts w:hint="eastAsia" w:ascii="宋体" w:hAnsi="宋体"/>
          <w:i/>
          <w:szCs w:val="21"/>
        </w:rPr>
        <w:t>[提示：填写公路线路的起止地点及途径的主要节点]</w:t>
      </w:r>
    </w:p>
    <w:p w14:paraId="5E1F79E7">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.2</w:t>
      </w:r>
      <w:r>
        <w:rPr>
          <w:rFonts w:hint="eastAsia" w:ascii="宋体" w:hAnsi="宋体" w:cs="宋体"/>
          <w:snapToGrid w:val="0"/>
          <w:kern w:val="0"/>
          <w:szCs w:val="21"/>
        </w:rPr>
        <w:t xml:space="preserve"> 项目概况与</w:t>
      </w:r>
      <w:r>
        <w:rPr>
          <w:rFonts w:ascii="宋体" w:hAnsi="宋体" w:cs="宋体"/>
          <w:snapToGrid w:val="0"/>
          <w:kern w:val="0"/>
          <w:szCs w:val="21"/>
        </w:rPr>
        <w:t>建设规模：</w:t>
      </w:r>
      <w:r>
        <w:rPr>
          <w:rFonts w:hint="eastAsia" w:ascii="宋体" w:hAnsi="宋体" w:cs="宋体"/>
          <w:snapToGrid w:val="0"/>
          <w:kern w:val="0"/>
          <w:szCs w:val="21"/>
          <w:u w:val="single"/>
        </w:rPr>
        <w:t xml:space="preserve">        </w:t>
      </w:r>
    </w:p>
    <w:p w14:paraId="426DC703">
      <w:pPr>
        <w:spacing w:line="360" w:lineRule="auto"/>
        <w:ind w:firstLine="420" w:firstLineChars="200"/>
        <w:rPr>
          <w:rFonts w:ascii="宋体" w:hAnsi="宋体"/>
          <w:i/>
          <w:szCs w:val="21"/>
        </w:rPr>
      </w:pPr>
      <w:r>
        <w:rPr>
          <w:rFonts w:hint="eastAsia" w:ascii="宋体" w:hAnsi="宋体"/>
          <w:i/>
          <w:szCs w:val="21"/>
        </w:rPr>
        <w:t>[提示：</w:t>
      </w:r>
      <w:r>
        <w:rPr>
          <w:rFonts w:hint="eastAsia" w:ascii="宋体" w:hAnsi="宋体"/>
          <w:i/>
          <w:snapToGrid w:val="0"/>
          <w:kern w:val="0"/>
          <w:szCs w:val="21"/>
        </w:rPr>
        <w:t>若设置投标人业绩资格条件，业绩</w:t>
      </w:r>
      <w:r>
        <w:rPr>
          <w:rFonts w:ascii="宋体" w:hAnsi="宋体"/>
          <w:i/>
          <w:snapToGrid w:val="0"/>
          <w:kern w:val="0"/>
          <w:szCs w:val="21"/>
        </w:rPr>
        <w:t>的</w:t>
      </w:r>
      <w:r>
        <w:rPr>
          <w:rFonts w:hint="eastAsia" w:ascii="宋体" w:hAnsi="宋体"/>
          <w:i/>
          <w:snapToGrid w:val="0"/>
          <w:kern w:val="0"/>
          <w:szCs w:val="21"/>
        </w:rPr>
        <w:t>工程</w:t>
      </w:r>
      <w:r>
        <w:rPr>
          <w:rFonts w:ascii="宋体" w:hAnsi="宋体"/>
          <w:i/>
          <w:snapToGrid w:val="0"/>
          <w:kern w:val="0"/>
          <w:szCs w:val="21"/>
        </w:rPr>
        <w:t>规模</w:t>
      </w:r>
      <w:r>
        <w:rPr>
          <w:rFonts w:hint="eastAsia" w:ascii="宋体" w:hAnsi="宋体"/>
          <w:i/>
          <w:snapToGrid w:val="0"/>
          <w:kern w:val="0"/>
          <w:szCs w:val="21"/>
        </w:rPr>
        <w:t>类别</w:t>
      </w:r>
      <w:r>
        <w:rPr>
          <w:rFonts w:ascii="宋体" w:hAnsi="宋体"/>
          <w:i/>
          <w:snapToGrid w:val="0"/>
          <w:kern w:val="0"/>
          <w:szCs w:val="21"/>
        </w:rPr>
        <w:t>应与本招标</w:t>
      </w:r>
      <w:r>
        <w:rPr>
          <w:rFonts w:hint="eastAsia" w:ascii="宋体" w:hAnsi="宋体"/>
          <w:i/>
          <w:snapToGrid w:val="0"/>
          <w:kern w:val="0"/>
          <w:szCs w:val="21"/>
        </w:rPr>
        <w:t>项目的工程规模类别相对应，</w:t>
      </w:r>
      <w:r>
        <w:rPr>
          <w:rFonts w:hint="eastAsia" w:ascii="宋体" w:hAnsi="宋体"/>
          <w:i/>
          <w:szCs w:val="21"/>
        </w:rPr>
        <w:t>建设规模包括但不限于：公路里程长度、公路等级、路面厚度及结构形式、重要构造物数量及结构形式（如桥梁、隧道）等。]</w:t>
      </w:r>
    </w:p>
    <w:p w14:paraId="1F46233D">
      <w:pPr>
        <w:tabs>
          <w:tab w:val="left" w:pos="3840"/>
          <w:tab w:val="left" w:pos="5300"/>
        </w:tabs>
        <w:autoSpaceDE w:val="0"/>
        <w:autoSpaceDN w:val="0"/>
        <w:adjustRightInd w:val="0"/>
        <w:snapToGrid w:val="0"/>
        <w:spacing w:line="460" w:lineRule="exact"/>
        <w:ind w:firstLine="420" w:firstLineChars="200"/>
        <w:jc w:val="left"/>
        <w:rPr>
          <w:rFonts w:hint="eastAsia"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5DA86FF0">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kern w:val="0"/>
          <w:szCs w:val="21"/>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26670588">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4 </w:t>
      </w:r>
      <w:r>
        <w:rPr>
          <w:rFonts w:ascii="宋体" w:hAnsi="宋体" w:cs="宋体"/>
          <w:snapToGrid w:val="0"/>
          <w:kern w:val="0"/>
          <w:szCs w:val="21"/>
        </w:rPr>
        <w:t>招标范围：</w:t>
      </w:r>
      <w:r>
        <w:rPr>
          <w:rFonts w:hint="eastAsia" w:ascii="宋体" w:hAnsi="宋体"/>
          <w:snapToGrid w:val="0"/>
          <w:kern w:val="0"/>
          <w:szCs w:val="21"/>
          <w:u w:val="single"/>
        </w:rPr>
        <w:t xml:space="preserve">          </w:t>
      </w:r>
      <w:r>
        <w:rPr>
          <w:rFonts w:hint="eastAsia" w:ascii="宋体" w:hAnsi="宋体"/>
          <w:snapToGrid w:val="0"/>
          <w:kern w:val="0"/>
          <w:szCs w:val="21"/>
        </w:rPr>
        <w:t>。</w:t>
      </w:r>
    </w:p>
    <w:p w14:paraId="22FA6095">
      <w:pPr>
        <w:spacing w:line="360" w:lineRule="auto"/>
        <w:ind w:firstLine="420" w:firstLineChars="200"/>
        <w:rPr>
          <w:rFonts w:ascii="宋体" w:hAnsi="宋体"/>
          <w:i/>
          <w:szCs w:val="21"/>
        </w:rPr>
      </w:pPr>
      <w:r>
        <w:rPr>
          <w:rFonts w:hint="eastAsia" w:ascii="宋体" w:hAnsi="宋体"/>
          <w:i/>
          <w:szCs w:val="21"/>
        </w:rPr>
        <w:t>[提示：招标范围应准确明了，按照项目审批、核准、备案文件采用工程专业术语进行填写。]</w:t>
      </w:r>
    </w:p>
    <w:p w14:paraId="6A9A1AD4">
      <w:pPr>
        <w:spacing w:line="360" w:lineRule="auto"/>
        <w:ind w:firstLine="420" w:firstLineChars="200"/>
        <w:rPr>
          <w:rFonts w:hint="eastAsia"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5 </w:t>
      </w:r>
      <w:r>
        <w:rPr>
          <w:rFonts w:ascii="宋体" w:hAnsi="宋体" w:cs="宋体"/>
          <w:snapToGrid w:val="0"/>
          <w:kern w:val="0"/>
          <w:szCs w:val="21"/>
        </w:rPr>
        <w:t>工期要求：</w:t>
      </w:r>
      <w:r>
        <w:rPr>
          <w:rFonts w:hint="eastAsia" w:ascii="宋体" w:hAnsi="宋体" w:cs="宋体"/>
          <w:snapToGrid w:val="0"/>
          <w:kern w:val="0"/>
          <w:szCs w:val="21"/>
          <w:u w:val="single"/>
        </w:rPr>
        <w:t xml:space="preserve">        日历天</w:t>
      </w:r>
    </w:p>
    <w:p w14:paraId="7EB6EEF6">
      <w:pPr>
        <w:spacing w:line="360" w:lineRule="auto"/>
        <w:ind w:firstLine="840" w:firstLineChars="400"/>
        <w:rPr>
          <w:rFonts w:hint="eastAsia" w:ascii="宋体" w:hAnsi="宋体" w:cs="宋体"/>
          <w:snapToGrid w:val="0"/>
          <w:kern w:val="0"/>
          <w:szCs w:val="21"/>
        </w:rPr>
      </w:pPr>
      <w:r>
        <w:rPr>
          <w:rFonts w:hint="eastAsia" w:ascii="宋体" w:hAnsi="宋体" w:cs="宋体"/>
          <w:snapToGrid w:val="0"/>
          <w:kern w:val="0"/>
          <w:szCs w:val="21"/>
        </w:rPr>
        <w:t>缺陷责任期要求：</w:t>
      </w:r>
      <w:r>
        <w:rPr>
          <w:rFonts w:hint="eastAsia" w:ascii="宋体" w:hAnsi="宋体" w:cs="宋体"/>
          <w:snapToGrid w:val="0"/>
          <w:kern w:val="0"/>
          <w:szCs w:val="21"/>
          <w:u w:val="single"/>
        </w:rPr>
        <w:t xml:space="preserve">        个月</w:t>
      </w:r>
    </w:p>
    <w:p w14:paraId="30F44705">
      <w:pPr>
        <w:spacing w:line="360" w:lineRule="auto"/>
        <w:ind w:firstLine="420" w:firstLineChars="200"/>
        <w:rPr>
          <w:rFonts w:hint="eastAsia" w:ascii="宋体" w:hAnsi="宋体" w:cs="宋体"/>
          <w:snapToGrid w:val="0"/>
          <w:kern w:val="0"/>
          <w:szCs w:val="21"/>
          <w:u w:val="single"/>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6 </w:t>
      </w:r>
      <w:r>
        <w:rPr>
          <w:rFonts w:ascii="宋体" w:hAnsi="宋体" w:cs="宋体"/>
          <w:snapToGrid w:val="0"/>
          <w:kern w:val="0"/>
          <w:szCs w:val="21"/>
        </w:rPr>
        <w:t>标段划分（如有）：</w:t>
      </w:r>
      <w:bookmarkStart w:id="51" w:name="2.6_其他：_________________________________"/>
      <w:bookmarkEnd w:id="51"/>
      <w:r>
        <w:rPr>
          <w:rFonts w:hint="eastAsia" w:ascii="宋体" w:hAnsi="宋体" w:cs="宋体"/>
          <w:snapToGrid w:val="0"/>
          <w:kern w:val="0"/>
          <w:szCs w:val="21"/>
          <w:u w:val="single"/>
        </w:rPr>
        <w:t xml:space="preserve">        </w:t>
      </w:r>
    </w:p>
    <w:p w14:paraId="0E9CB95D">
      <w:pPr>
        <w:spacing w:line="360" w:lineRule="auto"/>
        <w:ind w:firstLine="420" w:firstLineChars="200"/>
        <w:rPr>
          <w:rFonts w:hint="eastAsia" w:ascii="宋体" w:hAnsi="宋体" w:cs="宋体"/>
          <w:snapToGrid w:val="0"/>
          <w:kern w:val="0"/>
          <w:szCs w:val="21"/>
        </w:rPr>
      </w:pPr>
      <w:r>
        <w:rPr>
          <w:rFonts w:hint="eastAsia" w:ascii="宋体" w:hAnsi="宋体"/>
          <w:i/>
          <w:szCs w:val="21"/>
        </w:rPr>
        <w:t>[提示：根据公路养护工程项目特点，按照有利于施工组织和管理、各专业衔接与配合等原则，可采取按整条路线或片、区域打捆方式划分标段，也可按年度周期、路段里程和工程类别划分标段，但不得利用划分标段限制或排斥潜在投标人，不得通过划分标段规避招标。]</w:t>
      </w:r>
    </w:p>
    <w:p w14:paraId="545B49EE">
      <w:pPr>
        <w:spacing w:line="360" w:lineRule="auto"/>
        <w:ind w:firstLine="420" w:firstLineChars="200"/>
        <w:rPr>
          <w:rFonts w:hint="eastAsia" w:ascii="宋体" w:hAnsi="宋体"/>
        </w:rPr>
      </w:pPr>
      <w:r>
        <w:rPr>
          <w:rFonts w:hint="eastAsia" w:ascii="宋体" w:hAnsi="宋体" w:cs="宋体"/>
          <w:snapToGrid w:val="0"/>
          <w:kern w:val="0"/>
          <w:szCs w:val="21"/>
        </w:rPr>
        <w:t xml:space="preserve">2.7 </w:t>
      </w:r>
      <w:r>
        <w:rPr>
          <w:rFonts w:ascii="宋体" w:hAnsi="宋体"/>
        </w:rPr>
        <w:t>其他：</w:t>
      </w:r>
      <w:r>
        <w:rPr>
          <w:rFonts w:hint="eastAsia" w:ascii="宋体" w:hAnsi="宋体"/>
          <w:u w:val="single"/>
        </w:rPr>
        <w:t xml:space="preserve">    </w:t>
      </w:r>
      <w:r>
        <w:rPr>
          <w:rFonts w:hint="eastAsia" w:ascii="宋体" w:hAnsi="宋体" w:cs="宋体"/>
          <w:snapToGrid w:val="0"/>
          <w:kern w:val="0"/>
          <w:szCs w:val="21"/>
          <w:u w:val="single"/>
        </w:rPr>
        <w:t xml:space="preserve">    </w:t>
      </w:r>
    </w:p>
    <w:p w14:paraId="69297502">
      <w:pPr>
        <w:pStyle w:val="4"/>
        <w:spacing w:before="0" w:after="0" w:line="360" w:lineRule="auto"/>
        <w:rPr>
          <w:rFonts w:hint="eastAsia" w:ascii="宋体" w:hAnsi="宋体" w:cs="宋体"/>
          <w:bCs w:val="0"/>
          <w:snapToGrid w:val="0"/>
        </w:rPr>
      </w:pPr>
      <w:bookmarkStart w:id="52" w:name="_Toc16562"/>
      <w:bookmarkStart w:id="53" w:name="_Toc57795845"/>
      <w:r>
        <w:rPr>
          <w:rFonts w:hint="eastAsia" w:ascii="宋体" w:hAnsi="宋体" w:cs="宋体"/>
          <w:bCs w:val="0"/>
          <w:snapToGrid w:val="0"/>
        </w:rPr>
        <w:t>3. 投标人资格要求</w:t>
      </w:r>
      <w:bookmarkEnd w:id="43"/>
      <w:bookmarkEnd w:id="44"/>
      <w:bookmarkEnd w:id="45"/>
      <w:bookmarkEnd w:id="46"/>
      <w:bookmarkEnd w:id="47"/>
      <w:bookmarkEnd w:id="48"/>
      <w:bookmarkEnd w:id="49"/>
      <w:bookmarkEnd w:id="50"/>
      <w:bookmarkEnd w:id="52"/>
      <w:bookmarkEnd w:id="53"/>
    </w:p>
    <w:p w14:paraId="18BC4D4E">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r>
        <w:rPr>
          <w:rFonts w:hint="eastAsia" w:ascii="宋体" w:hAnsi="宋体" w:cs="宋体"/>
          <w:snapToGrid w:val="0"/>
          <w:kern w:val="0"/>
          <w:szCs w:val="21"/>
        </w:rPr>
        <w:t xml:space="preserve">3.1 </w:t>
      </w:r>
      <w:r>
        <w:rPr>
          <w:rFonts w:ascii="宋体" w:hAnsi="宋体"/>
          <w:snapToGrid w:val="0"/>
          <w:kern w:val="0"/>
          <w:szCs w:val="21"/>
        </w:rPr>
        <w:t>本次招标要求投标人须具备</w:t>
      </w:r>
      <w:r>
        <w:rPr>
          <w:rFonts w:hint="eastAsia" w:ascii="宋体" w:hAnsi="宋体"/>
          <w:snapToGrid w:val="0"/>
          <w:kern w:val="0"/>
          <w:szCs w:val="21"/>
        </w:rPr>
        <w:t>以下条件：</w:t>
      </w:r>
    </w:p>
    <w:p w14:paraId="5D598BEE">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r>
        <w:rPr>
          <w:rFonts w:hint="eastAsia" w:ascii="宋体" w:hAnsi="宋体" w:cs="宋体"/>
          <w:snapToGrid w:val="0"/>
          <w:kern w:val="0"/>
          <w:szCs w:val="21"/>
        </w:rPr>
        <w:t>3.1.1 本次招标要求投标人具备的资质条件：</w:t>
      </w:r>
      <w:r>
        <w:rPr>
          <w:rFonts w:hint="eastAsia" w:ascii="宋体" w:hAnsi="宋体" w:cs="宋体"/>
          <w:snapToGrid w:val="0"/>
          <w:kern w:val="0"/>
          <w:szCs w:val="21"/>
          <w:u w:val="single"/>
        </w:rPr>
        <w:t xml:space="preserve">        </w:t>
      </w:r>
    </w:p>
    <w:p w14:paraId="3DEACAE9">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szCs w:val="21"/>
        </w:rPr>
      </w:pPr>
      <w:r>
        <w:rPr>
          <w:rFonts w:hint="eastAsia" w:ascii="宋体" w:hAnsi="宋体"/>
          <w:i/>
          <w:szCs w:val="21"/>
        </w:rPr>
        <w:t>[提示：资质的设定应执行《公路养护作业单位资质管理办法》（中华人民共和国交通运输部令2021年第22号）、《重庆市交通局关于印发&lt;重庆市公路养护作业单位资质管理实施细则&gt;的通知》（渝交规〔2021〕31号）及其修订、配套、补充文件的现行规定。公路机电工程的养护维修应按照《住房和城乡建设部关于印发&lt;建筑业企业资质标准&gt;的通知》（建市〔2014〕159号）及其修订、配套、补充文件设定公路交通工程专业承包公路机电工程分项资质。]</w:t>
      </w:r>
    </w:p>
    <w:p w14:paraId="0C29616D">
      <w:pPr>
        <w:pStyle w:val="2"/>
        <w:spacing w:after="0" w:line="360" w:lineRule="auto"/>
        <w:ind w:firstLine="420" w:firstLineChars="200"/>
        <w:rPr>
          <w:rFonts w:hint="eastAsia" w:ascii="宋体" w:hAnsi="宋体"/>
          <w:szCs w:val="21"/>
        </w:rPr>
      </w:pPr>
      <w:r>
        <w:rPr>
          <w:rFonts w:hint="eastAsia" w:ascii="宋体" w:hAnsi="宋体"/>
          <w:snapToGrid w:val="0"/>
          <w:kern w:val="0"/>
          <w:szCs w:val="21"/>
        </w:rPr>
        <w:t>3.1.2 投标人还应在人员、业绩、设备、资金等方面具有相应的施工能力，详见招标文件第二章投标人须知前附表第1.4.1项内容。</w:t>
      </w:r>
    </w:p>
    <w:p w14:paraId="1BA5127A">
      <w:pPr>
        <w:pStyle w:val="2"/>
        <w:spacing w:after="0" w:line="360" w:lineRule="auto"/>
        <w:ind w:firstLine="420" w:firstLineChars="200"/>
        <w:rPr>
          <w:rFonts w:hint="eastAsia" w:ascii="宋体" w:hAnsi="宋体"/>
          <w:snapToGrid w:val="0"/>
          <w:kern w:val="0"/>
          <w:szCs w:val="21"/>
        </w:rPr>
      </w:pPr>
      <w:r>
        <w:rPr>
          <w:rFonts w:ascii="宋体" w:hAnsi="宋体"/>
          <w:snapToGrid w:val="0"/>
          <w:kern w:val="0"/>
          <w:szCs w:val="21"/>
        </w:rPr>
        <w:t>3.2</w:t>
      </w:r>
      <w:r>
        <w:rPr>
          <w:rFonts w:hint="eastAsia" w:ascii="宋体" w:hAnsi="宋体"/>
          <w:snapToGrid w:val="0"/>
          <w:kern w:val="0"/>
          <w:szCs w:val="21"/>
        </w:rPr>
        <w:t xml:space="preserve"> </w:t>
      </w:r>
      <w:r>
        <w:rPr>
          <w:rFonts w:ascii="宋体" w:hAnsi="宋体"/>
          <w:snapToGrid w:val="0"/>
          <w:kern w:val="0"/>
          <w:szCs w:val="21"/>
        </w:rPr>
        <w:t>本次招标</w:t>
      </w:r>
      <w:r>
        <w:rPr>
          <w:rFonts w:hint="eastAsia" w:ascii="宋体" w:hAnsi="宋体"/>
          <w:snapToGrid w:val="0"/>
          <w:kern w:val="0"/>
          <w:szCs w:val="21"/>
        </w:rPr>
        <w:t>□接受 □不接受</w:t>
      </w:r>
      <w:r>
        <w:rPr>
          <w:rFonts w:ascii="宋体" w:hAnsi="宋体"/>
          <w:snapToGrid w:val="0"/>
          <w:kern w:val="0"/>
          <w:szCs w:val="21"/>
        </w:rPr>
        <w:t>联合体投标。联合体投标的，</w:t>
      </w:r>
      <w:r>
        <w:rPr>
          <w:rFonts w:hint="eastAsia" w:ascii="宋体" w:hAnsi="宋体"/>
          <w:snapToGrid w:val="0"/>
          <w:kern w:val="0"/>
          <w:szCs w:val="21"/>
        </w:rPr>
        <w:t>详见招标文件第二章投标人须知前附表第1.4.</w:t>
      </w:r>
      <w:r>
        <w:rPr>
          <w:rFonts w:ascii="宋体" w:hAnsi="宋体"/>
          <w:snapToGrid w:val="0"/>
          <w:kern w:val="0"/>
          <w:szCs w:val="21"/>
        </w:rPr>
        <w:t>2</w:t>
      </w:r>
      <w:r>
        <w:rPr>
          <w:rFonts w:hint="eastAsia" w:ascii="宋体" w:hAnsi="宋体"/>
          <w:snapToGrid w:val="0"/>
          <w:kern w:val="0"/>
          <w:szCs w:val="21"/>
        </w:rPr>
        <w:t>条内容。</w:t>
      </w:r>
    </w:p>
    <w:p w14:paraId="04384D67">
      <w:pPr>
        <w:pStyle w:val="4"/>
        <w:spacing w:before="0" w:after="0" w:line="360" w:lineRule="auto"/>
        <w:rPr>
          <w:rFonts w:hint="eastAsia" w:ascii="宋体" w:hAnsi="宋体" w:cs="宋体"/>
          <w:bCs w:val="0"/>
          <w:snapToGrid w:val="0"/>
        </w:rPr>
      </w:pPr>
      <w:bookmarkStart w:id="54" w:name="_Toc509218695"/>
      <w:bookmarkStart w:id="55" w:name="_Toc200359430"/>
      <w:bookmarkStart w:id="56" w:name="_Toc287620670"/>
      <w:bookmarkStart w:id="57" w:name="_Toc277082539"/>
      <w:bookmarkStart w:id="58" w:name="_Toc430530419"/>
      <w:bookmarkStart w:id="59" w:name="_Toc287607731"/>
      <w:bookmarkStart w:id="60" w:name="_Toc19848"/>
      <w:bookmarkStart w:id="61" w:name="_Toc57795846"/>
      <w:bookmarkStart w:id="62" w:name="_Toc200359241"/>
      <w:bookmarkStart w:id="63" w:name="_Toc224103302"/>
      <w:r>
        <w:rPr>
          <w:rFonts w:hint="eastAsia" w:ascii="宋体" w:hAnsi="宋体" w:cs="宋体"/>
          <w:bCs w:val="0"/>
          <w:snapToGrid w:val="0"/>
        </w:rPr>
        <w:t>4. 招标文件的获取</w:t>
      </w:r>
      <w:bookmarkEnd w:id="54"/>
      <w:bookmarkEnd w:id="55"/>
      <w:bookmarkEnd w:id="56"/>
      <w:bookmarkEnd w:id="57"/>
      <w:bookmarkEnd w:id="58"/>
      <w:bookmarkEnd w:id="59"/>
      <w:bookmarkEnd w:id="60"/>
      <w:bookmarkEnd w:id="61"/>
      <w:bookmarkEnd w:id="62"/>
      <w:bookmarkEnd w:id="63"/>
    </w:p>
    <w:p w14:paraId="275FA7F7">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bookmarkStart w:id="64" w:name="_Toc287620671"/>
      <w:bookmarkStart w:id="65" w:name="_Toc509218696"/>
      <w:bookmarkStart w:id="66" w:name="_Toc200359431"/>
      <w:bookmarkStart w:id="67" w:name="_Toc430530420"/>
      <w:bookmarkStart w:id="68" w:name="_Toc224103303"/>
      <w:bookmarkStart w:id="69" w:name="_Toc200359242"/>
      <w:bookmarkStart w:id="70" w:name="_Toc287607732"/>
      <w:bookmarkStart w:id="71" w:name="_Toc277082540"/>
      <w:r>
        <w:rPr>
          <w:rFonts w:hint="eastAsia" w:ascii="宋体" w:hAnsi="宋体"/>
          <w:snapToGrid w:val="0"/>
          <w:kern w:val="0"/>
          <w:szCs w:val="21"/>
        </w:rPr>
        <w:t xml:space="preserve">4.1 </w:t>
      </w:r>
      <w:r>
        <w:rPr>
          <w:rFonts w:ascii="宋体" w:hAnsi="宋体"/>
          <w:snapToGrid w:val="0"/>
          <w:kern w:val="0"/>
          <w:szCs w:val="21"/>
        </w:rPr>
        <w:t>本招标项目采用</w:t>
      </w:r>
      <w:r>
        <w:rPr>
          <w:rFonts w:hint="eastAsia" w:ascii="宋体" w:hAnsi="宋体"/>
          <w:snapToGrid w:val="0"/>
          <w:kern w:val="0"/>
          <w:szCs w:val="21"/>
        </w:rPr>
        <w:t>全流程电子</w:t>
      </w:r>
      <w:r>
        <w:rPr>
          <w:rFonts w:ascii="宋体" w:hAnsi="宋体"/>
          <w:snapToGrid w:val="0"/>
          <w:kern w:val="0"/>
          <w:szCs w:val="21"/>
        </w:rPr>
        <w:t>招投标，投标人在投标前可在</w:t>
      </w:r>
      <w:r>
        <w:rPr>
          <w:rFonts w:hint="eastAsia" w:ascii="宋体" w:hAnsi="宋体"/>
          <w:snapToGrid w:val="0"/>
          <w:kern w:val="0"/>
          <w:szCs w:val="21"/>
          <w:u w:val="single"/>
        </w:rPr>
        <w:t>重庆市公共资源交易网（https://www.cqggzy.com/</w:t>
      </w:r>
      <w:r>
        <w:rPr>
          <w:rFonts w:hint="eastAsia" w:ascii="宋体" w:hAnsi="宋体"/>
          <w:snapToGrid w:val="0"/>
          <w:kern w:val="0"/>
          <w:szCs w:val="21"/>
        </w:rPr>
        <w:t>，下同</w:t>
      </w:r>
      <w:r>
        <w:rPr>
          <w:rFonts w:hint="eastAsia" w:ascii="宋体" w:hAnsi="宋体"/>
          <w:snapToGrid w:val="0"/>
          <w:kern w:val="0"/>
          <w:szCs w:val="21"/>
          <w:u w:val="single"/>
        </w:rPr>
        <w:t>）</w:t>
      </w:r>
      <w:r>
        <w:rPr>
          <w:rFonts w:hint="eastAsia" w:ascii="宋体" w:hAnsi="宋体"/>
          <w:i/>
          <w:szCs w:val="21"/>
        </w:rPr>
        <w:t>[提示：下载地址采用其他网址的应注明，下同]</w:t>
      </w:r>
      <w:r>
        <w:rPr>
          <w:rFonts w:ascii="宋体" w:hAnsi="宋体"/>
          <w:snapToGrid w:val="0"/>
          <w:kern w:val="0"/>
          <w:szCs w:val="21"/>
        </w:rPr>
        <w:t>下载招标文件、工程量清单、电子图纸等资料。参与投标的投标人</w:t>
      </w:r>
      <w:r>
        <w:rPr>
          <w:rFonts w:hint="eastAsia" w:ascii="宋体" w:hAnsi="宋体"/>
          <w:snapToGrid w:val="0"/>
          <w:kern w:val="0"/>
          <w:szCs w:val="21"/>
        </w:rPr>
        <w:t>需在</w:t>
      </w:r>
      <w:r>
        <w:rPr>
          <w:rFonts w:hint="eastAsia" w:ascii="宋体" w:hAnsi="宋体"/>
          <w:snapToGrid w:val="0"/>
          <w:kern w:val="0"/>
          <w:szCs w:val="21"/>
          <w:u w:val="single"/>
        </w:rPr>
        <w:t>重庆市公共资源交易网</w:t>
      </w:r>
      <w:r>
        <w:rPr>
          <w:rFonts w:hint="eastAsia" w:ascii="宋体" w:hAnsi="宋体"/>
          <w:snapToGrid w:val="0"/>
          <w:kern w:val="0"/>
          <w:szCs w:val="21"/>
        </w:rPr>
        <w:t>完成市场主体信息登记以及 CA 数字证书办理，办理方式请参见</w:t>
      </w:r>
      <w:r>
        <w:rPr>
          <w:rFonts w:hint="eastAsia" w:ascii="宋体" w:hAnsi="宋体"/>
          <w:snapToGrid w:val="0"/>
          <w:kern w:val="0"/>
          <w:szCs w:val="21"/>
          <w:u w:val="single"/>
        </w:rPr>
        <w:t>重庆市公共资源交易网</w:t>
      </w:r>
      <w:r>
        <w:rPr>
          <w:rFonts w:hint="eastAsia" w:ascii="宋体" w:hAnsi="宋体"/>
          <w:snapToGrid w:val="0"/>
          <w:kern w:val="0"/>
          <w:szCs w:val="21"/>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kern w:val="0"/>
          <w:szCs w:val="21"/>
        </w:rPr>
        <w:t>。</w:t>
      </w:r>
    </w:p>
    <w:p w14:paraId="5DD54D2F">
      <w:pPr>
        <w:tabs>
          <w:tab w:val="left" w:pos="2420"/>
          <w:tab w:val="left" w:pos="5445"/>
        </w:tabs>
        <w:autoSpaceDE w:val="0"/>
        <w:autoSpaceDN w:val="0"/>
        <w:adjustRightInd w:val="0"/>
        <w:snapToGrid w:val="0"/>
        <w:spacing w:line="450" w:lineRule="exact"/>
        <w:ind w:firstLine="420"/>
        <w:rPr>
          <w:rFonts w:hint="eastAsia" w:ascii="宋体" w:hAnsi="宋体"/>
          <w:snapToGrid w:val="0"/>
          <w:kern w:val="0"/>
          <w:szCs w:val="21"/>
        </w:rPr>
      </w:pPr>
      <w:r>
        <w:rPr>
          <w:rFonts w:hint="eastAsia" w:ascii="宋体" w:hAnsi="宋体"/>
          <w:snapToGrid w:val="0"/>
          <w:kern w:val="0"/>
          <w:szCs w:val="21"/>
        </w:rPr>
        <w:t>4.2 投标人可在附件招标公告规定的时限内在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本项目招标公告网页下方“我要提问”栏提出疑问。</w:t>
      </w:r>
    </w:p>
    <w:p w14:paraId="49175ED1">
      <w:pPr>
        <w:tabs>
          <w:tab w:val="left" w:pos="2420"/>
          <w:tab w:val="left" w:pos="5445"/>
        </w:tabs>
        <w:autoSpaceDE w:val="0"/>
        <w:autoSpaceDN w:val="0"/>
        <w:adjustRightInd w:val="0"/>
        <w:snapToGrid w:val="0"/>
        <w:spacing w:line="450" w:lineRule="exact"/>
        <w:ind w:firstLine="420"/>
        <w:jc w:val="left"/>
        <w:rPr>
          <w:rFonts w:ascii="宋体" w:hAnsi="宋体"/>
          <w:snapToGrid w:val="0"/>
          <w:kern w:val="0"/>
          <w:szCs w:val="21"/>
        </w:rPr>
      </w:pPr>
      <w:r>
        <w:rPr>
          <w:rFonts w:hint="eastAsia" w:ascii="宋体" w:hAnsi="宋体"/>
          <w:snapToGrid w:val="0"/>
          <w:kern w:val="0"/>
          <w:szCs w:val="21"/>
        </w:rPr>
        <w:t>4.3 招标人应在附件招标公告规定的时限内在</w:t>
      </w:r>
      <w:r>
        <w:rPr>
          <w:rFonts w:hint="eastAsia" w:ascii="宋体" w:hAnsi="宋体"/>
          <w:snapToGrid w:val="0"/>
          <w:kern w:val="0"/>
          <w:szCs w:val="21"/>
          <w:u w:val="single"/>
        </w:rPr>
        <w:t>重庆市公共资源交易网</w:t>
      </w:r>
      <w:r>
        <w:rPr>
          <w:rFonts w:hint="eastAsia" w:ascii="宋体" w:hAnsi="宋体"/>
          <w:snapToGrid w:val="0"/>
          <w:kern w:val="0"/>
          <w:szCs w:val="21"/>
        </w:rPr>
        <w:t>发布澄清或修改。</w:t>
      </w:r>
    </w:p>
    <w:p w14:paraId="082F655C">
      <w:pPr>
        <w:pStyle w:val="4"/>
        <w:spacing w:before="0" w:after="0" w:line="360" w:lineRule="auto"/>
        <w:rPr>
          <w:rFonts w:hint="eastAsia" w:ascii="宋体" w:hAnsi="宋体" w:cs="宋体"/>
          <w:bCs w:val="0"/>
          <w:snapToGrid w:val="0"/>
        </w:rPr>
      </w:pPr>
      <w:bookmarkStart w:id="72" w:name="_Toc27221"/>
      <w:bookmarkStart w:id="73" w:name="_Toc57795847"/>
      <w:r>
        <w:rPr>
          <w:rFonts w:hint="eastAsia" w:ascii="宋体" w:hAnsi="宋体" w:cs="宋体"/>
          <w:bCs w:val="0"/>
          <w:snapToGrid w:val="0"/>
        </w:rPr>
        <w:t>5. 投标文件的递交</w:t>
      </w:r>
      <w:bookmarkEnd w:id="64"/>
      <w:bookmarkEnd w:id="65"/>
      <w:bookmarkEnd w:id="66"/>
      <w:bookmarkEnd w:id="67"/>
      <w:bookmarkEnd w:id="68"/>
      <w:bookmarkEnd w:id="69"/>
      <w:bookmarkEnd w:id="70"/>
      <w:bookmarkEnd w:id="71"/>
      <w:bookmarkEnd w:id="72"/>
      <w:bookmarkEnd w:id="73"/>
    </w:p>
    <w:p w14:paraId="261D90CD">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kern w:val="0"/>
          <w:szCs w:val="21"/>
        </w:rPr>
      </w:pPr>
      <w:bookmarkStart w:id="74" w:name="_Toc224103304"/>
      <w:bookmarkStart w:id="75" w:name="_Toc509218697"/>
      <w:bookmarkStart w:id="76" w:name="_Toc287607733"/>
      <w:bookmarkStart w:id="77" w:name="_Toc287620672"/>
      <w:bookmarkStart w:id="78" w:name="_Toc430530421"/>
      <w:bookmarkStart w:id="79" w:name="_Toc200359243"/>
      <w:bookmarkStart w:id="80" w:name="_Toc200359432"/>
      <w:bookmarkStart w:id="81" w:name="_Toc277082541"/>
      <w:r>
        <w:rPr>
          <w:rFonts w:ascii="宋体" w:hAnsi="宋体"/>
          <w:snapToGrid w:val="0"/>
          <w:kern w:val="0"/>
          <w:szCs w:val="21"/>
        </w:rPr>
        <w:t>5.1  投标文件递交的截止时间（投标截止时间，下同）</w:t>
      </w:r>
      <w:r>
        <w:rPr>
          <w:rFonts w:hint="eastAsia" w:ascii="宋体" w:hAnsi="宋体"/>
          <w:snapToGrid w:val="0"/>
          <w:kern w:val="0"/>
          <w:szCs w:val="21"/>
        </w:rPr>
        <w:t>详见附件招标公告规定的投标截止</w:t>
      </w:r>
      <w:r>
        <w:rPr>
          <w:rFonts w:ascii="宋体" w:hAnsi="宋体"/>
          <w:snapToGrid w:val="0"/>
          <w:kern w:val="0"/>
          <w:szCs w:val="21"/>
        </w:rPr>
        <w:t>时间，</w:t>
      </w:r>
      <w:r>
        <w:rPr>
          <w:rFonts w:hint="eastAsia" w:ascii="宋体" w:hAnsi="宋体"/>
          <w:snapToGrid w:val="0"/>
          <w:kern w:val="0"/>
          <w:szCs w:val="21"/>
        </w:rPr>
        <w:t>投标人应当在投标截止时间前，通过互联网使用CA数字证书登录重庆市电子招投标系统（https://ztb.cqggzy.com/CQTPBidder/memberLogin/，下同），将加密的电子投标文件上传。</w:t>
      </w:r>
    </w:p>
    <w:p w14:paraId="757BD436">
      <w:pPr>
        <w:autoSpaceDE w:val="0"/>
        <w:autoSpaceDN w:val="0"/>
        <w:adjustRightInd w:val="0"/>
        <w:snapToGrid w:val="0"/>
        <w:spacing w:line="450" w:lineRule="exact"/>
        <w:ind w:firstLine="420" w:firstLineChars="200"/>
        <w:rPr>
          <w:rFonts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未按要求加密的电子投标文件，将无法上传至重庆市电子招投标系统，逾期未完成投标文件上传的，视为撤回投标文件。</w:t>
      </w:r>
    </w:p>
    <w:p w14:paraId="2F445714">
      <w:pPr>
        <w:pStyle w:val="4"/>
        <w:spacing w:before="0" w:after="0" w:line="360" w:lineRule="auto"/>
        <w:rPr>
          <w:rFonts w:hint="eastAsia" w:ascii="宋体" w:hAnsi="宋体" w:cs="宋体"/>
          <w:bCs w:val="0"/>
          <w:snapToGrid w:val="0"/>
        </w:rPr>
      </w:pPr>
      <w:bookmarkStart w:id="82" w:name="_Toc10547"/>
      <w:bookmarkStart w:id="83" w:name="_Toc57795848"/>
      <w:r>
        <w:rPr>
          <w:rFonts w:hint="eastAsia" w:ascii="宋体" w:hAnsi="宋体" w:cs="宋体"/>
          <w:bCs w:val="0"/>
          <w:snapToGrid w:val="0"/>
        </w:rPr>
        <w:t>6. 发布公告的媒介</w:t>
      </w:r>
      <w:bookmarkEnd w:id="74"/>
      <w:bookmarkEnd w:id="75"/>
      <w:bookmarkEnd w:id="76"/>
      <w:bookmarkEnd w:id="77"/>
      <w:bookmarkEnd w:id="78"/>
      <w:bookmarkEnd w:id="79"/>
      <w:bookmarkEnd w:id="80"/>
      <w:bookmarkEnd w:id="81"/>
      <w:bookmarkEnd w:id="82"/>
      <w:bookmarkEnd w:id="83"/>
    </w:p>
    <w:p w14:paraId="36705402">
      <w:pPr>
        <w:tabs>
          <w:tab w:val="left" w:pos="4950"/>
        </w:tabs>
        <w:autoSpaceDE w:val="0"/>
        <w:autoSpaceDN w:val="0"/>
        <w:adjustRightInd w:val="0"/>
        <w:snapToGrid w:val="0"/>
        <w:spacing w:line="360" w:lineRule="auto"/>
        <w:ind w:firstLine="420" w:firstLineChars="200"/>
        <w:rPr>
          <w:rFonts w:hint="eastAsia" w:ascii="宋体" w:hAnsi="宋体"/>
          <w:snapToGrid w:val="0"/>
          <w:kern w:val="0"/>
          <w:szCs w:val="21"/>
        </w:rPr>
      </w:pPr>
      <w:bookmarkStart w:id="84" w:name="_Toc287607734"/>
      <w:bookmarkStart w:id="85" w:name="_Toc430530422"/>
      <w:bookmarkStart w:id="86" w:name="_Toc509218698"/>
      <w:bookmarkStart w:id="87" w:name="_Toc224103305"/>
      <w:bookmarkStart w:id="88" w:name="_Toc277082542"/>
      <w:bookmarkStart w:id="89" w:name="_Toc287620673"/>
      <w:r>
        <w:rPr>
          <w:rFonts w:ascii="宋体" w:hAnsi="宋体"/>
          <w:snapToGrid w:val="0"/>
          <w:kern w:val="0"/>
          <w:szCs w:val="21"/>
        </w:rPr>
        <w:t>本次招标公告同时在</w:t>
      </w:r>
      <w:r>
        <w:rPr>
          <w:rFonts w:hint="eastAsia" w:ascii="宋体" w:hAnsi="宋体" w:cs="宋体"/>
          <w:snapToGrid w:val="0"/>
          <w:kern w:val="0"/>
          <w:szCs w:val="21"/>
          <w:u w:val="single"/>
        </w:rPr>
        <w:t xml:space="preserve">        </w:t>
      </w:r>
      <w:r>
        <w:rPr>
          <w:rFonts w:ascii="宋体" w:hAnsi="宋体"/>
          <w:snapToGrid w:val="0"/>
          <w:kern w:val="0"/>
          <w:szCs w:val="21"/>
          <w:u w:val="single"/>
        </w:rPr>
        <w:t>（发布公告的媒介名称）</w:t>
      </w:r>
      <w:r>
        <w:rPr>
          <w:rFonts w:ascii="宋体" w:hAnsi="宋体"/>
          <w:snapToGrid w:val="0"/>
          <w:kern w:val="0"/>
          <w:szCs w:val="21"/>
        </w:rPr>
        <w:t>上发布。</w:t>
      </w:r>
    </w:p>
    <w:p w14:paraId="6826EBE0">
      <w:pPr>
        <w:tabs>
          <w:tab w:val="left" w:pos="4950"/>
        </w:tabs>
        <w:autoSpaceDE w:val="0"/>
        <w:autoSpaceDN w:val="0"/>
        <w:adjustRightInd w:val="0"/>
        <w:snapToGrid w:val="0"/>
        <w:spacing w:line="360" w:lineRule="auto"/>
        <w:ind w:firstLine="420" w:firstLineChars="200"/>
        <w:rPr>
          <w:rFonts w:hint="eastAsia" w:ascii="宋体" w:hAnsi="宋体"/>
          <w:snapToGrid w:val="0"/>
          <w:kern w:val="0"/>
          <w:szCs w:val="21"/>
        </w:rPr>
      </w:pPr>
      <w:r>
        <w:rPr>
          <w:rFonts w:hint="eastAsia" w:ascii="宋体" w:hAnsi="宋体"/>
          <w:i/>
          <w:snapToGrid w:val="0"/>
          <w:kern w:val="0"/>
          <w:szCs w:val="21"/>
        </w:rPr>
        <w:t>[提示：依法必须招标项目的招标公告，必须在重庆市公共资源交易监督网（</w:t>
      </w:r>
      <w:r>
        <w:rPr>
          <w:rFonts w:hint="eastAsia" w:ascii="宋体" w:hAnsi="宋体"/>
          <w:snapToGrid w:val="0"/>
          <w:kern w:val="0"/>
          <w:szCs w:val="21"/>
        </w:rPr>
        <w:t>http://ggzyjyjgj.cq.gov.cn/</w:t>
      </w:r>
      <w:r>
        <w:rPr>
          <w:rFonts w:hint="eastAsia" w:ascii="宋体" w:hAnsi="宋体"/>
          <w:i/>
          <w:snapToGrid w:val="0"/>
          <w:kern w:val="0"/>
          <w:szCs w:val="21"/>
        </w:rPr>
        <w:t>）发布。]</w:t>
      </w:r>
    </w:p>
    <w:p w14:paraId="1D932958">
      <w:pPr>
        <w:pStyle w:val="4"/>
        <w:spacing w:before="0" w:after="0" w:line="360" w:lineRule="auto"/>
        <w:rPr>
          <w:rFonts w:hint="eastAsia" w:ascii="宋体" w:hAnsi="宋体" w:cs="宋体"/>
          <w:bCs w:val="0"/>
          <w:snapToGrid w:val="0"/>
        </w:rPr>
      </w:pPr>
      <w:bookmarkStart w:id="90" w:name="_Toc20281"/>
      <w:bookmarkStart w:id="91" w:name="_Toc57795849"/>
      <w:r>
        <w:rPr>
          <w:rFonts w:hint="eastAsia" w:ascii="宋体" w:hAnsi="宋体" w:cs="宋体"/>
          <w:bCs w:val="0"/>
          <w:snapToGrid w:val="0"/>
        </w:rPr>
        <w:t>7. 异议、投诉</w:t>
      </w:r>
      <w:bookmarkEnd w:id="90"/>
    </w:p>
    <w:p w14:paraId="442E3EEB">
      <w:pPr>
        <w:widowControl/>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异议受理单位：</w:t>
      </w:r>
      <w:r>
        <w:rPr>
          <w:rFonts w:ascii="宋体" w:hAnsi="宋体"/>
          <w:snapToGrid w:val="0"/>
          <w:kern w:val="0"/>
          <w:szCs w:val="21"/>
          <w:u w:val="single"/>
        </w:rPr>
        <w:t xml:space="preserve">             </w:t>
      </w:r>
    </w:p>
    <w:p w14:paraId="1C4DCCEF">
      <w:pPr>
        <w:widowControl/>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联系电话：</w:t>
      </w:r>
      <w:r>
        <w:rPr>
          <w:rFonts w:ascii="宋体" w:hAnsi="宋体"/>
          <w:snapToGrid w:val="0"/>
          <w:kern w:val="0"/>
          <w:szCs w:val="21"/>
          <w:u w:val="single"/>
        </w:rPr>
        <w:t xml:space="preserve">                 </w:t>
      </w:r>
    </w:p>
    <w:p w14:paraId="4B8CE71F">
      <w:pPr>
        <w:widowControl/>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投诉受理部门：</w:t>
      </w:r>
      <w:r>
        <w:rPr>
          <w:rFonts w:ascii="宋体" w:hAnsi="宋体"/>
          <w:snapToGrid w:val="0"/>
          <w:kern w:val="0"/>
          <w:szCs w:val="21"/>
          <w:u w:val="single"/>
        </w:rPr>
        <w:t xml:space="preserve">             </w:t>
      </w:r>
    </w:p>
    <w:p w14:paraId="107F58B1">
      <w:pPr>
        <w:autoSpaceDE w:val="0"/>
        <w:autoSpaceDN w:val="0"/>
        <w:adjustRightInd w:val="0"/>
        <w:snapToGrid w:val="0"/>
        <w:spacing w:line="450" w:lineRule="exact"/>
        <w:ind w:firstLine="420" w:firstLineChars="200"/>
        <w:rPr>
          <w:rFonts w:ascii="宋体" w:hAnsi="宋体"/>
          <w:snapToGrid w:val="0"/>
          <w:kern w:val="0"/>
          <w:szCs w:val="21"/>
        </w:rPr>
      </w:pPr>
      <w:r>
        <w:rPr>
          <w:rFonts w:hint="eastAsia" w:ascii="宋体" w:hAnsi="宋体"/>
          <w:kern w:val="0"/>
          <w:szCs w:val="21"/>
        </w:rPr>
        <w:t>联系电话：</w:t>
      </w:r>
      <w:r>
        <w:rPr>
          <w:rFonts w:ascii="宋体" w:hAnsi="宋体"/>
          <w:snapToGrid w:val="0"/>
          <w:kern w:val="0"/>
          <w:szCs w:val="21"/>
          <w:u w:val="single"/>
        </w:rPr>
        <w:t xml:space="preserve">                  </w:t>
      </w:r>
    </w:p>
    <w:p w14:paraId="0AE56624">
      <w:pPr>
        <w:pStyle w:val="4"/>
        <w:spacing w:before="0" w:after="0" w:line="360" w:lineRule="auto"/>
        <w:rPr>
          <w:rFonts w:hint="eastAsia" w:ascii="宋体" w:hAnsi="宋体" w:cs="宋体"/>
          <w:bCs w:val="0"/>
          <w:snapToGrid w:val="0"/>
        </w:rPr>
      </w:pPr>
      <w:bookmarkStart w:id="92" w:name="_Toc3579"/>
      <w:r>
        <w:rPr>
          <w:rFonts w:hint="eastAsia" w:ascii="宋体" w:hAnsi="宋体" w:cs="宋体"/>
          <w:bCs w:val="0"/>
          <w:snapToGrid w:val="0"/>
        </w:rPr>
        <w:t xml:space="preserve">8. </w:t>
      </w:r>
      <w:bookmarkEnd w:id="84"/>
      <w:bookmarkEnd w:id="85"/>
      <w:bookmarkEnd w:id="86"/>
      <w:bookmarkEnd w:id="87"/>
      <w:bookmarkEnd w:id="88"/>
      <w:bookmarkEnd w:id="89"/>
      <w:bookmarkStart w:id="93" w:name="_Toc287620674"/>
      <w:bookmarkStart w:id="94" w:name="_Toc224103306"/>
      <w:bookmarkStart w:id="95" w:name="_Toc287607735"/>
      <w:bookmarkStart w:id="96" w:name="_Toc430530423"/>
      <w:r>
        <w:rPr>
          <w:rFonts w:hint="eastAsia" w:ascii="宋体" w:hAnsi="宋体" w:cs="宋体"/>
          <w:bCs w:val="0"/>
          <w:snapToGrid w:val="0"/>
        </w:rPr>
        <w:t>联系方式</w:t>
      </w:r>
      <w:bookmarkEnd w:id="91"/>
      <w:bookmarkEnd w:id="92"/>
    </w:p>
    <w:p w14:paraId="31A80BA4">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5382C71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40D5E3D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0FB0892F">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1B876E6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203B935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403E9D97">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22C2456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1BCD38C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687C9739">
      <w:pPr>
        <w:tabs>
          <w:tab w:val="left" w:pos="5140"/>
          <w:tab w:val="left" w:pos="8420"/>
        </w:tabs>
        <w:autoSpaceDE w:val="0"/>
        <w:autoSpaceDN w:val="0"/>
        <w:adjustRightInd w:val="0"/>
        <w:snapToGrid w:val="0"/>
        <w:spacing w:line="400" w:lineRule="exact"/>
        <w:jc w:val="left"/>
        <w:rPr>
          <w:rFonts w:ascii="宋体" w:hAnsi="宋体"/>
          <w:snapToGrid w:val="0"/>
          <w:kern w:val="0"/>
          <w:szCs w:val="21"/>
          <w:u w:val="single"/>
        </w:rPr>
      </w:pPr>
    </w:p>
    <w:p w14:paraId="5D3EC687">
      <w:pPr>
        <w:autoSpaceDE w:val="0"/>
        <w:autoSpaceDN w:val="0"/>
        <w:adjustRightInd w:val="0"/>
        <w:snapToGrid w:val="0"/>
        <w:spacing w:line="440" w:lineRule="exact"/>
        <w:ind w:firstLine="3906" w:firstLineChars="1860"/>
        <w:jc w:val="right"/>
        <w:rPr>
          <w:rFonts w:hint="eastAsia" w:ascii="宋体" w:hAnsi="宋体"/>
          <w:snapToGrid w:val="0"/>
          <w:kern w:val="0"/>
          <w:sz w:val="20"/>
          <w:szCs w:val="20"/>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2A9068DC">
      <w:pPr>
        <w:rPr>
          <w:rFonts w:ascii="宋体" w:hAnsi="宋体"/>
        </w:rPr>
      </w:pPr>
      <w:r>
        <w:rPr>
          <w:rFonts w:ascii="宋体" w:hAnsi="宋体"/>
        </w:rPr>
        <w:br w:type="page"/>
      </w:r>
    </w:p>
    <w:p w14:paraId="2EE468D1">
      <w:pPr>
        <w:pStyle w:val="3"/>
        <w:spacing w:line="360" w:lineRule="auto"/>
        <w:jc w:val="center"/>
        <w:rPr>
          <w:rFonts w:hint="eastAsia" w:ascii="宋体" w:hAnsi="宋体" w:cs="宋体"/>
          <w:b w:val="0"/>
          <w:snapToGrid w:val="0"/>
        </w:rPr>
      </w:pPr>
      <w:bookmarkStart w:id="97" w:name="_Toc509218699"/>
      <w:bookmarkStart w:id="98" w:name="_Toc57795850"/>
      <w:bookmarkStart w:id="99" w:name="_Toc29991"/>
      <w:r>
        <w:rPr>
          <w:rFonts w:hint="eastAsia" w:ascii="宋体" w:hAnsi="宋体" w:cs="宋体"/>
          <w:bCs w:val="0"/>
          <w:snapToGrid w:val="0"/>
        </w:rPr>
        <w:t>第一章  投标邀请书（适用于邀请招标）</w:t>
      </w:r>
      <w:bookmarkEnd w:id="93"/>
      <w:bookmarkEnd w:id="94"/>
      <w:bookmarkEnd w:id="95"/>
      <w:bookmarkEnd w:id="96"/>
      <w:bookmarkEnd w:id="97"/>
      <w:bookmarkEnd w:id="98"/>
      <w:bookmarkEnd w:id="99"/>
    </w:p>
    <w:p w14:paraId="40B244DB">
      <w:pPr>
        <w:tabs>
          <w:tab w:val="left" w:pos="3425"/>
          <w:tab w:val="left" w:pos="5520"/>
        </w:tabs>
        <w:autoSpaceDE w:val="0"/>
        <w:autoSpaceDN w:val="0"/>
        <w:adjustRightInd w:val="0"/>
        <w:snapToGrid w:val="0"/>
        <w:spacing w:line="450" w:lineRule="exact"/>
        <w:jc w:val="center"/>
        <w:rPr>
          <w:rFonts w:ascii="宋体" w:hAnsi="宋体"/>
          <w:kern w:val="0"/>
          <w:sz w:val="28"/>
          <w:szCs w:val="28"/>
        </w:rPr>
      </w:pPr>
      <w:bookmarkStart w:id="100" w:name="_Toc224103307"/>
      <w:bookmarkStart w:id="101" w:name="_Toc509218700"/>
      <w:bookmarkStart w:id="102" w:name="_Toc277082543"/>
      <w:bookmarkStart w:id="103" w:name="_Toc287620675"/>
      <w:bookmarkStart w:id="104" w:name="_Toc287607736"/>
      <w:bookmarkStart w:id="105" w:name="_Toc430530424"/>
      <w:r>
        <w:rPr>
          <w:rFonts w:hint="eastAsia" w:ascii="宋体" w:hAnsi="宋体"/>
          <w:snapToGrid w:val="0"/>
          <w:kern w:val="0"/>
          <w:szCs w:val="21"/>
          <w:u w:val="single"/>
        </w:rPr>
        <w:t xml:space="preserve">                 </w:t>
      </w:r>
      <w:r>
        <w:rPr>
          <w:rFonts w:ascii="宋体" w:hAnsi="宋体"/>
          <w:sz w:val="28"/>
          <w:szCs w:val="28"/>
          <w:u w:val="single"/>
        </w:rPr>
        <w:t>（项目名称）</w:t>
      </w:r>
      <w:r>
        <w:rPr>
          <w:rFonts w:ascii="宋体" w:hAnsi="宋体"/>
          <w:w w:val="99"/>
          <w:kern w:val="0"/>
          <w:sz w:val="28"/>
          <w:szCs w:val="28"/>
        </w:rPr>
        <w:t>投标邀请书</w:t>
      </w:r>
    </w:p>
    <w:p w14:paraId="12B51A64">
      <w:pPr>
        <w:tabs>
          <w:tab w:val="left" w:pos="2940"/>
        </w:tabs>
        <w:autoSpaceDE w:val="0"/>
        <w:autoSpaceDN w:val="0"/>
        <w:adjustRightInd w:val="0"/>
        <w:snapToGrid w:val="0"/>
        <w:spacing w:line="450" w:lineRule="exact"/>
        <w:jc w:val="left"/>
        <w:rPr>
          <w:rFonts w:ascii="宋体" w:hAnsi="宋体"/>
          <w:b/>
          <w:snapToGrid w:val="0"/>
          <w:sz w:val="28"/>
          <w:szCs w:val="28"/>
        </w:rPr>
      </w:pPr>
      <w:r>
        <w:rPr>
          <w:rFonts w:hint="eastAsia" w:ascii="宋体" w:hAnsi="宋体"/>
          <w:snapToGrid w:val="0"/>
          <w:kern w:val="0"/>
          <w:szCs w:val="21"/>
          <w:u w:val="single"/>
        </w:rPr>
        <w:t xml:space="preserve">                 </w:t>
      </w:r>
      <w:r>
        <w:rPr>
          <w:rFonts w:ascii="宋体" w:hAnsi="宋体"/>
          <w:snapToGrid w:val="0"/>
          <w:kern w:val="0"/>
          <w:szCs w:val="21"/>
          <w:u w:val="single"/>
        </w:rPr>
        <w:t>（被邀请单位名称）</w:t>
      </w:r>
      <w:r>
        <w:rPr>
          <w:rFonts w:ascii="宋体" w:hAnsi="宋体"/>
          <w:b/>
          <w:snapToGrid w:val="0"/>
          <w:kern w:val="0"/>
          <w:szCs w:val="21"/>
        </w:rPr>
        <w:t>：</w:t>
      </w:r>
      <w:r>
        <w:rPr>
          <w:rFonts w:ascii="宋体" w:hAnsi="宋体"/>
          <w:snapToGrid w:val="0"/>
          <w:kern w:val="0"/>
          <w:szCs w:val="21"/>
        </w:rPr>
        <w:t xml:space="preserve"> </w:t>
      </w:r>
    </w:p>
    <w:p w14:paraId="50035670">
      <w:pPr>
        <w:pStyle w:val="4"/>
        <w:spacing w:before="0" w:after="0" w:line="360" w:lineRule="auto"/>
        <w:rPr>
          <w:rFonts w:hint="eastAsia" w:ascii="宋体" w:hAnsi="宋体" w:cs="宋体"/>
          <w:snapToGrid w:val="0"/>
        </w:rPr>
      </w:pPr>
      <w:bookmarkStart w:id="106" w:name="_Toc29564"/>
      <w:bookmarkStart w:id="107" w:name="_Toc57795851"/>
      <w:r>
        <w:rPr>
          <w:rFonts w:hint="eastAsia" w:ascii="宋体" w:hAnsi="宋体" w:cs="宋体"/>
          <w:snapToGrid w:val="0"/>
        </w:rPr>
        <w:t>1. 招标条件</w:t>
      </w:r>
      <w:bookmarkEnd w:id="100"/>
      <w:bookmarkEnd w:id="101"/>
      <w:bookmarkEnd w:id="102"/>
      <w:bookmarkEnd w:id="103"/>
      <w:bookmarkEnd w:id="104"/>
      <w:bookmarkEnd w:id="105"/>
      <w:bookmarkEnd w:id="106"/>
      <w:bookmarkEnd w:id="107"/>
    </w:p>
    <w:p w14:paraId="36900E6C">
      <w:pPr>
        <w:tabs>
          <w:tab w:val="left" w:pos="4305"/>
          <w:tab w:val="left" w:pos="4640"/>
          <w:tab w:val="left" w:pos="7240"/>
        </w:tabs>
        <w:autoSpaceDE w:val="0"/>
        <w:autoSpaceDN w:val="0"/>
        <w:adjustRightInd w:val="0"/>
        <w:snapToGrid w:val="0"/>
        <w:spacing w:line="450" w:lineRule="exact"/>
        <w:ind w:firstLine="420"/>
        <w:rPr>
          <w:rFonts w:ascii="宋体" w:hAnsi="宋体"/>
          <w:snapToGrid w:val="0"/>
          <w:kern w:val="0"/>
          <w:szCs w:val="21"/>
        </w:rPr>
      </w:pPr>
      <w:bookmarkStart w:id="108" w:name="_Toc509218701"/>
      <w:bookmarkStart w:id="109" w:name="_Toc287607737"/>
      <w:bookmarkStart w:id="110" w:name="_Toc430530425"/>
      <w:bookmarkStart w:id="111" w:name="_Toc287620676"/>
      <w:bookmarkStart w:id="112" w:name="_Toc224103308"/>
      <w:bookmarkStart w:id="113" w:name="_Toc277082544"/>
      <w:r>
        <w:rPr>
          <w:rFonts w:ascii="宋体" w:hAnsi="宋体"/>
          <w:snapToGrid w:val="0"/>
          <w:kern w:val="0"/>
          <w:szCs w:val="21"/>
        </w:rPr>
        <w:t>本招标项目</w:t>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已由</w:t>
      </w:r>
      <w:r>
        <w:rPr>
          <w:rFonts w:hint="eastAsia" w:ascii="宋体" w:hAnsi="宋体"/>
          <w:snapToGrid w:val="0"/>
          <w:kern w:val="0"/>
          <w:szCs w:val="21"/>
          <w:u w:val="single"/>
        </w:rPr>
        <w:t xml:space="preserve">          </w:t>
      </w:r>
      <w:r>
        <w:rPr>
          <w:rFonts w:hint="eastAsia" w:ascii="宋体" w:hAnsi="宋体"/>
          <w:snapToGrid w:val="0"/>
          <w:kern w:val="0"/>
          <w:szCs w:val="21"/>
        </w:rPr>
        <w:t>列入     计划，由</w:t>
      </w:r>
      <w:r>
        <w:rPr>
          <w:rFonts w:hint="eastAsia" w:ascii="宋体" w:hAnsi="宋体"/>
          <w:snapToGrid w:val="0"/>
          <w:kern w:val="0"/>
          <w:szCs w:val="21"/>
          <w:u w:val="single"/>
        </w:rPr>
        <w:t xml:space="preserve">       </w:t>
      </w:r>
      <w:r>
        <w:rPr>
          <w:rFonts w:hint="eastAsia" w:ascii="宋体" w:hAnsi="宋体"/>
          <w:snapToGrid w:val="0"/>
          <w:kern w:val="0"/>
          <w:szCs w:val="21"/>
        </w:rPr>
        <w:t>以</w:t>
      </w:r>
      <w:r>
        <w:rPr>
          <w:rFonts w:hint="eastAsia" w:ascii="宋体" w:hAnsi="宋体"/>
          <w:snapToGrid w:val="0"/>
          <w:kern w:val="0"/>
          <w:szCs w:val="21"/>
          <w:u w:val="single"/>
        </w:rPr>
        <w:t xml:space="preserve">   （批文文号/文件文号）</w:t>
      </w:r>
      <w:r>
        <w:rPr>
          <w:rFonts w:ascii="宋体" w:hAnsi="宋体"/>
          <w:snapToGrid w:val="0"/>
          <w:kern w:val="0"/>
          <w:szCs w:val="21"/>
        </w:rPr>
        <w:t>批准建设，项目业主为</w:t>
      </w:r>
      <w:r>
        <w:rPr>
          <w:rFonts w:hint="eastAsia" w:ascii="宋体" w:hAnsi="宋体"/>
          <w:snapToGrid w:val="0"/>
          <w:kern w:val="0"/>
          <w:szCs w:val="21"/>
          <w:u w:val="single"/>
        </w:rPr>
        <w:t xml:space="preserve">                 </w:t>
      </w:r>
      <w:r>
        <w:rPr>
          <w:rFonts w:ascii="宋体" w:hAnsi="宋体"/>
          <w:snapToGrid w:val="0"/>
          <w:kern w:val="0"/>
          <w:szCs w:val="21"/>
        </w:rPr>
        <w:t>，建设资金来自</w:t>
      </w:r>
      <w:r>
        <w:rPr>
          <w:rFonts w:hint="eastAsia" w:ascii="宋体" w:hAnsi="宋体"/>
          <w:snapToGrid w:val="0"/>
          <w:kern w:val="0"/>
          <w:szCs w:val="21"/>
          <w:u w:val="single"/>
        </w:rPr>
        <w:t xml:space="preserve">         </w:t>
      </w:r>
      <w:r>
        <w:rPr>
          <w:rFonts w:ascii="宋体" w:hAnsi="宋体"/>
          <w:snapToGrid w:val="0"/>
          <w:kern w:val="0"/>
          <w:szCs w:val="21"/>
          <w:u w:val="single"/>
        </w:rPr>
        <w:t>（资金来源）</w:t>
      </w:r>
      <w:r>
        <w:rPr>
          <w:rFonts w:ascii="宋体" w:hAnsi="宋体"/>
          <w:snapToGrid w:val="0"/>
          <w:kern w:val="0"/>
          <w:szCs w:val="21"/>
        </w:rPr>
        <w:t>，出资比例为</w:t>
      </w:r>
      <w:r>
        <w:rPr>
          <w:rFonts w:hint="eastAsia" w:ascii="宋体" w:hAnsi="宋体"/>
          <w:snapToGrid w:val="0"/>
          <w:kern w:val="0"/>
          <w:szCs w:val="21"/>
          <w:u w:val="single"/>
        </w:rPr>
        <w:t xml:space="preserve">                 </w:t>
      </w:r>
      <w:r>
        <w:rPr>
          <w:rFonts w:ascii="宋体" w:hAnsi="宋体"/>
          <w:snapToGrid w:val="0"/>
          <w:kern w:val="0"/>
          <w:szCs w:val="21"/>
        </w:rPr>
        <w:t>，招标人为</w:t>
      </w:r>
      <w:r>
        <w:rPr>
          <w:rFonts w:hint="eastAsia" w:ascii="宋体" w:hAnsi="宋体"/>
          <w:snapToGrid w:val="0"/>
          <w:kern w:val="0"/>
          <w:szCs w:val="21"/>
          <w:u w:val="single"/>
        </w:rPr>
        <w:t xml:space="preserve">                 </w:t>
      </w:r>
      <w:r>
        <w:rPr>
          <w:rFonts w:ascii="宋体" w:hAnsi="宋体"/>
          <w:snapToGrid w:val="0"/>
          <w:kern w:val="0"/>
          <w:szCs w:val="21"/>
        </w:rPr>
        <w:t>。项目已具备招标条件，现邀请你单位参加</w:t>
      </w:r>
      <w:r>
        <w:rPr>
          <w:rFonts w:hint="eastAsia" w:ascii="宋体" w:hAnsi="宋体"/>
          <w:snapToGrid w:val="0"/>
          <w:kern w:val="0"/>
          <w:szCs w:val="21"/>
        </w:rPr>
        <w:t>该项目</w:t>
      </w:r>
      <w:r>
        <w:rPr>
          <w:rFonts w:ascii="宋体" w:hAnsi="宋体"/>
          <w:snapToGrid w:val="0"/>
          <w:kern w:val="0"/>
          <w:szCs w:val="21"/>
        </w:rPr>
        <w:t>投标。</w:t>
      </w:r>
    </w:p>
    <w:p w14:paraId="64E03E46">
      <w:pPr>
        <w:pStyle w:val="4"/>
        <w:spacing w:before="0" w:after="0" w:line="360" w:lineRule="auto"/>
        <w:rPr>
          <w:rFonts w:hint="eastAsia" w:ascii="宋体" w:hAnsi="宋体" w:cs="宋体"/>
          <w:bCs w:val="0"/>
          <w:snapToGrid w:val="0"/>
        </w:rPr>
      </w:pPr>
      <w:bookmarkStart w:id="114" w:name="_Toc16990"/>
      <w:bookmarkStart w:id="115" w:name="_Toc57795852"/>
      <w:r>
        <w:rPr>
          <w:rFonts w:hint="eastAsia" w:ascii="宋体" w:hAnsi="宋体" w:cs="宋体"/>
          <w:bCs w:val="0"/>
          <w:snapToGrid w:val="0"/>
        </w:rPr>
        <w:t>2. 项目概况与招标范围</w:t>
      </w:r>
      <w:bookmarkEnd w:id="108"/>
      <w:bookmarkEnd w:id="109"/>
      <w:bookmarkEnd w:id="110"/>
      <w:bookmarkEnd w:id="111"/>
      <w:bookmarkEnd w:id="112"/>
      <w:bookmarkEnd w:id="113"/>
      <w:bookmarkEnd w:id="114"/>
      <w:bookmarkEnd w:id="115"/>
    </w:p>
    <w:p w14:paraId="1EADDC7D">
      <w:pPr>
        <w:spacing w:line="360" w:lineRule="auto"/>
        <w:ind w:firstLine="420" w:firstLineChars="200"/>
        <w:rPr>
          <w:rFonts w:hint="eastAsia" w:ascii="宋体" w:hAnsi="宋体" w:cs="宋体"/>
          <w:snapToGrid w:val="0"/>
          <w:kern w:val="0"/>
          <w:szCs w:val="21"/>
        </w:rPr>
      </w:pPr>
      <w:bookmarkStart w:id="116" w:name="_Toc277082545"/>
      <w:bookmarkStart w:id="117" w:name="_Toc224103309"/>
      <w:bookmarkStart w:id="118" w:name="_Toc509218702"/>
      <w:bookmarkStart w:id="119" w:name="_Toc287620677"/>
      <w:bookmarkStart w:id="120" w:name="_Toc287607738"/>
      <w:bookmarkStart w:id="121" w:name="_Toc430530426"/>
      <w:r>
        <w:rPr>
          <w:rFonts w:hint="eastAsia" w:ascii="宋体" w:hAnsi="宋体" w:cs="宋体"/>
          <w:snapToGrid w:val="0"/>
          <w:kern w:val="0"/>
          <w:szCs w:val="21"/>
        </w:rPr>
        <w:t>2</w:t>
      </w:r>
      <w:r>
        <w:rPr>
          <w:rFonts w:ascii="宋体" w:hAnsi="宋体" w:cs="宋体"/>
          <w:snapToGrid w:val="0"/>
          <w:kern w:val="0"/>
          <w:szCs w:val="21"/>
        </w:rPr>
        <w:t>.1</w:t>
      </w:r>
      <w:r>
        <w:rPr>
          <w:rFonts w:hint="eastAsia" w:ascii="宋体" w:hAnsi="宋体" w:cs="宋体"/>
          <w:snapToGrid w:val="0"/>
          <w:kern w:val="0"/>
          <w:szCs w:val="21"/>
        </w:rPr>
        <w:t xml:space="preserve"> </w:t>
      </w:r>
      <w:r>
        <w:rPr>
          <w:rFonts w:ascii="宋体" w:hAnsi="宋体" w:cs="宋体"/>
          <w:snapToGrid w:val="0"/>
          <w:kern w:val="0"/>
          <w:szCs w:val="21"/>
        </w:rPr>
        <w:t>建设地点：</w:t>
      </w:r>
      <w:r>
        <w:rPr>
          <w:rFonts w:hint="eastAsia" w:ascii="宋体" w:hAnsi="宋体" w:cs="宋体"/>
          <w:snapToGrid w:val="0"/>
          <w:kern w:val="0"/>
          <w:szCs w:val="21"/>
          <w:u w:val="single"/>
        </w:rPr>
        <w:t xml:space="preserve">        </w:t>
      </w:r>
    </w:p>
    <w:p w14:paraId="5C5967B2">
      <w:pPr>
        <w:spacing w:line="360" w:lineRule="auto"/>
        <w:ind w:firstLine="420" w:firstLineChars="200"/>
        <w:rPr>
          <w:rFonts w:hint="eastAsia" w:ascii="宋体" w:hAnsi="宋体"/>
          <w:i/>
          <w:szCs w:val="21"/>
        </w:rPr>
      </w:pPr>
      <w:r>
        <w:rPr>
          <w:rFonts w:hint="eastAsia" w:ascii="宋体" w:hAnsi="宋体"/>
          <w:i/>
          <w:szCs w:val="21"/>
        </w:rPr>
        <w:t>[提示：填写公路线路的起止地点及途径的主要节点]</w:t>
      </w:r>
    </w:p>
    <w:p w14:paraId="63441DE4">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.2</w:t>
      </w:r>
      <w:r>
        <w:rPr>
          <w:rFonts w:hint="eastAsia" w:ascii="宋体" w:hAnsi="宋体" w:cs="宋体"/>
          <w:snapToGrid w:val="0"/>
          <w:kern w:val="0"/>
          <w:szCs w:val="21"/>
        </w:rPr>
        <w:t xml:space="preserve"> 项目概况与</w:t>
      </w:r>
      <w:r>
        <w:rPr>
          <w:rFonts w:ascii="宋体" w:hAnsi="宋体" w:cs="宋体"/>
          <w:snapToGrid w:val="0"/>
          <w:kern w:val="0"/>
          <w:szCs w:val="21"/>
        </w:rPr>
        <w:t>建设规模：</w:t>
      </w:r>
      <w:r>
        <w:rPr>
          <w:rFonts w:hint="eastAsia" w:ascii="宋体" w:hAnsi="宋体" w:cs="宋体"/>
          <w:snapToGrid w:val="0"/>
          <w:kern w:val="0"/>
          <w:szCs w:val="21"/>
          <w:u w:val="single"/>
        </w:rPr>
        <w:t xml:space="preserve">        </w:t>
      </w:r>
    </w:p>
    <w:p w14:paraId="5F45DBE0">
      <w:pPr>
        <w:spacing w:line="360" w:lineRule="auto"/>
        <w:ind w:firstLine="420" w:firstLineChars="200"/>
        <w:rPr>
          <w:rFonts w:ascii="宋体" w:hAnsi="宋体"/>
          <w:i/>
          <w:szCs w:val="21"/>
        </w:rPr>
      </w:pPr>
      <w:r>
        <w:rPr>
          <w:rFonts w:hint="eastAsia" w:ascii="宋体" w:hAnsi="宋体"/>
          <w:i/>
          <w:szCs w:val="21"/>
        </w:rPr>
        <w:t>[提示：</w:t>
      </w:r>
      <w:r>
        <w:rPr>
          <w:rFonts w:hint="eastAsia" w:ascii="宋体" w:hAnsi="宋体"/>
          <w:i/>
          <w:snapToGrid w:val="0"/>
          <w:kern w:val="0"/>
          <w:szCs w:val="21"/>
        </w:rPr>
        <w:t>若设置投标人业绩资格条件，业绩</w:t>
      </w:r>
      <w:r>
        <w:rPr>
          <w:rFonts w:ascii="宋体" w:hAnsi="宋体"/>
          <w:i/>
          <w:snapToGrid w:val="0"/>
          <w:kern w:val="0"/>
          <w:szCs w:val="21"/>
        </w:rPr>
        <w:t>的</w:t>
      </w:r>
      <w:r>
        <w:rPr>
          <w:rFonts w:hint="eastAsia" w:ascii="宋体" w:hAnsi="宋体"/>
          <w:i/>
          <w:snapToGrid w:val="0"/>
          <w:kern w:val="0"/>
          <w:szCs w:val="21"/>
        </w:rPr>
        <w:t>工程</w:t>
      </w:r>
      <w:r>
        <w:rPr>
          <w:rFonts w:ascii="宋体" w:hAnsi="宋体"/>
          <w:i/>
          <w:snapToGrid w:val="0"/>
          <w:kern w:val="0"/>
          <w:szCs w:val="21"/>
        </w:rPr>
        <w:t>规模</w:t>
      </w:r>
      <w:r>
        <w:rPr>
          <w:rFonts w:hint="eastAsia" w:ascii="宋体" w:hAnsi="宋体"/>
          <w:i/>
          <w:snapToGrid w:val="0"/>
          <w:kern w:val="0"/>
          <w:szCs w:val="21"/>
        </w:rPr>
        <w:t>类别</w:t>
      </w:r>
      <w:r>
        <w:rPr>
          <w:rFonts w:ascii="宋体" w:hAnsi="宋体"/>
          <w:i/>
          <w:snapToGrid w:val="0"/>
          <w:kern w:val="0"/>
          <w:szCs w:val="21"/>
        </w:rPr>
        <w:t>应与本招标</w:t>
      </w:r>
      <w:r>
        <w:rPr>
          <w:rFonts w:hint="eastAsia" w:ascii="宋体" w:hAnsi="宋体"/>
          <w:i/>
          <w:snapToGrid w:val="0"/>
          <w:kern w:val="0"/>
          <w:szCs w:val="21"/>
        </w:rPr>
        <w:t>项目的工程规模类别相对应，</w:t>
      </w:r>
      <w:r>
        <w:rPr>
          <w:rFonts w:hint="eastAsia" w:ascii="宋体" w:hAnsi="宋体"/>
          <w:i/>
          <w:szCs w:val="21"/>
        </w:rPr>
        <w:t>建设规模包括但不限于：公路里程长度、公路等级、路面厚度及结构形式、重要构造物数量及结构形式（如桥梁、隧道）等。]</w:t>
      </w:r>
    </w:p>
    <w:p w14:paraId="3767DE4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kern w:val="0"/>
          <w:szCs w:val="21"/>
          <w:u w:val="single"/>
        </w:rPr>
      </w:pPr>
      <w:r>
        <w:rPr>
          <w:rFonts w:hint="eastAsia" w:ascii="宋体" w:hAnsi="宋体"/>
          <w:snapToGrid w:val="0"/>
          <w:kern w:val="0"/>
          <w:szCs w:val="21"/>
        </w:rPr>
        <w:t>2.3 □本次招标项目工程总投资额：</w:t>
      </w:r>
      <w:r>
        <w:rPr>
          <w:rFonts w:hint="eastAsia" w:ascii="宋体" w:hAnsi="宋体"/>
          <w:snapToGrid w:val="0"/>
          <w:kern w:val="0"/>
          <w:szCs w:val="21"/>
          <w:u w:val="single"/>
        </w:rPr>
        <w:t xml:space="preserve">        </w:t>
      </w:r>
    </w:p>
    <w:p w14:paraId="11B40C2E">
      <w:pPr>
        <w:tabs>
          <w:tab w:val="left" w:pos="3840"/>
          <w:tab w:val="left" w:pos="5300"/>
        </w:tabs>
        <w:autoSpaceDE w:val="0"/>
        <w:autoSpaceDN w:val="0"/>
        <w:adjustRightInd w:val="0"/>
        <w:snapToGrid w:val="0"/>
        <w:spacing w:line="460" w:lineRule="exact"/>
        <w:ind w:firstLine="840" w:firstLineChars="400"/>
        <w:jc w:val="left"/>
        <w:rPr>
          <w:rFonts w:hint="eastAsia" w:ascii="宋体" w:hAnsi="宋体" w:cs="宋体"/>
          <w:snapToGrid w:val="0"/>
          <w:kern w:val="0"/>
          <w:szCs w:val="21"/>
        </w:rPr>
      </w:pPr>
      <w:r>
        <w:rPr>
          <w:rFonts w:hint="eastAsia" w:ascii="宋体" w:hAnsi="宋体"/>
          <w:snapToGrid w:val="0"/>
          <w:kern w:val="0"/>
          <w:szCs w:val="21"/>
        </w:rPr>
        <w:t>□本次招标项目合同估算金额：</w:t>
      </w:r>
      <w:r>
        <w:rPr>
          <w:rFonts w:hint="eastAsia" w:ascii="宋体" w:hAnsi="宋体"/>
          <w:snapToGrid w:val="0"/>
          <w:kern w:val="0"/>
          <w:szCs w:val="21"/>
          <w:u w:val="single"/>
        </w:rPr>
        <w:t xml:space="preserve">        </w:t>
      </w:r>
    </w:p>
    <w:p w14:paraId="2694D98F">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4 </w:t>
      </w:r>
      <w:r>
        <w:rPr>
          <w:rFonts w:ascii="宋体" w:hAnsi="宋体" w:cs="宋体"/>
          <w:snapToGrid w:val="0"/>
          <w:kern w:val="0"/>
          <w:szCs w:val="21"/>
        </w:rPr>
        <w:t>招标范围：</w:t>
      </w:r>
      <w:r>
        <w:rPr>
          <w:rFonts w:hint="eastAsia" w:ascii="宋体" w:hAnsi="宋体"/>
          <w:snapToGrid w:val="0"/>
          <w:kern w:val="0"/>
          <w:szCs w:val="21"/>
          <w:u w:val="single"/>
        </w:rPr>
        <w:t xml:space="preserve">          </w:t>
      </w:r>
      <w:r>
        <w:rPr>
          <w:rFonts w:hint="eastAsia" w:ascii="宋体" w:hAnsi="宋体"/>
          <w:snapToGrid w:val="0"/>
          <w:kern w:val="0"/>
          <w:szCs w:val="21"/>
        </w:rPr>
        <w:t>。</w:t>
      </w:r>
    </w:p>
    <w:p w14:paraId="32C31673">
      <w:pPr>
        <w:spacing w:line="360" w:lineRule="auto"/>
        <w:ind w:firstLine="420" w:firstLineChars="200"/>
        <w:rPr>
          <w:rFonts w:ascii="宋体" w:hAnsi="宋体"/>
          <w:i/>
          <w:szCs w:val="21"/>
        </w:rPr>
      </w:pPr>
      <w:r>
        <w:rPr>
          <w:rFonts w:hint="eastAsia" w:ascii="宋体" w:hAnsi="宋体"/>
          <w:i/>
          <w:szCs w:val="21"/>
        </w:rPr>
        <w:t>[提示：招标范围应准确明了，按照项目审批、核准、备案文件采用工程专业术语进行填写。]</w:t>
      </w:r>
    </w:p>
    <w:p w14:paraId="501ECDBE">
      <w:pPr>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5 </w:t>
      </w:r>
      <w:r>
        <w:rPr>
          <w:rFonts w:ascii="宋体" w:hAnsi="宋体" w:cs="宋体"/>
          <w:snapToGrid w:val="0"/>
          <w:kern w:val="0"/>
          <w:szCs w:val="21"/>
        </w:rPr>
        <w:t>工期要求：</w:t>
      </w:r>
      <w:r>
        <w:rPr>
          <w:rFonts w:hint="eastAsia" w:ascii="宋体" w:hAnsi="宋体" w:cs="宋体"/>
          <w:snapToGrid w:val="0"/>
          <w:kern w:val="0"/>
          <w:szCs w:val="21"/>
          <w:u w:val="single"/>
        </w:rPr>
        <w:t xml:space="preserve">        日历天</w:t>
      </w:r>
    </w:p>
    <w:p w14:paraId="77CB6DD4">
      <w:pPr>
        <w:spacing w:line="360" w:lineRule="auto"/>
        <w:ind w:firstLine="840" w:firstLineChars="400"/>
        <w:rPr>
          <w:rFonts w:hint="eastAsia"/>
        </w:rPr>
      </w:pPr>
      <w:r>
        <w:rPr>
          <w:rFonts w:hint="eastAsia" w:ascii="宋体" w:hAnsi="宋体" w:cs="宋体"/>
          <w:snapToGrid w:val="0"/>
          <w:kern w:val="0"/>
          <w:szCs w:val="21"/>
        </w:rPr>
        <w:t>缺陷责任期要求：</w:t>
      </w:r>
      <w:r>
        <w:rPr>
          <w:rFonts w:hint="eastAsia" w:ascii="宋体" w:hAnsi="宋体" w:cs="宋体"/>
          <w:snapToGrid w:val="0"/>
          <w:kern w:val="0"/>
          <w:szCs w:val="21"/>
          <w:u w:val="single"/>
        </w:rPr>
        <w:t xml:space="preserve">     </w:t>
      </w:r>
      <w:r>
        <w:rPr>
          <w:rFonts w:hint="eastAsia"/>
          <w:u w:val="single"/>
        </w:rPr>
        <w:t xml:space="preserve">   个月</w:t>
      </w:r>
    </w:p>
    <w:p w14:paraId="46198773">
      <w:pPr>
        <w:spacing w:line="360" w:lineRule="auto"/>
        <w:ind w:firstLine="420" w:firstLineChars="200"/>
        <w:rPr>
          <w:rFonts w:hint="eastAsia" w:ascii="宋体" w:hAnsi="宋体" w:cs="宋体"/>
          <w:snapToGrid w:val="0"/>
          <w:kern w:val="0"/>
          <w:szCs w:val="21"/>
          <w:u w:val="single"/>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 xml:space="preserve">6 </w:t>
      </w:r>
      <w:r>
        <w:rPr>
          <w:rFonts w:ascii="宋体" w:hAnsi="宋体" w:cs="宋体"/>
          <w:snapToGrid w:val="0"/>
          <w:kern w:val="0"/>
          <w:szCs w:val="21"/>
        </w:rPr>
        <w:t>标段划分（如有）：</w:t>
      </w:r>
      <w:r>
        <w:rPr>
          <w:rFonts w:hint="eastAsia" w:ascii="宋体" w:hAnsi="宋体" w:cs="宋体"/>
          <w:snapToGrid w:val="0"/>
          <w:kern w:val="0"/>
          <w:szCs w:val="21"/>
          <w:u w:val="single"/>
        </w:rPr>
        <w:t xml:space="preserve">        </w:t>
      </w:r>
    </w:p>
    <w:p w14:paraId="6B6E69BB">
      <w:pPr>
        <w:spacing w:line="360" w:lineRule="auto"/>
        <w:ind w:firstLine="420" w:firstLineChars="200"/>
        <w:rPr>
          <w:rFonts w:hint="eastAsia" w:ascii="宋体" w:hAnsi="宋体" w:cs="宋体"/>
          <w:snapToGrid w:val="0"/>
          <w:kern w:val="0"/>
          <w:szCs w:val="21"/>
        </w:rPr>
      </w:pPr>
      <w:r>
        <w:rPr>
          <w:rFonts w:hint="eastAsia" w:ascii="宋体" w:hAnsi="宋体"/>
          <w:i/>
          <w:szCs w:val="21"/>
        </w:rPr>
        <w:t>[提示：根据公路养护工程项目特点，按照有利于施工组织和管理、各专业衔接与配合等原则，可采取按整条路线或片、区域打捆方式划分标段，也可按年度周期、路段里程和工程类别划分标段，但不得利用划分标段限制或排斥潜在投标人，不得通过划分标段规避招标。]</w:t>
      </w:r>
    </w:p>
    <w:p w14:paraId="2D0D08EE">
      <w:pPr>
        <w:spacing w:line="360" w:lineRule="auto"/>
        <w:ind w:firstLine="420" w:firstLineChars="200"/>
        <w:rPr>
          <w:rFonts w:hint="eastAsia" w:ascii="宋体" w:hAnsi="宋体" w:cs="宋体"/>
          <w:snapToGrid w:val="0"/>
          <w:kern w:val="0"/>
          <w:szCs w:val="21"/>
          <w:u w:val="single"/>
        </w:rPr>
      </w:pPr>
      <w:r>
        <w:rPr>
          <w:rFonts w:hint="eastAsia" w:ascii="宋体" w:hAnsi="宋体" w:cs="宋体"/>
          <w:snapToGrid w:val="0"/>
          <w:kern w:val="0"/>
          <w:szCs w:val="21"/>
        </w:rPr>
        <w:t>2</w:t>
      </w:r>
      <w:r>
        <w:rPr>
          <w:rFonts w:ascii="宋体" w:hAnsi="宋体" w:cs="宋体"/>
          <w:snapToGrid w:val="0"/>
          <w:kern w:val="0"/>
          <w:szCs w:val="21"/>
        </w:rPr>
        <w:t>.</w:t>
      </w:r>
      <w:r>
        <w:rPr>
          <w:rFonts w:hint="eastAsia" w:ascii="宋体" w:hAnsi="宋体" w:cs="宋体"/>
          <w:snapToGrid w:val="0"/>
          <w:kern w:val="0"/>
          <w:szCs w:val="21"/>
        </w:rPr>
        <w:t>7 其他</w:t>
      </w:r>
      <w:r>
        <w:rPr>
          <w:rFonts w:ascii="宋体" w:hAnsi="宋体" w:cs="宋体"/>
          <w:snapToGrid w:val="0"/>
          <w:kern w:val="0"/>
          <w:szCs w:val="21"/>
        </w:rPr>
        <w:t>：</w:t>
      </w:r>
      <w:r>
        <w:rPr>
          <w:rFonts w:hint="eastAsia" w:ascii="宋体" w:hAnsi="宋体" w:cs="宋体"/>
          <w:snapToGrid w:val="0"/>
          <w:kern w:val="0"/>
          <w:szCs w:val="21"/>
          <w:u w:val="single"/>
        </w:rPr>
        <w:t xml:space="preserve">        </w:t>
      </w:r>
    </w:p>
    <w:p w14:paraId="36C99848">
      <w:pPr>
        <w:pStyle w:val="4"/>
        <w:spacing w:before="0" w:after="0" w:line="360" w:lineRule="auto"/>
        <w:rPr>
          <w:rFonts w:hint="eastAsia" w:ascii="宋体" w:hAnsi="宋体" w:cs="宋体"/>
          <w:bCs w:val="0"/>
          <w:snapToGrid w:val="0"/>
        </w:rPr>
      </w:pPr>
      <w:bookmarkStart w:id="122" w:name="_Toc1992"/>
      <w:bookmarkStart w:id="123" w:name="_Toc57795853"/>
      <w:r>
        <w:rPr>
          <w:rFonts w:hint="eastAsia" w:ascii="宋体" w:hAnsi="宋体" w:cs="宋体"/>
          <w:bCs w:val="0"/>
          <w:snapToGrid w:val="0"/>
        </w:rPr>
        <w:t>3. 投标人资格要求</w:t>
      </w:r>
      <w:bookmarkEnd w:id="116"/>
      <w:bookmarkEnd w:id="117"/>
      <w:bookmarkEnd w:id="118"/>
      <w:bookmarkEnd w:id="119"/>
      <w:bookmarkEnd w:id="120"/>
      <w:bookmarkEnd w:id="121"/>
      <w:bookmarkEnd w:id="122"/>
      <w:bookmarkEnd w:id="123"/>
    </w:p>
    <w:p w14:paraId="4C6FBEF6">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bookmarkStart w:id="124" w:name="_Toc224103310"/>
      <w:bookmarkStart w:id="125" w:name="_Toc287607739"/>
      <w:bookmarkStart w:id="126" w:name="_Toc287620678"/>
      <w:bookmarkStart w:id="127" w:name="_Toc430530427"/>
      <w:bookmarkStart w:id="128" w:name="_Toc509218703"/>
      <w:bookmarkStart w:id="129" w:name="_Toc277082546"/>
      <w:r>
        <w:rPr>
          <w:rFonts w:hint="eastAsia" w:ascii="宋体" w:hAnsi="宋体" w:cs="宋体"/>
          <w:snapToGrid w:val="0"/>
          <w:kern w:val="0"/>
          <w:szCs w:val="21"/>
        </w:rPr>
        <w:t xml:space="preserve">3.1 </w:t>
      </w:r>
      <w:r>
        <w:rPr>
          <w:rFonts w:ascii="宋体" w:hAnsi="宋体"/>
          <w:snapToGrid w:val="0"/>
          <w:kern w:val="0"/>
          <w:szCs w:val="21"/>
        </w:rPr>
        <w:t>本次招标要求投标人须具备</w:t>
      </w:r>
      <w:r>
        <w:rPr>
          <w:rFonts w:hint="eastAsia" w:ascii="宋体" w:hAnsi="宋体"/>
          <w:snapToGrid w:val="0"/>
          <w:kern w:val="0"/>
          <w:szCs w:val="21"/>
        </w:rPr>
        <w:t>以下条件：</w:t>
      </w:r>
    </w:p>
    <w:p w14:paraId="79773B85">
      <w:pPr>
        <w:tabs>
          <w:tab w:val="left" w:pos="3840"/>
          <w:tab w:val="left" w:pos="5300"/>
        </w:tabs>
        <w:autoSpaceDE w:val="0"/>
        <w:autoSpaceDN w:val="0"/>
        <w:adjustRightInd w:val="0"/>
        <w:snapToGrid w:val="0"/>
        <w:spacing w:line="360" w:lineRule="auto"/>
        <w:ind w:firstLine="420" w:firstLineChars="200"/>
        <w:jc w:val="left"/>
        <w:rPr>
          <w:rFonts w:hint="eastAsia" w:ascii="宋体" w:hAnsi="宋体" w:cs="宋体"/>
          <w:snapToGrid w:val="0"/>
          <w:kern w:val="0"/>
          <w:szCs w:val="21"/>
        </w:rPr>
      </w:pPr>
      <w:r>
        <w:rPr>
          <w:rFonts w:hint="eastAsia" w:ascii="宋体" w:hAnsi="宋体" w:cs="宋体"/>
          <w:snapToGrid w:val="0"/>
          <w:kern w:val="0"/>
          <w:szCs w:val="21"/>
        </w:rPr>
        <w:t>3.1.1 本次招标要求投标人具备的资质条件：</w:t>
      </w:r>
      <w:r>
        <w:rPr>
          <w:rFonts w:hint="eastAsia" w:ascii="宋体" w:hAnsi="宋体" w:cs="宋体"/>
          <w:snapToGrid w:val="0"/>
          <w:kern w:val="0"/>
          <w:szCs w:val="21"/>
          <w:u w:val="single"/>
        </w:rPr>
        <w:t xml:space="preserve">        </w:t>
      </w:r>
      <w:r>
        <w:rPr>
          <w:rFonts w:hint="eastAsia" w:ascii="宋体" w:hAnsi="宋体" w:cs="宋体"/>
          <w:snapToGrid w:val="0"/>
          <w:kern w:val="0"/>
          <w:szCs w:val="21"/>
        </w:rPr>
        <w:t>；</w:t>
      </w:r>
    </w:p>
    <w:p w14:paraId="2862A289">
      <w:pPr>
        <w:tabs>
          <w:tab w:val="left" w:pos="3840"/>
          <w:tab w:val="left" w:pos="5300"/>
        </w:tabs>
        <w:autoSpaceDE w:val="0"/>
        <w:autoSpaceDN w:val="0"/>
        <w:adjustRightInd w:val="0"/>
        <w:snapToGrid w:val="0"/>
        <w:spacing w:line="360" w:lineRule="auto"/>
        <w:ind w:firstLine="420" w:firstLineChars="200"/>
        <w:jc w:val="left"/>
        <w:rPr>
          <w:rFonts w:hint="eastAsia" w:ascii="宋体" w:hAnsi="宋体"/>
          <w:i/>
          <w:szCs w:val="21"/>
        </w:rPr>
      </w:pPr>
      <w:r>
        <w:rPr>
          <w:rFonts w:hint="eastAsia" w:ascii="宋体" w:hAnsi="宋体"/>
          <w:i/>
          <w:szCs w:val="21"/>
        </w:rPr>
        <w:t>[提示：资质的设定应执行《公路养护作业单位资质管理办法》（中华人民共和国交通运输部令2021年第22号）、《重庆市交通局关于印发&lt;重庆市公路养护作业单位资质管理实施细则&gt;的通知》（渝交规〔2021〕31号）及其修订、配套、补充文件的现行规定。公路机电工程的养护维修应按照《住房和城乡建设部关于印发&lt;建筑业企业资质标准&gt;的通知》（建市〔2014〕159号）及其修订、配套、补充文件设定公路交通工程专业承包公路机电工程分项资质。]</w:t>
      </w:r>
    </w:p>
    <w:p w14:paraId="02233AF7">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kern w:val="0"/>
          <w:szCs w:val="21"/>
        </w:rPr>
      </w:pPr>
      <w:r>
        <w:rPr>
          <w:rFonts w:hint="eastAsia" w:ascii="宋体" w:hAnsi="宋体"/>
          <w:snapToGrid w:val="0"/>
          <w:kern w:val="0"/>
          <w:szCs w:val="21"/>
        </w:rPr>
        <w:t>3.1.2 投标人还应在人员、业绩、设备、资金等方面具有相应的施工能力，详见招标文件第二章投标人须知前附表第1.4.1项内容。</w:t>
      </w:r>
    </w:p>
    <w:p w14:paraId="0FA3DC4B">
      <w:pPr>
        <w:tabs>
          <w:tab w:val="left" w:pos="3840"/>
          <w:tab w:val="left" w:pos="5300"/>
        </w:tabs>
        <w:autoSpaceDE w:val="0"/>
        <w:autoSpaceDN w:val="0"/>
        <w:adjustRightInd w:val="0"/>
        <w:snapToGrid w:val="0"/>
        <w:spacing w:line="360" w:lineRule="auto"/>
        <w:ind w:firstLine="420" w:firstLineChars="200"/>
        <w:jc w:val="left"/>
        <w:rPr>
          <w:rFonts w:hint="eastAsia" w:ascii="宋体" w:hAnsi="宋体"/>
          <w:snapToGrid w:val="0"/>
          <w:kern w:val="0"/>
          <w:szCs w:val="21"/>
        </w:rPr>
      </w:pPr>
      <w:r>
        <w:rPr>
          <w:rFonts w:ascii="宋体" w:hAnsi="宋体"/>
          <w:snapToGrid w:val="0"/>
          <w:kern w:val="0"/>
          <w:szCs w:val="21"/>
        </w:rPr>
        <w:t>3.2</w:t>
      </w:r>
      <w:r>
        <w:rPr>
          <w:rFonts w:hint="eastAsia" w:ascii="宋体" w:hAnsi="宋体"/>
          <w:snapToGrid w:val="0"/>
          <w:kern w:val="0"/>
          <w:szCs w:val="21"/>
        </w:rPr>
        <w:t xml:space="preserve"> 你单位□可以 □不可以组成联合体投标</w:t>
      </w:r>
      <w:r>
        <w:rPr>
          <w:rFonts w:ascii="宋体" w:hAnsi="宋体"/>
          <w:snapToGrid w:val="0"/>
          <w:kern w:val="0"/>
          <w:szCs w:val="21"/>
        </w:rPr>
        <w:t>。联合体投标的，</w:t>
      </w:r>
      <w:r>
        <w:rPr>
          <w:rFonts w:hint="eastAsia" w:ascii="宋体" w:hAnsi="宋体"/>
          <w:snapToGrid w:val="0"/>
          <w:kern w:val="0"/>
          <w:szCs w:val="21"/>
        </w:rPr>
        <w:t>详见招标文件第二章投标人须知前附表第1.4.</w:t>
      </w:r>
      <w:r>
        <w:rPr>
          <w:rFonts w:ascii="宋体" w:hAnsi="宋体"/>
          <w:snapToGrid w:val="0"/>
          <w:kern w:val="0"/>
          <w:szCs w:val="21"/>
        </w:rPr>
        <w:t>2</w:t>
      </w:r>
      <w:r>
        <w:rPr>
          <w:rFonts w:hint="eastAsia" w:ascii="宋体" w:hAnsi="宋体"/>
          <w:snapToGrid w:val="0"/>
          <w:kern w:val="0"/>
          <w:szCs w:val="21"/>
        </w:rPr>
        <w:t>条内容。</w:t>
      </w:r>
    </w:p>
    <w:p w14:paraId="77F865EA">
      <w:pPr>
        <w:pStyle w:val="4"/>
        <w:spacing w:before="0" w:after="0" w:line="360" w:lineRule="auto"/>
        <w:rPr>
          <w:rFonts w:hint="eastAsia" w:ascii="宋体" w:hAnsi="宋体" w:cs="宋体"/>
          <w:bCs w:val="0"/>
          <w:snapToGrid w:val="0"/>
        </w:rPr>
      </w:pPr>
      <w:bookmarkStart w:id="130" w:name="_Toc57795854"/>
      <w:bookmarkStart w:id="131" w:name="_Toc12876"/>
      <w:r>
        <w:rPr>
          <w:rFonts w:hint="eastAsia" w:ascii="宋体" w:hAnsi="宋体" w:cs="宋体"/>
          <w:bCs w:val="0"/>
          <w:snapToGrid w:val="0"/>
        </w:rPr>
        <w:t>4. 招标文件的获取</w:t>
      </w:r>
      <w:bookmarkEnd w:id="124"/>
      <w:bookmarkEnd w:id="125"/>
      <w:bookmarkEnd w:id="126"/>
      <w:bookmarkEnd w:id="127"/>
      <w:bookmarkEnd w:id="128"/>
      <w:bookmarkEnd w:id="129"/>
      <w:bookmarkEnd w:id="130"/>
      <w:bookmarkEnd w:id="131"/>
    </w:p>
    <w:p w14:paraId="52078B34">
      <w:pPr>
        <w:tabs>
          <w:tab w:val="left" w:pos="525"/>
          <w:tab w:val="left" w:pos="5080"/>
        </w:tabs>
        <w:autoSpaceDE w:val="0"/>
        <w:autoSpaceDN w:val="0"/>
        <w:adjustRightInd w:val="0"/>
        <w:snapToGrid w:val="0"/>
        <w:spacing w:line="450" w:lineRule="exact"/>
        <w:ind w:firstLine="424" w:firstLineChars="202"/>
        <w:rPr>
          <w:rFonts w:hint="eastAsia" w:ascii="宋体" w:hAnsi="宋体"/>
          <w:snapToGrid w:val="0"/>
          <w:kern w:val="0"/>
          <w:szCs w:val="21"/>
        </w:rPr>
      </w:pPr>
      <w:bookmarkStart w:id="132" w:name="_Toc287607740"/>
      <w:bookmarkStart w:id="133" w:name="_Toc287620679"/>
      <w:bookmarkStart w:id="134" w:name="_Toc224103311"/>
      <w:bookmarkStart w:id="135" w:name="_Toc277082547"/>
      <w:r>
        <w:rPr>
          <w:rFonts w:ascii="宋体" w:hAnsi="宋体"/>
          <w:snapToGrid w:val="0"/>
          <w:kern w:val="0"/>
          <w:szCs w:val="21"/>
        </w:rPr>
        <w:t>4.</w:t>
      </w:r>
      <w:r>
        <w:rPr>
          <w:rFonts w:hint="eastAsia" w:ascii="宋体" w:hAnsi="宋体"/>
          <w:snapToGrid w:val="0"/>
          <w:kern w:val="0"/>
          <w:szCs w:val="21"/>
        </w:rPr>
        <w:t>1 本招标项目采用全流程电子招投标，招标人</w:t>
      </w:r>
      <w:r>
        <w:rPr>
          <w:rFonts w:ascii="宋体" w:hAnsi="宋体"/>
          <w:snapToGrid w:val="0"/>
          <w:kern w:val="0"/>
          <w:szCs w:val="21"/>
        </w:rPr>
        <w:t>必须将招标文件</w:t>
      </w:r>
      <w:r>
        <w:rPr>
          <w:rFonts w:hint="eastAsia" w:ascii="宋体" w:hAnsi="宋体"/>
          <w:snapToGrid w:val="0"/>
          <w:kern w:val="0"/>
          <w:szCs w:val="21"/>
        </w:rPr>
        <w:t>、</w:t>
      </w:r>
      <w:r>
        <w:rPr>
          <w:rFonts w:ascii="宋体" w:hAnsi="宋体"/>
          <w:snapToGrid w:val="0"/>
          <w:kern w:val="0"/>
          <w:szCs w:val="21"/>
        </w:rPr>
        <w:t>工程量清单、图纸、澄清、修改、补充通知、最高限价通知等全部招标资料</w:t>
      </w:r>
      <w:r>
        <w:rPr>
          <w:rFonts w:hint="eastAsia" w:ascii="宋体" w:hAnsi="宋体"/>
          <w:snapToGrid w:val="0"/>
          <w:kern w:val="0"/>
          <w:szCs w:val="21"/>
        </w:rPr>
        <w:t>通过重庆市电子招投标系统（https://ztb.cqggzy.com/CQTPBidder/memberLogin/，下同）</w:t>
      </w:r>
      <w:r>
        <w:rPr>
          <w:rFonts w:ascii="宋体" w:hAnsi="宋体"/>
          <w:snapToGrid w:val="0"/>
          <w:kern w:val="0"/>
          <w:szCs w:val="21"/>
        </w:rPr>
        <w:t>送达所有被邀请投标人。</w:t>
      </w:r>
    </w:p>
    <w:p w14:paraId="17827D32">
      <w:pPr>
        <w:tabs>
          <w:tab w:val="left" w:pos="2420"/>
          <w:tab w:val="left" w:pos="5445"/>
        </w:tabs>
        <w:autoSpaceDE w:val="0"/>
        <w:autoSpaceDN w:val="0"/>
        <w:adjustRightInd w:val="0"/>
        <w:snapToGrid w:val="0"/>
        <w:spacing w:line="450" w:lineRule="exact"/>
        <w:ind w:firstLine="420"/>
        <w:rPr>
          <w:rFonts w:hint="eastAsia"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2 投标人可在附件投标邀请书规定的时限内通过重庆市电子招投标系统对本项目招标文件提出疑问。</w:t>
      </w:r>
    </w:p>
    <w:p w14:paraId="6B29CF1E">
      <w:pPr>
        <w:tabs>
          <w:tab w:val="left" w:pos="2420"/>
          <w:tab w:val="left" w:pos="5445"/>
        </w:tabs>
        <w:autoSpaceDE w:val="0"/>
        <w:autoSpaceDN w:val="0"/>
        <w:adjustRightInd w:val="0"/>
        <w:snapToGrid w:val="0"/>
        <w:spacing w:line="450" w:lineRule="exact"/>
        <w:ind w:firstLine="42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3 招标人应在附件投标邀请书规定的时限内通过重庆市电子招投标系统发布澄清或修改。</w:t>
      </w:r>
    </w:p>
    <w:p w14:paraId="5C210C1A">
      <w:pPr>
        <w:pStyle w:val="4"/>
        <w:spacing w:before="0" w:after="0" w:line="360" w:lineRule="auto"/>
        <w:rPr>
          <w:rFonts w:hint="eastAsia" w:ascii="宋体" w:hAnsi="宋体" w:cs="宋体"/>
          <w:bCs w:val="0"/>
          <w:snapToGrid w:val="0"/>
        </w:rPr>
      </w:pPr>
      <w:bookmarkStart w:id="136" w:name="_Toc509218704"/>
      <w:bookmarkStart w:id="137" w:name="_Toc430530428"/>
      <w:bookmarkStart w:id="138" w:name="_Toc57795855"/>
      <w:bookmarkStart w:id="139" w:name="_Toc20395"/>
      <w:r>
        <w:rPr>
          <w:rFonts w:hint="eastAsia" w:ascii="宋体" w:hAnsi="宋体" w:cs="宋体"/>
          <w:bCs w:val="0"/>
          <w:snapToGrid w:val="0"/>
        </w:rPr>
        <w:t>5. 投标文件的递交</w:t>
      </w:r>
      <w:bookmarkEnd w:id="132"/>
      <w:bookmarkEnd w:id="133"/>
      <w:bookmarkEnd w:id="134"/>
      <w:bookmarkEnd w:id="135"/>
      <w:bookmarkEnd w:id="136"/>
      <w:bookmarkEnd w:id="137"/>
      <w:bookmarkEnd w:id="138"/>
      <w:bookmarkEnd w:id="139"/>
    </w:p>
    <w:p w14:paraId="1A64FAF0">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kern w:val="0"/>
          <w:szCs w:val="21"/>
        </w:rPr>
      </w:pPr>
      <w:bookmarkStart w:id="140" w:name="_Toc224103312"/>
      <w:bookmarkStart w:id="141" w:name="_Toc277082548"/>
      <w:bookmarkStart w:id="142" w:name="_Toc509218705"/>
      <w:bookmarkStart w:id="143" w:name="_Toc287620680"/>
      <w:bookmarkStart w:id="144" w:name="_Toc430530429"/>
      <w:bookmarkStart w:id="145" w:name="_Toc287607741"/>
      <w:r>
        <w:rPr>
          <w:rFonts w:ascii="宋体" w:hAnsi="宋体"/>
          <w:snapToGrid w:val="0"/>
          <w:kern w:val="0"/>
          <w:szCs w:val="21"/>
        </w:rPr>
        <w:t>5.1  投标文件递交的截止时间（投标截止时间，下同）</w:t>
      </w:r>
      <w:r>
        <w:rPr>
          <w:rFonts w:hint="eastAsia" w:ascii="宋体" w:hAnsi="宋体"/>
          <w:snapToGrid w:val="0"/>
          <w:kern w:val="0"/>
          <w:szCs w:val="21"/>
        </w:rPr>
        <w:t>详见附件投标邀请书规定的投标截止时间</w:t>
      </w:r>
      <w:r>
        <w:rPr>
          <w:rFonts w:ascii="宋体" w:hAnsi="宋体"/>
          <w:snapToGrid w:val="0"/>
          <w:kern w:val="0"/>
          <w:szCs w:val="21"/>
        </w:rPr>
        <w:t>，</w:t>
      </w:r>
      <w:r>
        <w:rPr>
          <w:rFonts w:hint="eastAsia" w:ascii="宋体" w:hAnsi="宋体"/>
          <w:snapToGrid w:val="0"/>
          <w:kern w:val="0"/>
          <w:szCs w:val="21"/>
        </w:rPr>
        <w:t>投标人应当在投标截止时间前，通过互联网使用CA数字证书登录重庆市电子招投标系统，将加密的电子投标文件上传。</w:t>
      </w:r>
    </w:p>
    <w:p w14:paraId="2B3E2FB4">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hint="eastAsia" w:ascii="宋体" w:hAnsi="宋体"/>
          <w:snapToGrid w:val="0"/>
          <w:kern w:val="0"/>
          <w:szCs w:val="21"/>
        </w:rPr>
      </w:pPr>
      <w:r>
        <w:rPr>
          <w:rFonts w:ascii="宋体" w:hAnsi="宋体"/>
          <w:snapToGrid w:val="0"/>
          <w:kern w:val="0"/>
          <w:szCs w:val="21"/>
        </w:rPr>
        <w:t xml:space="preserve">5.2  </w:t>
      </w:r>
      <w:r>
        <w:rPr>
          <w:rFonts w:hint="eastAsia" w:ascii="宋体" w:hAnsi="宋体"/>
          <w:snapToGrid w:val="0"/>
          <w:kern w:val="0"/>
          <w:szCs w:val="21"/>
        </w:rPr>
        <w:t>未按要求加密的电子投标文件，将无法上传至重庆市电子招投标系统，逾期未完成投标文件上传的，视为撤回投标文件。</w:t>
      </w:r>
    </w:p>
    <w:p w14:paraId="3E3F806E">
      <w:pPr>
        <w:pStyle w:val="4"/>
        <w:spacing w:before="0" w:after="0" w:line="360" w:lineRule="auto"/>
        <w:rPr>
          <w:rFonts w:hint="eastAsia" w:ascii="宋体" w:hAnsi="宋体" w:cs="宋体"/>
          <w:bCs w:val="0"/>
          <w:snapToGrid w:val="0"/>
        </w:rPr>
      </w:pPr>
      <w:bookmarkStart w:id="146" w:name="_Toc14652"/>
      <w:bookmarkStart w:id="147" w:name="_Toc57795856"/>
      <w:r>
        <w:rPr>
          <w:rFonts w:hint="eastAsia" w:ascii="宋体" w:hAnsi="宋体" w:cs="宋体"/>
          <w:bCs w:val="0"/>
          <w:snapToGrid w:val="0"/>
        </w:rPr>
        <w:t>6. 确认</w:t>
      </w:r>
      <w:bookmarkEnd w:id="140"/>
      <w:bookmarkEnd w:id="141"/>
      <w:bookmarkEnd w:id="142"/>
      <w:bookmarkEnd w:id="143"/>
      <w:bookmarkEnd w:id="144"/>
      <w:bookmarkEnd w:id="145"/>
      <w:bookmarkEnd w:id="146"/>
      <w:bookmarkEnd w:id="147"/>
    </w:p>
    <w:p w14:paraId="46173A67">
      <w:pPr>
        <w:tabs>
          <w:tab w:val="left" w:pos="6330"/>
        </w:tabs>
        <w:autoSpaceDE w:val="0"/>
        <w:autoSpaceDN w:val="0"/>
        <w:adjustRightInd w:val="0"/>
        <w:snapToGrid w:val="0"/>
        <w:spacing w:line="450" w:lineRule="exact"/>
        <w:ind w:firstLine="420" w:firstLineChars="200"/>
        <w:jc w:val="left"/>
        <w:rPr>
          <w:rFonts w:hint="eastAsia" w:ascii="宋体" w:hAnsi="宋体"/>
          <w:snapToGrid w:val="0"/>
          <w:kern w:val="0"/>
          <w:szCs w:val="21"/>
        </w:rPr>
      </w:pPr>
      <w:r>
        <w:rPr>
          <w:rFonts w:hint="eastAsia" w:ascii="宋体" w:hAnsi="宋体"/>
          <w:snapToGrid w:val="0"/>
          <w:kern w:val="0"/>
          <w:szCs w:val="21"/>
        </w:rPr>
        <w:t>本招标项目采用全流程电子招投标，被邀请投标人通过重庆市电子招投标系统确认。</w:t>
      </w:r>
    </w:p>
    <w:p w14:paraId="3088ED51">
      <w:pPr>
        <w:pStyle w:val="4"/>
        <w:spacing w:before="0" w:after="0" w:line="360" w:lineRule="auto"/>
        <w:rPr>
          <w:rFonts w:hint="eastAsia" w:ascii="宋体" w:hAnsi="宋体" w:cs="宋体"/>
          <w:bCs w:val="0"/>
          <w:snapToGrid w:val="0"/>
        </w:rPr>
      </w:pPr>
      <w:bookmarkStart w:id="148" w:name="_Toc11822"/>
      <w:bookmarkStart w:id="149" w:name="_Toc430530430"/>
      <w:bookmarkStart w:id="150" w:name="_Toc509218706"/>
      <w:bookmarkStart w:id="151" w:name="_Toc287607742"/>
      <w:bookmarkStart w:id="152" w:name="_Toc277082549"/>
      <w:bookmarkStart w:id="153" w:name="_Toc224103313"/>
      <w:bookmarkStart w:id="154" w:name="_Toc287620681"/>
      <w:bookmarkStart w:id="155" w:name="_Toc57795857"/>
      <w:r>
        <w:rPr>
          <w:rFonts w:ascii="宋体" w:hAnsi="宋体" w:cs="宋体"/>
          <w:bCs w:val="0"/>
          <w:snapToGrid w:val="0"/>
        </w:rPr>
        <w:t>7</w:t>
      </w:r>
      <w:r>
        <w:rPr>
          <w:rFonts w:hint="eastAsia" w:ascii="宋体" w:hAnsi="宋体" w:cs="宋体"/>
          <w:bCs w:val="0"/>
          <w:snapToGrid w:val="0"/>
        </w:rPr>
        <w:t>. 异议投诉</w:t>
      </w:r>
      <w:bookmarkEnd w:id="148"/>
    </w:p>
    <w:p w14:paraId="3E57AFB8">
      <w:pPr>
        <w:widowControl/>
        <w:spacing w:line="400" w:lineRule="exact"/>
        <w:ind w:firstLine="420" w:firstLineChars="200"/>
        <w:rPr>
          <w:rFonts w:ascii="宋体" w:hAnsi="宋体"/>
          <w:kern w:val="0"/>
          <w:szCs w:val="21"/>
          <w:u w:val="single"/>
        </w:rPr>
      </w:pPr>
      <w:r>
        <w:rPr>
          <w:rFonts w:hint="eastAsia" w:ascii="宋体" w:hAnsi="宋体"/>
          <w:kern w:val="0"/>
          <w:szCs w:val="21"/>
        </w:rPr>
        <w:t>异议受理单位：</w:t>
      </w:r>
      <w:r>
        <w:rPr>
          <w:rFonts w:hint="eastAsia" w:ascii="宋体" w:hAnsi="宋体"/>
          <w:kern w:val="0"/>
          <w:szCs w:val="21"/>
          <w:u w:val="single"/>
        </w:rPr>
        <w:t xml:space="preserve">             </w:t>
      </w:r>
    </w:p>
    <w:p w14:paraId="2DBD7F8C">
      <w:pPr>
        <w:widowControl/>
        <w:spacing w:line="400" w:lineRule="exact"/>
        <w:ind w:firstLine="420" w:firstLineChars="200"/>
        <w:rPr>
          <w:rFonts w:ascii="宋体" w:hAnsi="宋体"/>
          <w:kern w:val="0"/>
          <w:szCs w:val="21"/>
          <w:u w:val="single"/>
        </w:rPr>
      </w:pPr>
      <w:r>
        <w:rPr>
          <w:rFonts w:hint="eastAsia" w:ascii="宋体" w:hAnsi="宋体"/>
          <w:kern w:val="0"/>
          <w:szCs w:val="21"/>
        </w:rPr>
        <w:t>联系电话：</w:t>
      </w:r>
      <w:r>
        <w:rPr>
          <w:rFonts w:hint="eastAsia" w:ascii="宋体" w:hAnsi="宋体"/>
          <w:kern w:val="0"/>
          <w:szCs w:val="21"/>
          <w:u w:val="single"/>
        </w:rPr>
        <w:t xml:space="preserve">                 </w:t>
      </w:r>
    </w:p>
    <w:p w14:paraId="5F3C74C2">
      <w:pPr>
        <w:widowControl/>
        <w:spacing w:line="400" w:lineRule="exact"/>
        <w:ind w:firstLine="420" w:firstLineChars="200"/>
        <w:rPr>
          <w:rFonts w:ascii="宋体" w:hAnsi="宋体"/>
          <w:kern w:val="0"/>
          <w:szCs w:val="21"/>
          <w:u w:val="single"/>
        </w:rPr>
      </w:pPr>
      <w:r>
        <w:rPr>
          <w:rFonts w:hint="eastAsia" w:ascii="宋体" w:hAnsi="宋体"/>
          <w:kern w:val="0"/>
          <w:szCs w:val="21"/>
        </w:rPr>
        <w:t>投诉受理部门：</w:t>
      </w:r>
      <w:r>
        <w:rPr>
          <w:rFonts w:hint="eastAsia" w:ascii="宋体" w:hAnsi="宋体"/>
          <w:kern w:val="0"/>
          <w:szCs w:val="21"/>
          <w:u w:val="single"/>
        </w:rPr>
        <w:t xml:space="preserve">             </w:t>
      </w:r>
    </w:p>
    <w:p w14:paraId="71992F30">
      <w:pPr>
        <w:tabs>
          <w:tab w:val="left" w:pos="6330"/>
        </w:tabs>
        <w:autoSpaceDE w:val="0"/>
        <w:autoSpaceDN w:val="0"/>
        <w:adjustRightInd w:val="0"/>
        <w:snapToGrid w:val="0"/>
        <w:spacing w:line="450" w:lineRule="exact"/>
        <w:ind w:firstLine="420" w:firstLineChars="200"/>
        <w:jc w:val="left"/>
        <w:rPr>
          <w:u w:val="single"/>
        </w:rPr>
      </w:pPr>
      <w:r>
        <w:rPr>
          <w:rFonts w:hint="eastAsia" w:ascii="宋体" w:hAnsi="宋体"/>
          <w:kern w:val="0"/>
          <w:szCs w:val="21"/>
        </w:rPr>
        <w:t>联系电话：</w:t>
      </w:r>
      <w:r>
        <w:rPr>
          <w:rFonts w:hint="eastAsia" w:ascii="宋体" w:hAnsi="宋体"/>
          <w:kern w:val="0"/>
          <w:szCs w:val="21"/>
          <w:u w:val="single"/>
        </w:rPr>
        <w:t xml:space="preserve">                  </w:t>
      </w:r>
    </w:p>
    <w:p w14:paraId="50F8431C">
      <w:pPr>
        <w:pStyle w:val="4"/>
        <w:spacing w:before="0" w:after="0" w:line="360" w:lineRule="auto"/>
        <w:rPr>
          <w:rFonts w:hint="eastAsia" w:ascii="宋体" w:hAnsi="宋体" w:cs="宋体"/>
          <w:bCs w:val="0"/>
          <w:snapToGrid w:val="0"/>
        </w:rPr>
      </w:pPr>
      <w:bookmarkStart w:id="156" w:name="_Toc5717"/>
      <w:r>
        <w:rPr>
          <w:rFonts w:hint="eastAsia" w:ascii="宋体" w:hAnsi="宋体" w:cs="宋体"/>
          <w:bCs w:val="0"/>
          <w:snapToGrid w:val="0"/>
        </w:rPr>
        <w:t>8. 联系方式</w:t>
      </w:r>
      <w:bookmarkEnd w:id="149"/>
      <w:bookmarkEnd w:id="150"/>
      <w:bookmarkEnd w:id="151"/>
      <w:bookmarkEnd w:id="152"/>
      <w:bookmarkEnd w:id="153"/>
      <w:bookmarkEnd w:id="154"/>
      <w:bookmarkEnd w:id="155"/>
      <w:bookmarkEnd w:id="156"/>
    </w:p>
    <w:p w14:paraId="643D9797">
      <w:pPr>
        <w:tabs>
          <w:tab w:val="left" w:pos="5140"/>
          <w:tab w:val="left" w:pos="85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招 标 人：</w:t>
      </w:r>
      <w:r>
        <w:rPr>
          <w:rFonts w:ascii="宋体" w:hAnsi="宋体"/>
          <w:snapToGrid w:val="0"/>
          <w:kern w:val="0"/>
          <w:szCs w:val="21"/>
          <w:u w:val="single"/>
        </w:rPr>
        <w:t xml:space="preserve">                             </w:t>
      </w:r>
      <w:r>
        <w:rPr>
          <w:rFonts w:ascii="宋体" w:hAnsi="宋体"/>
          <w:snapToGrid w:val="0"/>
          <w:kern w:val="0"/>
          <w:szCs w:val="21"/>
        </w:rPr>
        <w:t xml:space="preserve">     招标代理机构：</w:t>
      </w:r>
      <w:r>
        <w:rPr>
          <w:rFonts w:ascii="宋体" w:hAnsi="宋体"/>
          <w:snapToGrid w:val="0"/>
          <w:kern w:val="0"/>
          <w:szCs w:val="21"/>
          <w:u w:val="single"/>
        </w:rPr>
        <w:t xml:space="preserve">                            </w:t>
      </w:r>
    </w:p>
    <w:p w14:paraId="052DACC7">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地    址：</w:t>
      </w:r>
      <w:r>
        <w:rPr>
          <w:rFonts w:ascii="宋体" w:hAnsi="宋体"/>
          <w:snapToGrid w:val="0"/>
          <w:kern w:val="0"/>
          <w:szCs w:val="21"/>
          <w:u w:val="single"/>
        </w:rPr>
        <w:t xml:space="preserve">                             </w:t>
      </w:r>
      <w:r>
        <w:rPr>
          <w:rFonts w:ascii="宋体" w:hAnsi="宋体"/>
          <w:snapToGrid w:val="0"/>
          <w:kern w:val="0"/>
          <w:szCs w:val="21"/>
        </w:rPr>
        <w:t xml:space="preserve">     地    址：</w:t>
      </w:r>
      <w:r>
        <w:rPr>
          <w:rFonts w:ascii="宋体" w:hAnsi="宋体"/>
          <w:snapToGrid w:val="0"/>
          <w:kern w:val="0"/>
          <w:position w:val="-3"/>
          <w:szCs w:val="21"/>
          <w:u w:val="single"/>
        </w:rPr>
        <w:t xml:space="preserve">                                </w:t>
      </w:r>
    </w:p>
    <w:p w14:paraId="66424266">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position w:val="-3"/>
          <w:szCs w:val="21"/>
        </w:rPr>
        <w:t>邮    编：</w:t>
      </w:r>
      <w:r>
        <w:rPr>
          <w:rFonts w:ascii="宋体" w:hAnsi="宋体"/>
          <w:snapToGrid w:val="0"/>
          <w:kern w:val="0"/>
          <w:szCs w:val="21"/>
          <w:u w:val="single"/>
        </w:rPr>
        <w:t xml:space="preserve">                             </w:t>
      </w:r>
      <w:r>
        <w:rPr>
          <w:rFonts w:ascii="宋体" w:hAnsi="宋体"/>
          <w:snapToGrid w:val="0"/>
          <w:kern w:val="0"/>
          <w:szCs w:val="21"/>
        </w:rPr>
        <w:t xml:space="preserve">     </w:t>
      </w:r>
      <w:r>
        <w:rPr>
          <w:rFonts w:ascii="宋体" w:hAnsi="宋体"/>
          <w:snapToGrid w:val="0"/>
          <w:kern w:val="0"/>
          <w:position w:val="-3"/>
          <w:szCs w:val="21"/>
        </w:rPr>
        <w:t>邮    编：</w:t>
      </w:r>
      <w:r>
        <w:rPr>
          <w:rFonts w:ascii="宋体" w:hAnsi="宋体"/>
          <w:snapToGrid w:val="0"/>
          <w:kern w:val="0"/>
          <w:position w:val="-3"/>
          <w:szCs w:val="21"/>
          <w:u w:val="single"/>
        </w:rPr>
        <w:t xml:space="preserve">                                </w:t>
      </w:r>
    </w:p>
    <w:p w14:paraId="186217BE">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联 系 人：</w:t>
      </w:r>
      <w:r>
        <w:rPr>
          <w:rFonts w:ascii="宋体" w:hAnsi="宋体"/>
          <w:snapToGrid w:val="0"/>
          <w:kern w:val="0"/>
          <w:szCs w:val="21"/>
          <w:u w:val="single"/>
        </w:rPr>
        <w:t xml:space="preserve">                             </w:t>
      </w:r>
      <w:r>
        <w:rPr>
          <w:rFonts w:ascii="宋体" w:hAnsi="宋体"/>
          <w:snapToGrid w:val="0"/>
          <w:kern w:val="0"/>
          <w:szCs w:val="21"/>
        </w:rPr>
        <w:t xml:space="preserve">     联 系 人：</w:t>
      </w:r>
      <w:r>
        <w:rPr>
          <w:rFonts w:ascii="宋体" w:hAnsi="宋体"/>
          <w:snapToGrid w:val="0"/>
          <w:kern w:val="0"/>
          <w:szCs w:val="21"/>
          <w:u w:val="single"/>
        </w:rPr>
        <w:t xml:space="preserve">                                </w:t>
      </w:r>
    </w:p>
    <w:p w14:paraId="1E0282A7">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电    话：</w:t>
      </w:r>
      <w:r>
        <w:rPr>
          <w:rFonts w:ascii="宋体" w:hAnsi="宋体"/>
          <w:snapToGrid w:val="0"/>
          <w:kern w:val="0"/>
          <w:szCs w:val="21"/>
          <w:u w:val="single"/>
        </w:rPr>
        <w:t xml:space="preserve">                             </w:t>
      </w:r>
      <w:r>
        <w:rPr>
          <w:rFonts w:ascii="宋体" w:hAnsi="宋体"/>
          <w:snapToGrid w:val="0"/>
          <w:kern w:val="0"/>
          <w:szCs w:val="21"/>
        </w:rPr>
        <w:t xml:space="preserve">     电    话：</w:t>
      </w:r>
      <w:r>
        <w:rPr>
          <w:rFonts w:ascii="宋体" w:hAnsi="宋体"/>
          <w:snapToGrid w:val="0"/>
          <w:kern w:val="0"/>
          <w:szCs w:val="21"/>
          <w:u w:val="single"/>
        </w:rPr>
        <w:t xml:space="preserve">                                 </w:t>
      </w:r>
    </w:p>
    <w:p w14:paraId="74D2FB76">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u w:val="single"/>
        </w:rPr>
      </w:pPr>
      <w:r>
        <w:rPr>
          <w:rFonts w:ascii="宋体" w:hAnsi="宋体"/>
          <w:snapToGrid w:val="0"/>
          <w:kern w:val="0"/>
          <w:szCs w:val="21"/>
        </w:rPr>
        <w:t>传    真：</w:t>
      </w:r>
      <w:r>
        <w:rPr>
          <w:rFonts w:ascii="宋体" w:hAnsi="宋体"/>
          <w:snapToGrid w:val="0"/>
          <w:kern w:val="0"/>
          <w:szCs w:val="21"/>
          <w:u w:val="single"/>
        </w:rPr>
        <w:t xml:space="preserve">                             </w:t>
      </w:r>
      <w:r>
        <w:rPr>
          <w:rFonts w:ascii="宋体" w:hAnsi="宋体"/>
          <w:snapToGrid w:val="0"/>
          <w:kern w:val="0"/>
          <w:szCs w:val="21"/>
        </w:rPr>
        <w:t xml:space="preserve">     传    真：</w:t>
      </w:r>
      <w:r>
        <w:rPr>
          <w:rFonts w:ascii="宋体" w:hAnsi="宋体"/>
          <w:snapToGrid w:val="0"/>
          <w:kern w:val="0"/>
          <w:szCs w:val="21"/>
          <w:u w:val="single"/>
        </w:rPr>
        <w:t xml:space="preserve">                                 </w:t>
      </w:r>
    </w:p>
    <w:p w14:paraId="622385F1">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电子邮件：</w:t>
      </w:r>
      <w:r>
        <w:rPr>
          <w:rFonts w:ascii="宋体" w:hAnsi="宋体"/>
          <w:snapToGrid w:val="0"/>
          <w:kern w:val="0"/>
          <w:szCs w:val="21"/>
          <w:u w:val="single"/>
        </w:rPr>
        <w:t xml:space="preserve">                             </w:t>
      </w:r>
      <w:r>
        <w:rPr>
          <w:rFonts w:ascii="宋体" w:hAnsi="宋体"/>
          <w:snapToGrid w:val="0"/>
          <w:kern w:val="0"/>
          <w:szCs w:val="21"/>
        </w:rPr>
        <w:t xml:space="preserve">     电子邮件：</w:t>
      </w:r>
      <w:r>
        <w:rPr>
          <w:rFonts w:ascii="宋体" w:hAnsi="宋体"/>
          <w:snapToGrid w:val="0"/>
          <w:kern w:val="0"/>
          <w:szCs w:val="21"/>
          <w:u w:val="single"/>
        </w:rPr>
        <w:t xml:space="preserve">                                </w:t>
      </w:r>
    </w:p>
    <w:p w14:paraId="1EDF0C25">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rPr>
      </w:pPr>
      <w:r>
        <w:rPr>
          <w:rFonts w:ascii="宋体" w:hAnsi="宋体"/>
          <w:snapToGrid w:val="0"/>
          <w:kern w:val="0"/>
          <w:szCs w:val="21"/>
        </w:rPr>
        <w:t>开户银行：</w:t>
      </w:r>
      <w:r>
        <w:rPr>
          <w:rFonts w:ascii="宋体" w:hAnsi="宋体"/>
          <w:snapToGrid w:val="0"/>
          <w:kern w:val="0"/>
          <w:szCs w:val="21"/>
          <w:u w:val="single"/>
        </w:rPr>
        <w:t xml:space="preserve">                             </w:t>
      </w:r>
      <w:r>
        <w:rPr>
          <w:rFonts w:ascii="宋体" w:hAnsi="宋体"/>
          <w:snapToGrid w:val="0"/>
          <w:kern w:val="0"/>
          <w:szCs w:val="21"/>
        </w:rPr>
        <w:t xml:space="preserve">     开户银行：</w:t>
      </w:r>
      <w:r>
        <w:rPr>
          <w:rFonts w:ascii="宋体" w:hAnsi="宋体"/>
          <w:snapToGrid w:val="0"/>
          <w:kern w:val="0"/>
          <w:szCs w:val="21"/>
          <w:u w:val="single"/>
        </w:rPr>
        <w:t xml:space="preserve">                                </w:t>
      </w:r>
    </w:p>
    <w:p w14:paraId="647CED80">
      <w:pPr>
        <w:tabs>
          <w:tab w:val="left" w:pos="5140"/>
          <w:tab w:val="left" w:pos="8420"/>
        </w:tabs>
        <w:autoSpaceDE w:val="0"/>
        <w:autoSpaceDN w:val="0"/>
        <w:adjustRightInd w:val="0"/>
        <w:snapToGrid w:val="0"/>
        <w:spacing w:line="360" w:lineRule="auto"/>
        <w:ind w:firstLine="420" w:firstLineChars="200"/>
        <w:jc w:val="left"/>
        <w:rPr>
          <w:rFonts w:ascii="宋体" w:hAnsi="宋体"/>
          <w:snapToGrid w:val="0"/>
          <w:kern w:val="0"/>
          <w:szCs w:val="21"/>
          <w:u w:val="single"/>
        </w:rPr>
      </w:pPr>
      <w:r>
        <w:rPr>
          <w:rFonts w:ascii="宋体" w:hAnsi="宋体"/>
          <w:snapToGrid w:val="0"/>
          <w:kern w:val="0"/>
          <w:szCs w:val="21"/>
        </w:rPr>
        <w:t>账    号：</w:t>
      </w:r>
      <w:r>
        <w:rPr>
          <w:rFonts w:ascii="宋体" w:hAnsi="宋体"/>
          <w:snapToGrid w:val="0"/>
          <w:kern w:val="0"/>
          <w:szCs w:val="21"/>
          <w:u w:val="single"/>
        </w:rPr>
        <w:t xml:space="preserve">                             </w:t>
      </w:r>
      <w:r>
        <w:rPr>
          <w:rFonts w:ascii="宋体" w:hAnsi="宋体"/>
          <w:snapToGrid w:val="0"/>
          <w:kern w:val="0"/>
          <w:szCs w:val="21"/>
        </w:rPr>
        <w:t xml:space="preserve">     账    号：</w:t>
      </w:r>
      <w:r>
        <w:rPr>
          <w:rFonts w:ascii="宋体" w:hAnsi="宋体"/>
          <w:snapToGrid w:val="0"/>
          <w:kern w:val="0"/>
          <w:szCs w:val="21"/>
          <w:u w:val="single"/>
        </w:rPr>
        <w:t xml:space="preserve">                                </w:t>
      </w:r>
    </w:p>
    <w:p w14:paraId="518DD963">
      <w:pPr>
        <w:tabs>
          <w:tab w:val="left" w:pos="5140"/>
          <w:tab w:val="left" w:pos="8420"/>
        </w:tabs>
        <w:autoSpaceDE w:val="0"/>
        <w:autoSpaceDN w:val="0"/>
        <w:adjustRightInd w:val="0"/>
        <w:snapToGrid w:val="0"/>
        <w:spacing w:line="360" w:lineRule="auto"/>
        <w:jc w:val="left"/>
        <w:rPr>
          <w:rFonts w:ascii="宋体" w:hAnsi="宋体"/>
          <w:snapToGrid w:val="0"/>
          <w:kern w:val="0"/>
          <w:szCs w:val="21"/>
          <w:u w:val="single"/>
        </w:rPr>
      </w:pPr>
    </w:p>
    <w:p w14:paraId="4836DB94">
      <w:pPr>
        <w:autoSpaceDE w:val="0"/>
        <w:autoSpaceDN w:val="0"/>
        <w:adjustRightInd w:val="0"/>
        <w:snapToGrid w:val="0"/>
        <w:spacing w:line="360" w:lineRule="auto"/>
        <w:ind w:firstLine="3906" w:firstLineChars="1860"/>
        <w:jc w:val="right"/>
        <w:rPr>
          <w:rFonts w:hint="eastAsia" w:ascii="宋体" w:hAnsi="宋体"/>
          <w:snapToGrid w:val="0"/>
          <w:kern w:val="0"/>
          <w:szCs w:val="21"/>
        </w:rPr>
      </w:pPr>
      <w:r>
        <w:rPr>
          <w:rFonts w:ascii="宋体" w:hAnsi="宋体"/>
          <w:snapToGrid w:val="0"/>
          <w:kern w:val="0"/>
          <w:szCs w:val="21"/>
          <w:u w:val="single"/>
        </w:rPr>
        <w:t xml:space="preserve">         </w:t>
      </w:r>
      <w:r>
        <w:rPr>
          <w:rFonts w:ascii="宋体" w:hAnsi="宋体"/>
          <w:snapToGrid w:val="0"/>
          <w:kern w:val="0"/>
          <w:szCs w:val="21"/>
        </w:rPr>
        <w:t>年</w:t>
      </w:r>
      <w:r>
        <w:rPr>
          <w:rFonts w:ascii="宋体" w:hAnsi="宋体"/>
          <w:snapToGrid w:val="0"/>
          <w:kern w:val="0"/>
          <w:szCs w:val="21"/>
          <w:u w:val="single"/>
        </w:rPr>
        <w:t xml:space="preserve">      </w:t>
      </w:r>
      <w:r>
        <w:rPr>
          <w:rFonts w:ascii="宋体" w:hAnsi="宋体"/>
          <w:snapToGrid w:val="0"/>
          <w:kern w:val="0"/>
          <w:szCs w:val="21"/>
        </w:rPr>
        <w:t>月</w:t>
      </w:r>
      <w:r>
        <w:rPr>
          <w:rFonts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rPr>
        <w:t xml:space="preserve"> </w:t>
      </w:r>
    </w:p>
    <w:p w14:paraId="77941A96">
      <w:pPr>
        <w:pStyle w:val="3"/>
        <w:spacing w:line="360" w:lineRule="auto"/>
        <w:ind w:firstLine="883"/>
        <w:jc w:val="center"/>
        <w:rPr>
          <w:rFonts w:hint="eastAsia" w:ascii="宋体" w:hAnsi="宋体"/>
          <w:bCs w:val="0"/>
          <w:snapToGrid w:val="0"/>
          <w:kern w:val="0"/>
        </w:rPr>
      </w:pPr>
      <w:bookmarkStart w:id="157" w:name="_Toc277082550"/>
      <w:bookmarkStart w:id="158" w:name="_Toc430530431"/>
      <w:bookmarkStart w:id="159" w:name="_Toc27983231"/>
      <w:bookmarkStart w:id="160" w:name="_Toc287620682"/>
      <w:bookmarkStart w:id="161" w:name="_Toc287607743"/>
      <w:bookmarkStart w:id="162" w:name="_Toc224103314"/>
      <w:bookmarkStart w:id="163" w:name="_Toc509218707"/>
      <w:bookmarkStart w:id="164" w:name="_Toc224103315"/>
      <w:bookmarkStart w:id="165" w:name="_Toc287607744"/>
      <w:bookmarkStart w:id="166" w:name="_Toc287620683"/>
      <w:bookmarkStart w:id="167" w:name="_Toc430530432"/>
      <w:r>
        <w:rPr>
          <w:rFonts w:hint="eastAsia" w:ascii="宋体" w:hAnsi="宋体" w:cs="宋体"/>
          <w:snapToGrid w:val="0"/>
        </w:rPr>
        <w:br w:type="page"/>
      </w:r>
      <w:bookmarkEnd w:id="157"/>
      <w:bookmarkEnd w:id="158"/>
      <w:bookmarkEnd w:id="159"/>
      <w:bookmarkEnd w:id="160"/>
      <w:bookmarkEnd w:id="161"/>
      <w:bookmarkEnd w:id="162"/>
      <w:bookmarkEnd w:id="163"/>
      <w:bookmarkStart w:id="168" w:name="_Toc57795858"/>
      <w:bookmarkStart w:id="169" w:name="_Toc13593"/>
      <w:r>
        <w:rPr>
          <w:rFonts w:hint="eastAsia" w:ascii="宋体" w:hAnsi="宋体" w:cs="宋体"/>
          <w:bCs w:val="0"/>
          <w:snapToGrid w:val="0"/>
        </w:rPr>
        <w:t>第二章  投标人须知</w:t>
      </w:r>
      <w:bookmarkEnd w:id="164"/>
      <w:bookmarkEnd w:id="165"/>
      <w:bookmarkEnd w:id="166"/>
      <w:bookmarkEnd w:id="167"/>
      <w:bookmarkEnd w:id="168"/>
      <w:bookmarkEnd w:id="169"/>
      <w:bookmarkStart w:id="170" w:name="_Toc224103316"/>
      <w:bookmarkStart w:id="171" w:name="_Toc287607745"/>
      <w:bookmarkStart w:id="172" w:name="_Toc287620684"/>
      <w:bookmarkStart w:id="173" w:name="_Toc277082551"/>
      <w:bookmarkStart w:id="174" w:name="_Toc430530433"/>
    </w:p>
    <w:p w14:paraId="30E8869D">
      <w:pPr>
        <w:pStyle w:val="4"/>
        <w:spacing w:before="100" w:after="100" w:line="360" w:lineRule="auto"/>
        <w:rPr>
          <w:rFonts w:hint="eastAsia" w:ascii="宋体" w:hAnsi="宋体" w:cs="宋体"/>
          <w:bCs w:val="0"/>
          <w:sz w:val="28"/>
          <w:szCs w:val="28"/>
        </w:rPr>
      </w:pPr>
      <w:bookmarkStart w:id="175" w:name="_Toc509218708"/>
      <w:bookmarkStart w:id="176" w:name="_Toc57795859"/>
      <w:bookmarkStart w:id="177" w:name="_Toc3734"/>
      <w:r>
        <w:rPr>
          <w:rFonts w:hint="eastAsia" w:ascii="宋体" w:hAnsi="宋体" w:cs="宋体"/>
          <w:bCs w:val="0"/>
          <w:sz w:val="28"/>
          <w:szCs w:val="28"/>
        </w:rPr>
        <w:t>投标人须知前附表</w:t>
      </w:r>
      <w:bookmarkEnd w:id="170"/>
      <w:bookmarkEnd w:id="171"/>
      <w:bookmarkEnd w:id="172"/>
      <w:bookmarkEnd w:id="173"/>
      <w:bookmarkEnd w:id="174"/>
      <w:bookmarkEnd w:id="175"/>
      <w:bookmarkEnd w:id="176"/>
      <w:bookmarkEnd w:id="177"/>
    </w:p>
    <w:p w14:paraId="5418C87C">
      <w:pPr>
        <w:spacing w:line="360" w:lineRule="auto"/>
        <w:ind w:firstLine="420" w:firstLineChars="200"/>
        <w:rPr>
          <w:rFonts w:hint="eastAsia" w:ascii="宋体" w:hAnsi="宋体"/>
          <w:szCs w:val="21"/>
        </w:rPr>
      </w:pPr>
      <w:r>
        <w:rPr>
          <w:rFonts w:ascii="宋体" w:hAnsi="宋体"/>
          <w:szCs w:val="21"/>
        </w:rPr>
        <w:t>正文内容不允许修改。若投标人须知前附表与正文不一致的地方，以投标人须知前附表为准。</w:t>
      </w:r>
    </w:p>
    <w:tbl>
      <w:tblPr>
        <w:tblStyle w:val="31"/>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15"/>
        <w:gridCol w:w="6519"/>
      </w:tblGrid>
      <w:tr w14:paraId="285036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35" w:type="dxa"/>
            <w:vAlign w:val="center"/>
          </w:tcPr>
          <w:p w14:paraId="425BAD79">
            <w:pPr>
              <w:snapToGrid w:val="0"/>
              <w:spacing w:line="400" w:lineRule="exact"/>
              <w:jc w:val="center"/>
              <w:rPr>
                <w:rFonts w:hint="eastAsia" w:ascii="宋体" w:hAnsi="宋体" w:cs="宋体"/>
                <w:b/>
                <w:kern w:val="0"/>
                <w:szCs w:val="21"/>
              </w:rPr>
            </w:pPr>
            <w:r>
              <w:rPr>
                <w:rFonts w:hint="eastAsia" w:ascii="宋体" w:hAnsi="宋体" w:cs="宋体"/>
                <w:b/>
                <w:kern w:val="0"/>
                <w:szCs w:val="21"/>
              </w:rPr>
              <w:t>条 款 号</w:t>
            </w:r>
          </w:p>
        </w:tc>
        <w:tc>
          <w:tcPr>
            <w:tcW w:w="1615" w:type="dxa"/>
            <w:vAlign w:val="center"/>
          </w:tcPr>
          <w:p w14:paraId="65DCAE69">
            <w:pPr>
              <w:snapToGrid w:val="0"/>
              <w:spacing w:line="400" w:lineRule="exact"/>
              <w:jc w:val="center"/>
              <w:rPr>
                <w:rFonts w:hint="eastAsia" w:ascii="宋体" w:hAnsi="宋体" w:cs="宋体"/>
                <w:b/>
                <w:kern w:val="0"/>
                <w:szCs w:val="21"/>
              </w:rPr>
            </w:pPr>
            <w:r>
              <w:rPr>
                <w:rFonts w:hint="eastAsia" w:ascii="宋体" w:hAnsi="宋体" w:cs="宋体"/>
                <w:b/>
                <w:kern w:val="0"/>
                <w:szCs w:val="21"/>
              </w:rPr>
              <w:t>条款名称</w:t>
            </w:r>
          </w:p>
        </w:tc>
        <w:tc>
          <w:tcPr>
            <w:tcW w:w="6519" w:type="dxa"/>
            <w:vAlign w:val="center"/>
          </w:tcPr>
          <w:p w14:paraId="0D6305F4">
            <w:pPr>
              <w:snapToGrid w:val="0"/>
              <w:spacing w:line="400" w:lineRule="exact"/>
              <w:jc w:val="center"/>
              <w:rPr>
                <w:rFonts w:hint="eastAsia" w:ascii="宋体" w:hAnsi="宋体" w:cs="宋体"/>
                <w:b/>
                <w:kern w:val="0"/>
                <w:szCs w:val="21"/>
              </w:rPr>
            </w:pPr>
            <w:r>
              <w:rPr>
                <w:rFonts w:hint="eastAsia" w:ascii="宋体" w:hAnsi="宋体" w:cs="宋体"/>
                <w:b/>
                <w:kern w:val="0"/>
                <w:szCs w:val="21"/>
              </w:rPr>
              <w:t>编  列  内  容</w:t>
            </w:r>
          </w:p>
        </w:tc>
      </w:tr>
      <w:tr w14:paraId="136566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4D5C74">
            <w:pPr>
              <w:snapToGrid w:val="0"/>
              <w:spacing w:line="400" w:lineRule="exact"/>
              <w:jc w:val="center"/>
              <w:rPr>
                <w:rFonts w:hint="eastAsia" w:ascii="宋体" w:hAnsi="宋体" w:cs="宋体"/>
                <w:kern w:val="0"/>
                <w:szCs w:val="21"/>
              </w:rPr>
            </w:pPr>
            <w:r>
              <w:rPr>
                <w:rFonts w:hint="eastAsia" w:ascii="宋体" w:hAnsi="宋体" w:cs="宋体"/>
                <w:kern w:val="0"/>
                <w:szCs w:val="21"/>
              </w:rPr>
              <w:t>1.1.2</w:t>
            </w:r>
          </w:p>
        </w:tc>
        <w:tc>
          <w:tcPr>
            <w:tcW w:w="1615" w:type="dxa"/>
            <w:vAlign w:val="center"/>
          </w:tcPr>
          <w:p w14:paraId="327771FD">
            <w:pPr>
              <w:snapToGrid w:val="0"/>
              <w:spacing w:line="400" w:lineRule="exact"/>
              <w:jc w:val="center"/>
              <w:rPr>
                <w:rFonts w:hint="eastAsia" w:ascii="宋体" w:hAnsi="宋体" w:cs="宋体"/>
                <w:kern w:val="0"/>
                <w:szCs w:val="21"/>
              </w:rPr>
            </w:pPr>
            <w:r>
              <w:rPr>
                <w:rFonts w:hint="eastAsia" w:ascii="宋体" w:hAnsi="宋体" w:cs="宋体"/>
                <w:kern w:val="0"/>
                <w:szCs w:val="21"/>
              </w:rPr>
              <w:t>招标人</w:t>
            </w:r>
          </w:p>
        </w:tc>
        <w:tc>
          <w:tcPr>
            <w:tcW w:w="6519" w:type="dxa"/>
            <w:vAlign w:val="center"/>
          </w:tcPr>
          <w:p w14:paraId="6967C903">
            <w:pPr>
              <w:snapToGrid w:val="0"/>
              <w:spacing w:line="400" w:lineRule="exact"/>
              <w:rPr>
                <w:rFonts w:hint="eastAsia" w:ascii="宋体" w:hAnsi="宋体" w:cs="宋体"/>
                <w:kern w:val="0"/>
                <w:szCs w:val="21"/>
              </w:rPr>
            </w:pPr>
            <w:r>
              <w:rPr>
                <w:rFonts w:hint="eastAsia" w:ascii="宋体" w:hAnsi="宋体" w:cs="宋体"/>
                <w:kern w:val="0"/>
                <w:szCs w:val="21"/>
              </w:rPr>
              <w:t>名称：</w:t>
            </w:r>
            <w:r>
              <w:rPr>
                <w:rFonts w:hint="eastAsia" w:ascii="宋体" w:hAnsi="宋体" w:cs="宋体"/>
                <w:szCs w:val="21"/>
                <w:u w:val="single"/>
              </w:rPr>
              <w:t xml:space="preserve">        </w:t>
            </w:r>
          </w:p>
          <w:p w14:paraId="430208FF">
            <w:pPr>
              <w:snapToGrid w:val="0"/>
              <w:spacing w:line="400" w:lineRule="exact"/>
              <w:rPr>
                <w:rFonts w:hint="eastAsia" w:ascii="宋体" w:hAnsi="宋体" w:cs="宋体"/>
                <w:kern w:val="0"/>
                <w:szCs w:val="21"/>
              </w:rPr>
            </w:pPr>
            <w:r>
              <w:rPr>
                <w:rFonts w:hint="eastAsia" w:ascii="宋体" w:hAnsi="宋体" w:cs="宋体"/>
                <w:kern w:val="0"/>
                <w:szCs w:val="21"/>
              </w:rPr>
              <w:t>地址：</w:t>
            </w:r>
            <w:r>
              <w:rPr>
                <w:rFonts w:hint="eastAsia" w:ascii="宋体" w:hAnsi="宋体" w:cs="宋体"/>
                <w:szCs w:val="21"/>
                <w:u w:val="single"/>
              </w:rPr>
              <w:t xml:space="preserve">        </w:t>
            </w:r>
          </w:p>
          <w:p w14:paraId="65E5F109">
            <w:pPr>
              <w:snapToGrid w:val="0"/>
              <w:spacing w:line="400" w:lineRule="exact"/>
              <w:rPr>
                <w:rFonts w:hint="eastAsia" w:ascii="宋体" w:hAnsi="宋体" w:cs="宋体"/>
                <w:kern w:val="0"/>
                <w:szCs w:val="21"/>
              </w:rPr>
            </w:pPr>
            <w:r>
              <w:rPr>
                <w:rFonts w:hint="eastAsia" w:ascii="宋体" w:hAnsi="宋体" w:cs="宋体"/>
                <w:kern w:val="0"/>
                <w:szCs w:val="21"/>
              </w:rPr>
              <w:t>联系人：</w:t>
            </w:r>
            <w:r>
              <w:rPr>
                <w:rFonts w:hint="eastAsia" w:ascii="宋体" w:hAnsi="宋体" w:cs="宋体"/>
                <w:szCs w:val="21"/>
                <w:u w:val="single"/>
              </w:rPr>
              <w:t xml:space="preserve">        </w:t>
            </w:r>
          </w:p>
          <w:p w14:paraId="55549530">
            <w:pPr>
              <w:snapToGrid w:val="0"/>
              <w:spacing w:line="400" w:lineRule="exact"/>
              <w:rPr>
                <w:rFonts w:hint="eastAsia" w:ascii="宋体" w:hAnsi="宋体" w:cs="宋体"/>
                <w:kern w:val="0"/>
                <w:szCs w:val="21"/>
              </w:rPr>
            </w:pPr>
            <w:r>
              <w:rPr>
                <w:rFonts w:hint="eastAsia" w:ascii="宋体" w:hAnsi="宋体" w:cs="宋体"/>
                <w:kern w:val="0"/>
                <w:szCs w:val="21"/>
              </w:rPr>
              <w:t>电话：</w:t>
            </w:r>
            <w:r>
              <w:rPr>
                <w:rFonts w:hint="eastAsia" w:ascii="宋体" w:hAnsi="宋体" w:cs="宋体"/>
                <w:szCs w:val="21"/>
                <w:u w:val="single"/>
              </w:rPr>
              <w:t xml:space="preserve">        </w:t>
            </w:r>
          </w:p>
        </w:tc>
      </w:tr>
      <w:tr w14:paraId="56C61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DA2F74D">
            <w:pPr>
              <w:snapToGrid w:val="0"/>
              <w:spacing w:line="400" w:lineRule="exact"/>
              <w:jc w:val="center"/>
              <w:rPr>
                <w:rFonts w:hint="eastAsia" w:ascii="宋体" w:hAnsi="宋体" w:cs="宋体"/>
                <w:kern w:val="0"/>
                <w:szCs w:val="21"/>
              </w:rPr>
            </w:pPr>
            <w:r>
              <w:rPr>
                <w:rFonts w:hint="eastAsia" w:ascii="宋体" w:hAnsi="宋体" w:cs="宋体"/>
                <w:kern w:val="0"/>
                <w:szCs w:val="21"/>
              </w:rPr>
              <w:t>1.1.3</w:t>
            </w:r>
          </w:p>
        </w:tc>
        <w:tc>
          <w:tcPr>
            <w:tcW w:w="1615" w:type="dxa"/>
            <w:vAlign w:val="center"/>
          </w:tcPr>
          <w:p w14:paraId="7A95B176">
            <w:pPr>
              <w:snapToGrid w:val="0"/>
              <w:spacing w:line="400" w:lineRule="exact"/>
              <w:jc w:val="center"/>
              <w:rPr>
                <w:rFonts w:hint="eastAsia" w:ascii="宋体" w:hAnsi="宋体" w:cs="宋体"/>
                <w:kern w:val="0"/>
                <w:szCs w:val="21"/>
              </w:rPr>
            </w:pPr>
            <w:r>
              <w:rPr>
                <w:rFonts w:hint="eastAsia" w:ascii="宋体" w:hAnsi="宋体" w:cs="宋体"/>
                <w:kern w:val="0"/>
                <w:szCs w:val="21"/>
              </w:rPr>
              <w:t>招标代理机构</w:t>
            </w:r>
          </w:p>
        </w:tc>
        <w:tc>
          <w:tcPr>
            <w:tcW w:w="6519" w:type="dxa"/>
            <w:vAlign w:val="center"/>
          </w:tcPr>
          <w:p w14:paraId="20C4194E">
            <w:pPr>
              <w:snapToGrid w:val="0"/>
              <w:spacing w:line="400" w:lineRule="exact"/>
              <w:rPr>
                <w:rFonts w:hint="eastAsia" w:ascii="宋体" w:hAnsi="宋体" w:cs="宋体"/>
                <w:kern w:val="0"/>
                <w:szCs w:val="21"/>
              </w:rPr>
            </w:pPr>
            <w:r>
              <w:rPr>
                <w:rFonts w:hint="eastAsia" w:ascii="宋体" w:hAnsi="宋体" w:cs="宋体"/>
                <w:kern w:val="0"/>
                <w:szCs w:val="21"/>
              </w:rPr>
              <w:t>名称：</w:t>
            </w:r>
            <w:r>
              <w:rPr>
                <w:rFonts w:hint="eastAsia" w:ascii="宋体" w:hAnsi="宋体" w:cs="宋体"/>
                <w:szCs w:val="21"/>
                <w:u w:val="single"/>
              </w:rPr>
              <w:t xml:space="preserve">        </w:t>
            </w:r>
          </w:p>
          <w:p w14:paraId="56AF9E67">
            <w:pPr>
              <w:snapToGrid w:val="0"/>
              <w:spacing w:line="400" w:lineRule="exact"/>
              <w:rPr>
                <w:rFonts w:hint="eastAsia" w:ascii="宋体" w:hAnsi="宋体" w:cs="宋体"/>
                <w:kern w:val="0"/>
                <w:szCs w:val="21"/>
              </w:rPr>
            </w:pPr>
            <w:r>
              <w:rPr>
                <w:rFonts w:hint="eastAsia" w:ascii="宋体" w:hAnsi="宋体" w:cs="宋体"/>
                <w:kern w:val="0"/>
                <w:szCs w:val="21"/>
              </w:rPr>
              <w:t>地址：</w:t>
            </w:r>
            <w:r>
              <w:rPr>
                <w:rFonts w:hint="eastAsia" w:ascii="宋体" w:hAnsi="宋体" w:cs="宋体"/>
                <w:szCs w:val="21"/>
                <w:u w:val="single"/>
              </w:rPr>
              <w:t xml:space="preserve">        </w:t>
            </w:r>
          </w:p>
          <w:p w14:paraId="419202C9">
            <w:pPr>
              <w:snapToGrid w:val="0"/>
              <w:spacing w:line="400" w:lineRule="exact"/>
              <w:rPr>
                <w:rFonts w:hint="eastAsia" w:ascii="宋体" w:hAnsi="宋体" w:cs="宋体"/>
                <w:kern w:val="0"/>
                <w:szCs w:val="21"/>
              </w:rPr>
            </w:pPr>
            <w:r>
              <w:rPr>
                <w:rFonts w:hint="eastAsia" w:ascii="宋体" w:hAnsi="宋体" w:cs="宋体"/>
                <w:kern w:val="0"/>
                <w:szCs w:val="21"/>
              </w:rPr>
              <w:t>联系人：</w:t>
            </w:r>
            <w:r>
              <w:rPr>
                <w:rFonts w:hint="eastAsia" w:ascii="宋体" w:hAnsi="宋体" w:cs="宋体"/>
                <w:szCs w:val="21"/>
                <w:u w:val="single"/>
              </w:rPr>
              <w:t xml:space="preserve">        </w:t>
            </w:r>
          </w:p>
          <w:p w14:paraId="0D96D645">
            <w:pPr>
              <w:snapToGrid w:val="0"/>
              <w:spacing w:line="400" w:lineRule="exact"/>
              <w:rPr>
                <w:rFonts w:hint="eastAsia" w:ascii="宋体" w:hAnsi="宋体" w:cs="宋体"/>
                <w:kern w:val="0"/>
                <w:szCs w:val="21"/>
              </w:rPr>
            </w:pPr>
            <w:r>
              <w:rPr>
                <w:rFonts w:hint="eastAsia" w:ascii="宋体" w:hAnsi="宋体" w:cs="宋体"/>
                <w:kern w:val="0"/>
                <w:szCs w:val="21"/>
              </w:rPr>
              <w:t>电话：</w:t>
            </w:r>
            <w:r>
              <w:rPr>
                <w:rFonts w:hint="eastAsia" w:ascii="宋体" w:hAnsi="宋体" w:cs="宋体"/>
                <w:szCs w:val="21"/>
                <w:u w:val="single"/>
              </w:rPr>
              <w:t xml:space="preserve">        </w:t>
            </w:r>
          </w:p>
        </w:tc>
      </w:tr>
      <w:tr w14:paraId="18A347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EE0C275">
            <w:pPr>
              <w:snapToGrid w:val="0"/>
              <w:spacing w:line="400" w:lineRule="exact"/>
              <w:jc w:val="center"/>
              <w:rPr>
                <w:rFonts w:hint="eastAsia" w:ascii="宋体" w:hAnsi="宋体" w:cs="宋体"/>
                <w:kern w:val="0"/>
                <w:szCs w:val="21"/>
              </w:rPr>
            </w:pPr>
            <w:r>
              <w:rPr>
                <w:rFonts w:hint="eastAsia" w:ascii="宋体" w:hAnsi="宋体" w:cs="宋体"/>
                <w:kern w:val="0"/>
                <w:szCs w:val="21"/>
              </w:rPr>
              <w:t>1.1.4</w:t>
            </w:r>
          </w:p>
        </w:tc>
        <w:tc>
          <w:tcPr>
            <w:tcW w:w="1615" w:type="dxa"/>
            <w:vAlign w:val="center"/>
          </w:tcPr>
          <w:p w14:paraId="4A161A04">
            <w:pPr>
              <w:widowControl/>
              <w:spacing w:line="400" w:lineRule="exact"/>
              <w:jc w:val="center"/>
              <w:rPr>
                <w:rFonts w:hint="eastAsia" w:ascii="宋体" w:hAnsi="宋体" w:cs="宋体"/>
                <w:kern w:val="0"/>
                <w:szCs w:val="21"/>
              </w:rPr>
            </w:pPr>
            <w:r>
              <w:rPr>
                <w:rFonts w:hint="eastAsia" w:ascii="宋体" w:hAnsi="宋体" w:cs="宋体"/>
                <w:kern w:val="0"/>
                <w:szCs w:val="21"/>
                <w:lang w:bidi="ar"/>
              </w:rPr>
              <w:t>招标项目名称</w:t>
            </w:r>
          </w:p>
        </w:tc>
        <w:tc>
          <w:tcPr>
            <w:tcW w:w="6519" w:type="dxa"/>
            <w:vAlign w:val="center"/>
          </w:tcPr>
          <w:p w14:paraId="4B609DC4">
            <w:pPr>
              <w:snapToGrid w:val="0"/>
              <w:spacing w:line="400" w:lineRule="exact"/>
              <w:jc w:val="left"/>
              <w:rPr>
                <w:rFonts w:hint="eastAsia" w:ascii="宋体" w:hAnsi="宋体" w:cs="宋体"/>
                <w:szCs w:val="21"/>
              </w:rPr>
            </w:pPr>
            <w:r>
              <w:rPr>
                <w:rFonts w:hint="eastAsia" w:ascii="宋体" w:hAnsi="宋体" w:cs="宋体"/>
                <w:szCs w:val="21"/>
                <w:u w:val="single"/>
              </w:rPr>
              <w:t xml:space="preserve">        </w:t>
            </w:r>
          </w:p>
        </w:tc>
      </w:tr>
      <w:tr w14:paraId="7FE63E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D95DBB1">
            <w:pPr>
              <w:snapToGrid w:val="0"/>
              <w:spacing w:line="400" w:lineRule="exact"/>
              <w:jc w:val="center"/>
              <w:rPr>
                <w:rFonts w:hint="eastAsia" w:ascii="宋体" w:hAnsi="宋体" w:cs="宋体"/>
                <w:kern w:val="0"/>
                <w:szCs w:val="21"/>
              </w:rPr>
            </w:pPr>
            <w:r>
              <w:rPr>
                <w:rFonts w:hint="eastAsia" w:ascii="宋体" w:hAnsi="宋体" w:cs="宋体"/>
                <w:kern w:val="0"/>
                <w:szCs w:val="21"/>
              </w:rPr>
              <w:t>1.1.5</w:t>
            </w:r>
          </w:p>
        </w:tc>
        <w:tc>
          <w:tcPr>
            <w:tcW w:w="1615" w:type="dxa"/>
            <w:vAlign w:val="center"/>
          </w:tcPr>
          <w:p w14:paraId="4384D5B7">
            <w:pPr>
              <w:snapToGrid w:val="0"/>
              <w:spacing w:line="400" w:lineRule="exact"/>
              <w:jc w:val="center"/>
              <w:rPr>
                <w:rFonts w:hint="eastAsia" w:ascii="宋体" w:hAnsi="宋体" w:cs="宋体"/>
                <w:kern w:val="0"/>
                <w:szCs w:val="21"/>
              </w:rPr>
            </w:pPr>
            <w:r>
              <w:rPr>
                <w:rFonts w:hint="eastAsia" w:ascii="宋体" w:hAnsi="宋体" w:cs="宋体"/>
                <w:kern w:val="0"/>
                <w:szCs w:val="21"/>
              </w:rPr>
              <w:t>建设地点</w:t>
            </w:r>
          </w:p>
        </w:tc>
        <w:tc>
          <w:tcPr>
            <w:tcW w:w="6519" w:type="dxa"/>
            <w:vAlign w:val="center"/>
          </w:tcPr>
          <w:p w14:paraId="204B7832">
            <w:pPr>
              <w:snapToGrid w:val="0"/>
              <w:spacing w:line="400" w:lineRule="exact"/>
              <w:jc w:val="left"/>
              <w:rPr>
                <w:rFonts w:hint="eastAsia" w:ascii="宋体" w:hAnsi="宋体" w:cs="宋体"/>
                <w:szCs w:val="21"/>
              </w:rPr>
            </w:pPr>
            <w:r>
              <w:rPr>
                <w:rFonts w:hint="eastAsia" w:ascii="宋体" w:hAnsi="宋体" w:cs="宋体"/>
                <w:szCs w:val="21"/>
                <w:u w:val="single"/>
              </w:rPr>
              <w:t xml:space="preserve">        </w:t>
            </w:r>
          </w:p>
        </w:tc>
      </w:tr>
      <w:tr w14:paraId="184A14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2EA490C">
            <w:pPr>
              <w:snapToGrid w:val="0"/>
              <w:spacing w:line="400" w:lineRule="exact"/>
              <w:jc w:val="center"/>
              <w:rPr>
                <w:rFonts w:hint="eastAsia" w:ascii="宋体" w:hAnsi="宋体" w:cs="宋体"/>
                <w:kern w:val="0"/>
                <w:szCs w:val="21"/>
              </w:rPr>
            </w:pPr>
            <w:r>
              <w:rPr>
                <w:rFonts w:hint="eastAsia" w:ascii="宋体" w:hAnsi="宋体" w:cs="宋体"/>
                <w:kern w:val="0"/>
                <w:szCs w:val="21"/>
              </w:rPr>
              <w:t>1.1.6</w:t>
            </w:r>
          </w:p>
        </w:tc>
        <w:tc>
          <w:tcPr>
            <w:tcW w:w="1615" w:type="dxa"/>
            <w:vAlign w:val="center"/>
          </w:tcPr>
          <w:p w14:paraId="6FA8144D">
            <w:pPr>
              <w:snapToGrid w:val="0"/>
              <w:spacing w:line="400" w:lineRule="exact"/>
              <w:jc w:val="center"/>
              <w:rPr>
                <w:rFonts w:hint="eastAsia" w:ascii="宋体" w:hAnsi="宋体" w:cs="宋体"/>
                <w:kern w:val="0"/>
                <w:szCs w:val="21"/>
              </w:rPr>
            </w:pPr>
            <w:r>
              <w:rPr>
                <w:rFonts w:hint="eastAsia" w:ascii="宋体" w:hAnsi="宋体" w:cs="宋体"/>
                <w:kern w:val="0"/>
                <w:szCs w:val="21"/>
              </w:rPr>
              <w:t>项目相关单位</w:t>
            </w:r>
          </w:p>
        </w:tc>
        <w:tc>
          <w:tcPr>
            <w:tcW w:w="6519" w:type="dxa"/>
            <w:vAlign w:val="center"/>
          </w:tcPr>
          <w:p w14:paraId="05664D56">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lang w:val="en-US" w:bidi="ar-SA"/>
              </w:rPr>
              <w:t>项目管理单位（如有）：</w:t>
            </w:r>
          </w:p>
          <w:p w14:paraId="35621FCE">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lang w:val="en-US" w:bidi="ar-SA"/>
              </w:rPr>
              <w:t>设计单位（如有）：</w:t>
            </w:r>
          </w:p>
          <w:p w14:paraId="7086E9AE">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lang w:val="en-US" w:bidi="ar-SA"/>
              </w:rPr>
              <w:t>咨询服务单位（如有）：</w:t>
            </w:r>
          </w:p>
          <w:p w14:paraId="7301611B">
            <w:pPr>
              <w:pStyle w:val="49"/>
              <w:spacing w:line="400" w:lineRule="exact"/>
              <w:rPr>
                <w:rFonts w:hint="eastAsia" w:ascii="宋体" w:hAnsi="宋体" w:eastAsia="宋体" w:cs="宋体"/>
                <w:sz w:val="21"/>
                <w:szCs w:val="21"/>
                <w:lang w:val="en-US" w:bidi="ar-SA"/>
              </w:rPr>
            </w:pPr>
            <w:r>
              <w:rPr>
                <w:rFonts w:hint="eastAsia" w:ascii="宋体" w:hAnsi="宋体" w:eastAsia="宋体" w:cs="宋体"/>
                <w:sz w:val="21"/>
                <w:szCs w:val="21"/>
              </w:rPr>
              <w:t>监理单位（如已确定）：</w:t>
            </w:r>
          </w:p>
        </w:tc>
      </w:tr>
      <w:tr w14:paraId="159DDD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647B48">
            <w:pPr>
              <w:snapToGrid w:val="0"/>
              <w:spacing w:line="400" w:lineRule="exact"/>
              <w:jc w:val="center"/>
              <w:rPr>
                <w:rFonts w:hint="eastAsia" w:ascii="宋体" w:hAnsi="宋体" w:cs="宋体"/>
                <w:kern w:val="0"/>
                <w:szCs w:val="21"/>
              </w:rPr>
            </w:pPr>
            <w:r>
              <w:rPr>
                <w:rFonts w:hint="eastAsia" w:ascii="宋体" w:hAnsi="宋体" w:cs="宋体"/>
                <w:kern w:val="0"/>
                <w:szCs w:val="21"/>
              </w:rPr>
              <w:t>1.2.1</w:t>
            </w:r>
          </w:p>
        </w:tc>
        <w:tc>
          <w:tcPr>
            <w:tcW w:w="1615" w:type="dxa"/>
            <w:vAlign w:val="center"/>
          </w:tcPr>
          <w:p w14:paraId="20DB8850">
            <w:pPr>
              <w:snapToGrid w:val="0"/>
              <w:spacing w:line="400" w:lineRule="exact"/>
              <w:jc w:val="center"/>
              <w:rPr>
                <w:rFonts w:hint="eastAsia" w:ascii="宋体" w:hAnsi="宋体" w:cs="宋体"/>
                <w:kern w:val="0"/>
                <w:szCs w:val="21"/>
              </w:rPr>
            </w:pPr>
            <w:r>
              <w:rPr>
                <w:rFonts w:hint="eastAsia" w:ascii="宋体" w:hAnsi="宋体" w:cs="宋体"/>
                <w:kern w:val="0"/>
                <w:szCs w:val="21"/>
              </w:rPr>
              <w:t>资金来源及比例</w:t>
            </w:r>
          </w:p>
        </w:tc>
        <w:tc>
          <w:tcPr>
            <w:tcW w:w="6519" w:type="dxa"/>
            <w:vAlign w:val="center"/>
          </w:tcPr>
          <w:p w14:paraId="1E30D805">
            <w:pPr>
              <w:snapToGrid w:val="0"/>
              <w:spacing w:line="400" w:lineRule="exact"/>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tc>
      </w:tr>
      <w:tr w14:paraId="6DDF9E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32D655">
            <w:pPr>
              <w:snapToGrid w:val="0"/>
              <w:spacing w:line="400" w:lineRule="exact"/>
              <w:jc w:val="center"/>
              <w:rPr>
                <w:rFonts w:hint="eastAsia" w:ascii="宋体" w:hAnsi="宋体" w:cs="宋体"/>
                <w:kern w:val="0"/>
                <w:szCs w:val="21"/>
              </w:rPr>
            </w:pPr>
            <w:r>
              <w:rPr>
                <w:rFonts w:hint="eastAsia" w:ascii="宋体" w:hAnsi="宋体" w:cs="宋体"/>
                <w:kern w:val="0"/>
                <w:szCs w:val="21"/>
              </w:rPr>
              <w:t>1.2.2</w:t>
            </w:r>
          </w:p>
        </w:tc>
        <w:tc>
          <w:tcPr>
            <w:tcW w:w="1615" w:type="dxa"/>
            <w:vAlign w:val="center"/>
          </w:tcPr>
          <w:p w14:paraId="39E0C32A">
            <w:pPr>
              <w:snapToGrid w:val="0"/>
              <w:spacing w:line="400" w:lineRule="exact"/>
              <w:jc w:val="center"/>
              <w:rPr>
                <w:rFonts w:hint="eastAsia" w:ascii="宋体" w:hAnsi="宋体" w:cs="宋体"/>
                <w:kern w:val="0"/>
                <w:szCs w:val="21"/>
              </w:rPr>
            </w:pPr>
            <w:r>
              <w:rPr>
                <w:rFonts w:hint="eastAsia" w:ascii="宋体" w:hAnsi="宋体" w:cs="宋体"/>
                <w:kern w:val="0"/>
                <w:szCs w:val="21"/>
              </w:rPr>
              <w:t>资金落实情况</w:t>
            </w:r>
          </w:p>
        </w:tc>
        <w:tc>
          <w:tcPr>
            <w:tcW w:w="6519" w:type="dxa"/>
            <w:vAlign w:val="center"/>
          </w:tcPr>
          <w:p w14:paraId="4831D039">
            <w:pPr>
              <w:snapToGrid w:val="0"/>
              <w:spacing w:line="400" w:lineRule="exact"/>
              <w:ind w:firstLine="420" w:firstLineChars="200"/>
              <w:rPr>
                <w:rFonts w:hint="eastAsia" w:ascii="宋体" w:hAnsi="宋体" w:cs="宋体"/>
                <w:szCs w:val="21"/>
              </w:rPr>
            </w:pPr>
            <w:r>
              <w:rPr>
                <w:rFonts w:hint="eastAsia" w:ascii="宋体" w:hAnsi="宋体" w:cs="宋体"/>
                <w:szCs w:val="21"/>
              </w:rPr>
              <w:t>已落实</w:t>
            </w:r>
          </w:p>
        </w:tc>
      </w:tr>
      <w:tr w14:paraId="69156B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3777E2B">
            <w:pPr>
              <w:snapToGrid w:val="0"/>
              <w:spacing w:line="400" w:lineRule="exact"/>
              <w:jc w:val="center"/>
              <w:rPr>
                <w:rFonts w:hint="eastAsia" w:ascii="宋体" w:hAnsi="宋体" w:cs="宋体"/>
                <w:kern w:val="0"/>
                <w:szCs w:val="21"/>
              </w:rPr>
            </w:pPr>
            <w:r>
              <w:rPr>
                <w:rFonts w:hint="eastAsia" w:ascii="宋体" w:hAnsi="宋体" w:cs="宋体"/>
                <w:kern w:val="0"/>
                <w:szCs w:val="21"/>
              </w:rPr>
              <w:t>1.3.1</w:t>
            </w:r>
          </w:p>
        </w:tc>
        <w:tc>
          <w:tcPr>
            <w:tcW w:w="1615" w:type="dxa"/>
            <w:vAlign w:val="center"/>
          </w:tcPr>
          <w:p w14:paraId="5A4C3629">
            <w:pPr>
              <w:snapToGrid w:val="0"/>
              <w:spacing w:line="400" w:lineRule="exact"/>
              <w:jc w:val="center"/>
              <w:rPr>
                <w:rFonts w:hint="eastAsia" w:ascii="宋体" w:hAnsi="宋体" w:cs="宋体"/>
                <w:kern w:val="0"/>
                <w:szCs w:val="21"/>
              </w:rPr>
            </w:pPr>
            <w:r>
              <w:rPr>
                <w:rFonts w:hint="eastAsia" w:ascii="宋体" w:hAnsi="宋体" w:cs="宋体"/>
                <w:kern w:val="0"/>
                <w:szCs w:val="21"/>
              </w:rPr>
              <w:t>招标范围</w:t>
            </w:r>
          </w:p>
        </w:tc>
        <w:tc>
          <w:tcPr>
            <w:tcW w:w="6519" w:type="dxa"/>
            <w:vAlign w:val="center"/>
          </w:tcPr>
          <w:p w14:paraId="1E80E986">
            <w:pPr>
              <w:snapToGrid w:val="0"/>
              <w:spacing w:line="400" w:lineRule="exact"/>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w:t>
            </w:r>
          </w:p>
          <w:p w14:paraId="34A79E92">
            <w:pPr>
              <w:snapToGrid w:val="0"/>
              <w:spacing w:line="400" w:lineRule="exact"/>
              <w:ind w:firstLine="420" w:firstLineChars="200"/>
              <w:rPr>
                <w:rFonts w:hint="eastAsia" w:ascii="宋体" w:hAnsi="宋体" w:cs="宋体"/>
                <w:szCs w:val="21"/>
              </w:rPr>
            </w:pPr>
            <w:r>
              <w:rPr>
                <w:rFonts w:hint="eastAsia" w:ascii="宋体" w:hAnsi="宋体" w:cs="宋体"/>
                <w:i/>
                <w:szCs w:val="21"/>
              </w:rPr>
              <w:t>[提示：与招标公告保持一致。]</w:t>
            </w:r>
          </w:p>
        </w:tc>
      </w:tr>
      <w:tr w14:paraId="60ABD2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F50F7BD">
            <w:pPr>
              <w:snapToGrid w:val="0"/>
              <w:spacing w:line="400" w:lineRule="exact"/>
              <w:jc w:val="center"/>
              <w:rPr>
                <w:rFonts w:hint="eastAsia" w:ascii="宋体" w:hAnsi="宋体" w:cs="宋体"/>
                <w:kern w:val="0"/>
                <w:szCs w:val="21"/>
              </w:rPr>
            </w:pPr>
            <w:r>
              <w:rPr>
                <w:rFonts w:hint="eastAsia" w:ascii="宋体" w:hAnsi="宋体" w:cs="宋体"/>
                <w:kern w:val="0"/>
                <w:szCs w:val="21"/>
              </w:rPr>
              <w:t>1.3.2</w:t>
            </w:r>
          </w:p>
        </w:tc>
        <w:tc>
          <w:tcPr>
            <w:tcW w:w="1615" w:type="dxa"/>
            <w:vAlign w:val="center"/>
          </w:tcPr>
          <w:p w14:paraId="17D4E5E6">
            <w:pPr>
              <w:snapToGrid w:val="0"/>
              <w:spacing w:line="400" w:lineRule="exact"/>
              <w:jc w:val="center"/>
              <w:rPr>
                <w:rFonts w:hint="eastAsia" w:ascii="宋体" w:hAnsi="宋体" w:cs="宋体"/>
                <w:kern w:val="0"/>
                <w:szCs w:val="21"/>
              </w:rPr>
            </w:pPr>
            <w:r>
              <w:rPr>
                <w:rFonts w:hint="eastAsia" w:ascii="宋体" w:hAnsi="宋体" w:cs="宋体"/>
                <w:kern w:val="0"/>
                <w:szCs w:val="21"/>
              </w:rPr>
              <w:t>计划工期</w:t>
            </w:r>
          </w:p>
          <w:p w14:paraId="5ABD1B9B">
            <w:pPr>
              <w:snapToGrid w:val="0"/>
              <w:spacing w:line="400" w:lineRule="exact"/>
              <w:jc w:val="center"/>
              <w:rPr>
                <w:rFonts w:hint="eastAsia"/>
              </w:rPr>
            </w:pPr>
            <w:r>
              <w:rPr>
                <w:rFonts w:hint="eastAsia"/>
              </w:rPr>
              <w:t>缺陷责任期</w:t>
            </w:r>
          </w:p>
        </w:tc>
        <w:tc>
          <w:tcPr>
            <w:tcW w:w="6519" w:type="dxa"/>
            <w:vAlign w:val="center"/>
          </w:tcPr>
          <w:p w14:paraId="703D6196">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工期：</w:t>
            </w:r>
            <w:r>
              <w:rPr>
                <w:rFonts w:hint="eastAsia" w:ascii="宋体" w:hAnsi="宋体" w:cs="宋体"/>
                <w:kern w:val="0"/>
                <w:szCs w:val="21"/>
                <w:u w:val="single"/>
              </w:rPr>
              <w:t xml:space="preserve">    日历天</w:t>
            </w:r>
          </w:p>
          <w:p w14:paraId="2BDEDBB1">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计划开工日期：</w:t>
            </w:r>
            <w:r>
              <w:rPr>
                <w:rFonts w:hint="eastAsia" w:ascii="宋体" w:hAnsi="宋体" w:cs="宋体"/>
                <w:kern w:val="0"/>
                <w:szCs w:val="21"/>
                <w:u w:val="single"/>
              </w:rPr>
              <w:t xml:space="preserve">        </w:t>
            </w:r>
          </w:p>
          <w:p w14:paraId="63874A54">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计划交工日期：</w:t>
            </w:r>
            <w:r>
              <w:rPr>
                <w:rFonts w:hint="eastAsia" w:ascii="宋体" w:hAnsi="宋体" w:cs="宋体"/>
                <w:kern w:val="0"/>
                <w:szCs w:val="21"/>
                <w:u w:val="single"/>
              </w:rPr>
              <w:t xml:space="preserve">        </w:t>
            </w:r>
          </w:p>
          <w:p w14:paraId="052FFF27">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缺陷责任期：</w:t>
            </w:r>
            <w:r>
              <w:rPr>
                <w:rFonts w:hint="eastAsia" w:ascii="宋体" w:hAnsi="宋体" w:cs="宋体"/>
                <w:kern w:val="0"/>
                <w:szCs w:val="21"/>
                <w:u w:val="single"/>
              </w:rPr>
              <w:t xml:space="preserve">      个月</w:t>
            </w:r>
          </w:p>
        </w:tc>
      </w:tr>
      <w:tr w14:paraId="52D98A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68EC10">
            <w:pPr>
              <w:snapToGrid w:val="0"/>
              <w:spacing w:line="400" w:lineRule="exact"/>
              <w:jc w:val="center"/>
              <w:rPr>
                <w:rFonts w:hint="eastAsia" w:ascii="宋体" w:hAnsi="宋体" w:cs="宋体"/>
                <w:kern w:val="0"/>
                <w:szCs w:val="21"/>
              </w:rPr>
            </w:pPr>
            <w:r>
              <w:rPr>
                <w:rFonts w:hint="eastAsia" w:ascii="宋体" w:hAnsi="宋体" w:cs="宋体"/>
                <w:kern w:val="0"/>
                <w:szCs w:val="21"/>
              </w:rPr>
              <w:t>1.3.3</w:t>
            </w:r>
          </w:p>
        </w:tc>
        <w:tc>
          <w:tcPr>
            <w:tcW w:w="1615" w:type="dxa"/>
            <w:vAlign w:val="center"/>
          </w:tcPr>
          <w:p w14:paraId="6531BE78">
            <w:pPr>
              <w:snapToGrid w:val="0"/>
              <w:spacing w:line="400" w:lineRule="exact"/>
              <w:jc w:val="center"/>
              <w:rPr>
                <w:rFonts w:hint="eastAsia" w:ascii="宋体" w:hAnsi="宋体" w:cs="宋体"/>
                <w:kern w:val="0"/>
                <w:szCs w:val="21"/>
              </w:rPr>
            </w:pPr>
            <w:r>
              <w:rPr>
                <w:rFonts w:hint="eastAsia" w:ascii="宋体" w:hAnsi="宋体" w:cs="宋体"/>
                <w:kern w:val="0"/>
                <w:szCs w:val="21"/>
              </w:rPr>
              <w:t>质量要求</w:t>
            </w:r>
          </w:p>
        </w:tc>
        <w:tc>
          <w:tcPr>
            <w:tcW w:w="6519" w:type="dxa"/>
            <w:vAlign w:val="center"/>
          </w:tcPr>
          <w:p w14:paraId="0DF7EBC5">
            <w:pPr>
              <w:spacing w:line="400" w:lineRule="exact"/>
              <w:ind w:firstLine="420" w:firstLineChars="200"/>
              <w:rPr>
                <w:rFonts w:hint="eastAsia"/>
              </w:rPr>
            </w:pPr>
            <w:r>
              <w:rPr>
                <w:rFonts w:hint="eastAsia"/>
              </w:rPr>
              <w:t>工程交工验收的质量评定：</w:t>
            </w:r>
            <w:r>
              <w:rPr>
                <w:rFonts w:hint="eastAsia"/>
                <w:u w:val="single"/>
              </w:rPr>
              <w:t xml:space="preserve">        </w:t>
            </w:r>
          </w:p>
          <w:p w14:paraId="5B023EA0">
            <w:pPr>
              <w:spacing w:line="400" w:lineRule="exact"/>
              <w:ind w:firstLine="420" w:firstLineChars="200"/>
              <w:rPr>
                <w:rFonts w:hint="eastAsia"/>
              </w:rPr>
            </w:pPr>
            <w:r>
              <w:rPr>
                <w:rFonts w:hint="eastAsia"/>
              </w:rPr>
              <w:t>工程竣工验收的质量评定：</w:t>
            </w:r>
            <w:r>
              <w:rPr>
                <w:rFonts w:hint="eastAsia"/>
                <w:u w:val="single"/>
              </w:rPr>
              <w:t xml:space="preserve">        </w:t>
            </w:r>
          </w:p>
          <w:p w14:paraId="5D26AA67">
            <w:pPr>
              <w:spacing w:line="400" w:lineRule="exact"/>
              <w:ind w:firstLine="420" w:firstLineChars="200"/>
              <w:rPr>
                <w:rFonts w:hint="eastAsia" w:ascii="宋体" w:hAnsi="宋体" w:cs="宋体"/>
                <w:i/>
                <w:szCs w:val="21"/>
              </w:rPr>
            </w:pPr>
            <w:r>
              <w:rPr>
                <w:rFonts w:hint="eastAsia"/>
                <w:i/>
              </w:rPr>
              <w:t>[提示：根据工程实际情况确定合理的质量要求。]</w:t>
            </w:r>
          </w:p>
        </w:tc>
      </w:tr>
      <w:tr w14:paraId="2FA0B0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EF84E72">
            <w:pPr>
              <w:snapToGrid w:val="0"/>
              <w:spacing w:line="400" w:lineRule="exact"/>
              <w:jc w:val="center"/>
              <w:rPr>
                <w:rFonts w:hint="eastAsia" w:ascii="宋体" w:hAnsi="宋体" w:cs="宋体"/>
                <w:szCs w:val="21"/>
              </w:rPr>
            </w:pPr>
            <w:r>
              <w:rPr>
                <w:rFonts w:hint="eastAsia" w:ascii="宋体" w:hAnsi="宋体" w:cs="宋体"/>
                <w:szCs w:val="21"/>
              </w:rPr>
              <w:t>1.3.4</w:t>
            </w:r>
          </w:p>
        </w:tc>
        <w:tc>
          <w:tcPr>
            <w:tcW w:w="1615" w:type="dxa"/>
            <w:vAlign w:val="center"/>
          </w:tcPr>
          <w:p w14:paraId="54A48EA4">
            <w:pPr>
              <w:snapToGrid w:val="0"/>
              <w:spacing w:line="400" w:lineRule="exact"/>
              <w:jc w:val="center"/>
              <w:rPr>
                <w:rFonts w:hint="eastAsia" w:ascii="宋体" w:hAnsi="宋体" w:cs="宋体"/>
                <w:szCs w:val="21"/>
              </w:rPr>
            </w:pPr>
            <w:r>
              <w:rPr>
                <w:rFonts w:hint="eastAsia" w:ascii="宋体" w:hAnsi="宋体" w:cs="宋体"/>
                <w:szCs w:val="21"/>
              </w:rPr>
              <w:t>安全目标</w:t>
            </w:r>
          </w:p>
        </w:tc>
        <w:tc>
          <w:tcPr>
            <w:tcW w:w="6519" w:type="dxa"/>
            <w:vAlign w:val="center"/>
          </w:tcPr>
          <w:p w14:paraId="5898B2FB">
            <w:pPr>
              <w:snapToGrid w:val="0"/>
              <w:spacing w:line="400" w:lineRule="exact"/>
              <w:ind w:firstLine="420" w:firstLineChars="200"/>
              <w:rPr>
                <w:rFonts w:hint="eastAsia" w:ascii="宋体" w:hAnsi="宋体" w:cs="宋体"/>
                <w:iCs/>
                <w:szCs w:val="21"/>
                <w:u w:val="single"/>
              </w:rPr>
            </w:pPr>
            <w:r>
              <w:rPr>
                <w:rFonts w:hint="eastAsia" w:ascii="宋体" w:hAnsi="宋体" w:cs="宋体"/>
                <w:iCs/>
                <w:szCs w:val="21"/>
                <w:u w:val="single"/>
              </w:rPr>
              <w:t>无安全生产责任事故</w:t>
            </w:r>
          </w:p>
          <w:p w14:paraId="1004BC84">
            <w:pPr>
              <w:snapToGrid w:val="0"/>
              <w:spacing w:line="400" w:lineRule="exact"/>
              <w:ind w:firstLine="420" w:firstLineChars="200"/>
              <w:rPr>
                <w:rFonts w:hint="eastAsia" w:ascii="宋体" w:hAnsi="宋体" w:cs="宋体"/>
                <w:szCs w:val="21"/>
              </w:rPr>
            </w:pPr>
            <w:r>
              <w:rPr>
                <w:rFonts w:hint="eastAsia" w:ascii="宋体" w:hAnsi="宋体" w:cs="宋体"/>
                <w:i/>
                <w:szCs w:val="21"/>
              </w:rPr>
              <w:t>[提示：根据工程实际情况确定合理的安全目标。]</w:t>
            </w:r>
          </w:p>
        </w:tc>
      </w:tr>
      <w:tr w14:paraId="6033A5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7F5CB83">
            <w:pPr>
              <w:snapToGrid w:val="0"/>
              <w:spacing w:line="400" w:lineRule="exact"/>
              <w:jc w:val="center"/>
              <w:rPr>
                <w:rFonts w:ascii="宋体" w:hAnsi="宋体" w:cs="宋体"/>
                <w:szCs w:val="21"/>
              </w:rPr>
            </w:pPr>
            <w:r>
              <w:rPr>
                <w:rFonts w:hint="eastAsia" w:ascii="宋体" w:hAnsi="宋体" w:cs="宋体"/>
                <w:szCs w:val="21"/>
              </w:rPr>
              <w:t>1.3.5</w:t>
            </w:r>
          </w:p>
        </w:tc>
        <w:tc>
          <w:tcPr>
            <w:tcW w:w="1615" w:type="dxa"/>
            <w:vAlign w:val="center"/>
          </w:tcPr>
          <w:p w14:paraId="658F4269">
            <w:pPr>
              <w:snapToGrid w:val="0"/>
              <w:spacing w:line="400" w:lineRule="exact"/>
              <w:jc w:val="center"/>
              <w:rPr>
                <w:rFonts w:hint="eastAsia" w:ascii="宋体" w:hAnsi="宋体" w:cs="宋体"/>
                <w:szCs w:val="21"/>
              </w:rPr>
            </w:pPr>
            <w:r>
              <w:rPr>
                <w:rFonts w:hint="eastAsia" w:ascii="宋体" w:hAnsi="宋体" w:cs="宋体"/>
                <w:kern w:val="0"/>
                <w:szCs w:val="21"/>
              </w:rPr>
              <w:t>农民工工资保障目标</w:t>
            </w:r>
          </w:p>
        </w:tc>
        <w:tc>
          <w:tcPr>
            <w:tcW w:w="6519" w:type="dxa"/>
            <w:vAlign w:val="center"/>
          </w:tcPr>
          <w:p w14:paraId="67956911">
            <w:pPr>
              <w:snapToGrid w:val="0"/>
              <w:spacing w:line="400" w:lineRule="exact"/>
              <w:ind w:firstLine="420" w:firstLineChars="200"/>
              <w:rPr>
                <w:rFonts w:hint="eastAsia" w:ascii="宋体" w:hAnsi="宋体" w:cs="宋体"/>
                <w:i/>
                <w:szCs w:val="21"/>
              </w:rPr>
            </w:pPr>
            <w:r>
              <w:rPr>
                <w:rFonts w:hint="eastAsia" w:ascii="宋体" w:hAnsi="宋体" w:cs="宋体"/>
                <w:i/>
                <w:szCs w:val="21"/>
              </w:rPr>
              <w:t>[提示：招标人应根据招标项目具体特点和实际需要，对项目施工过程中的农民工工资支付提出目标要求。]</w:t>
            </w:r>
          </w:p>
        </w:tc>
      </w:tr>
      <w:tr w14:paraId="61063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547A74E">
            <w:pPr>
              <w:snapToGrid w:val="0"/>
              <w:spacing w:line="400" w:lineRule="exact"/>
              <w:jc w:val="center"/>
              <w:rPr>
                <w:rFonts w:hint="eastAsia" w:ascii="宋体" w:hAnsi="宋体" w:cs="宋体"/>
                <w:kern w:val="0"/>
                <w:szCs w:val="21"/>
              </w:rPr>
            </w:pPr>
            <w:r>
              <w:rPr>
                <w:rFonts w:hint="eastAsia" w:ascii="宋体" w:hAnsi="宋体" w:cs="宋体"/>
                <w:kern w:val="0"/>
                <w:szCs w:val="21"/>
              </w:rPr>
              <w:t>1.4.1</w:t>
            </w:r>
          </w:p>
        </w:tc>
        <w:tc>
          <w:tcPr>
            <w:tcW w:w="1615" w:type="dxa"/>
            <w:vAlign w:val="center"/>
          </w:tcPr>
          <w:p w14:paraId="55F2A56E">
            <w:pPr>
              <w:snapToGrid w:val="0"/>
              <w:spacing w:line="400" w:lineRule="exact"/>
              <w:jc w:val="center"/>
              <w:rPr>
                <w:rFonts w:hint="eastAsia" w:ascii="宋体" w:hAnsi="宋体" w:cs="宋体"/>
                <w:kern w:val="0"/>
                <w:szCs w:val="21"/>
              </w:rPr>
            </w:pPr>
            <w:r>
              <w:rPr>
                <w:rFonts w:hint="eastAsia" w:ascii="宋体" w:hAnsi="宋体" w:cs="宋体"/>
                <w:kern w:val="0"/>
                <w:szCs w:val="21"/>
              </w:rPr>
              <w:t>投标人资质条件、能力和信誉</w:t>
            </w:r>
          </w:p>
        </w:tc>
        <w:tc>
          <w:tcPr>
            <w:tcW w:w="6519" w:type="dxa"/>
            <w:vAlign w:val="center"/>
          </w:tcPr>
          <w:p w14:paraId="0C4897A2">
            <w:pPr>
              <w:autoSpaceDE w:val="0"/>
              <w:autoSpaceDN w:val="0"/>
              <w:adjustRightInd w:val="0"/>
              <w:snapToGrid w:val="0"/>
              <w:spacing w:line="400" w:lineRule="exact"/>
              <w:ind w:firstLine="420" w:firstLineChars="200"/>
              <w:rPr>
                <w:rFonts w:hint="eastAsia" w:ascii="宋体" w:hAnsi="宋体"/>
                <w:i/>
                <w:szCs w:val="21"/>
                <w:highlight w:val="yellow"/>
              </w:rPr>
            </w:pPr>
            <w:r>
              <w:rPr>
                <w:rFonts w:ascii="宋体" w:hAnsi="宋体"/>
                <w:i/>
                <w:szCs w:val="21"/>
              </w:rPr>
              <w:t>[提示：</w:t>
            </w:r>
            <w:r>
              <w:rPr>
                <w:rFonts w:hint="eastAsia" w:ascii="宋体" w:hAnsi="宋体"/>
                <w:i/>
                <w:szCs w:val="21"/>
              </w:rPr>
              <w:t>第1、4、5、8项必须具备；</w:t>
            </w:r>
            <w:r>
              <w:rPr>
                <w:rFonts w:ascii="宋体" w:hAnsi="宋体"/>
                <w:i/>
                <w:szCs w:val="21"/>
              </w:rPr>
              <w:t>第2</w:t>
            </w:r>
            <w:r>
              <w:rPr>
                <w:rFonts w:hint="eastAsia" w:ascii="宋体" w:hAnsi="宋体"/>
                <w:i/>
                <w:szCs w:val="21"/>
              </w:rPr>
              <w:t>、3、6、7</w:t>
            </w:r>
            <w:r>
              <w:rPr>
                <w:rFonts w:ascii="宋体" w:hAnsi="宋体"/>
                <w:i/>
                <w:szCs w:val="21"/>
              </w:rPr>
              <w:t>项由招标人根据项目情况选设</w:t>
            </w:r>
            <w:r>
              <w:rPr>
                <w:rFonts w:hint="eastAsia" w:ascii="宋体" w:hAnsi="宋体"/>
                <w:i/>
                <w:szCs w:val="21"/>
              </w:rPr>
              <w:t>。资格条件一经设定，原则上不得再进行修改。</w:t>
            </w:r>
            <w:r>
              <w:rPr>
                <w:rFonts w:ascii="宋体" w:hAnsi="宋体"/>
                <w:i/>
                <w:szCs w:val="21"/>
              </w:rPr>
              <w:t>]</w:t>
            </w:r>
          </w:p>
          <w:p w14:paraId="50389B3F">
            <w:pPr>
              <w:autoSpaceDE w:val="0"/>
              <w:autoSpaceDN w:val="0"/>
              <w:adjustRightInd w:val="0"/>
              <w:snapToGrid w:val="0"/>
              <w:spacing w:line="400" w:lineRule="exact"/>
              <w:ind w:firstLine="420" w:firstLineChars="200"/>
              <w:rPr>
                <w:rFonts w:ascii="宋体" w:hAnsi="宋体"/>
                <w:i/>
                <w:iCs/>
              </w:rPr>
            </w:pPr>
            <w:r>
              <w:rPr>
                <w:rFonts w:ascii="宋体" w:hAnsi="宋体"/>
              </w:rPr>
              <w:t>本工程招标实行资格后审，投标人应具备以下资格条件：</w:t>
            </w:r>
          </w:p>
          <w:p w14:paraId="1DD6337D">
            <w:pPr>
              <w:autoSpaceDE w:val="0"/>
              <w:autoSpaceDN w:val="0"/>
              <w:adjustRightInd w:val="0"/>
              <w:snapToGrid w:val="0"/>
              <w:spacing w:line="400" w:lineRule="exact"/>
              <w:ind w:firstLine="422" w:firstLineChars="200"/>
              <w:rPr>
                <w:rFonts w:hint="eastAsia" w:ascii="宋体" w:hAnsi="宋体" w:cs="宋体"/>
                <w:b/>
                <w:kern w:val="0"/>
                <w:szCs w:val="21"/>
                <w:lang w:bidi="ar"/>
              </w:rPr>
            </w:pPr>
            <w:r>
              <w:rPr>
                <w:rFonts w:hint="eastAsia" w:ascii="宋体" w:hAnsi="宋体" w:cs="宋体"/>
                <w:b/>
                <w:kern w:val="0"/>
                <w:szCs w:val="21"/>
                <w:lang w:bidi="ar"/>
              </w:rPr>
              <w:t>1、资质条件、营业执照及安全生产条件</w:t>
            </w:r>
          </w:p>
          <w:p w14:paraId="1DC36602">
            <w:pPr>
              <w:pStyle w:val="2"/>
              <w:spacing w:after="0" w:line="400" w:lineRule="exact"/>
              <w:ind w:firstLine="420" w:firstLineChars="200"/>
              <w:rPr>
                <w:rFonts w:ascii="宋体" w:hAnsi="宋体"/>
                <w:i/>
                <w:iCs/>
              </w:rPr>
            </w:pPr>
            <w:r>
              <w:rPr>
                <w:rFonts w:hint="eastAsia" w:ascii="宋体" w:hAnsi="宋体"/>
                <w:i/>
                <w:iCs/>
              </w:rPr>
              <w:t>[提示：</w:t>
            </w:r>
            <w:r>
              <w:rPr>
                <w:rFonts w:hint="eastAsia"/>
                <w:i/>
              </w:rPr>
              <w:t>本工程资质设置严格按照</w:t>
            </w:r>
            <w:r>
              <w:rPr>
                <w:rFonts w:hint="eastAsia" w:ascii="宋体" w:hAnsi="宋体"/>
                <w:i/>
                <w:szCs w:val="21"/>
              </w:rPr>
              <w:t>《公路养护作业单位资质管理办法》（中华人民共和国交通运输部令2021年第22号）、《重庆市交通局关于印发&lt;重庆市公路养护作业单位资质管理实施细则&gt;的通知》（渝交规〔2021〕31号）及其修订、配套、补充文件的现行规定</w:t>
            </w:r>
            <w:r>
              <w:rPr>
                <w:rFonts w:hint="eastAsia"/>
                <w:i/>
              </w:rPr>
              <w:t>执行。</w:t>
            </w:r>
            <w:r>
              <w:rPr>
                <w:rFonts w:hint="eastAsia" w:ascii="宋体" w:hAnsi="宋体"/>
                <w:i/>
                <w:szCs w:val="21"/>
              </w:rPr>
              <w:t>公路机电工程的养护维修应按照《住房和城乡建设部关于印发&lt;建筑业企业资质标准&gt;的通知》（建市〔2014〕159号）及其修订、配套、补充文件设定公路交通工程专业承包公路机电工程分项资质。</w:t>
            </w:r>
            <w:r>
              <w:rPr>
                <w:rFonts w:hint="eastAsia" w:ascii="宋体" w:hAnsi="宋体"/>
                <w:i/>
                <w:iCs/>
              </w:rPr>
              <w:t>]</w:t>
            </w:r>
          </w:p>
          <w:p w14:paraId="625E3560">
            <w:pPr>
              <w:autoSpaceDE w:val="0"/>
              <w:autoSpaceDN w:val="0"/>
              <w:adjustRightInd w:val="0"/>
              <w:snapToGrid w:val="0"/>
              <w:spacing w:line="400" w:lineRule="exact"/>
              <w:ind w:firstLine="420" w:firstLineChars="200"/>
              <w:rPr>
                <w:rFonts w:ascii="宋体" w:hAnsi="宋体"/>
                <w:szCs w:val="21"/>
                <w:u w:val="single"/>
              </w:rPr>
            </w:pPr>
            <w:r>
              <w:rPr>
                <w:rFonts w:ascii="宋体" w:hAnsi="宋体"/>
              </w:rPr>
              <w:t>（1）具备</w:t>
            </w:r>
            <w:r>
              <w:rPr>
                <w:rFonts w:hint="eastAsia" w:ascii="宋体" w:hAnsi="宋体"/>
              </w:rPr>
              <w:t>相关行业</w:t>
            </w:r>
            <w:r>
              <w:rPr>
                <w:rFonts w:ascii="宋体" w:hAnsi="宋体"/>
              </w:rPr>
              <w:t>行政主管部门颁发的</w:t>
            </w:r>
            <w:r>
              <w:rPr>
                <w:rFonts w:ascii="宋体" w:hAnsi="宋体"/>
                <w:szCs w:val="21"/>
              </w:rPr>
              <w:t>有效的</w:t>
            </w:r>
            <w:r>
              <w:rPr>
                <w:rFonts w:hint="eastAsia" w:ascii="宋体" w:hAnsi="宋体"/>
                <w:szCs w:val="21"/>
                <w:u w:val="single"/>
              </w:rPr>
              <w:t xml:space="preserve">       </w:t>
            </w:r>
            <w:r>
              <w:rPr>
                <w:rFonts w:hint="eastAsia" w:ascii="宋体" w:hAnsi="宋体"/>
                <w:szCs w:val="21"/>
              </w:rPr>
              <w:t>资质</w:t>
            </w:r>
            <w:r>
              <w:rPr>
                <w:rFonts w:ascii="宋体" w:hAnsi="宋体"/>
                <w:szCs w:val="21"/>
              </w:rPr>
              <w:t>。</w:t>
            </w:r>
          </w:p>
          <w:p w14:paraId="62A38D1B">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投标人须在投标文件资格审查部分提供有效的资质证书。</w:t>
            </w:r>
          </w:p>
          <w:p w14:paraId="4959BA7D">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□联合体投标的，按联合体协议约定的分工分别提供相应的资质证书。</w:t>
            </w:r>
          </w:p>
          <w:p w14:paraId="04A79106">
            <w:pPr>
              <w:autoSpaceDE w:val="0"/>
              <w:autoSpaceDN w:val="0"/>
              <w:adjustRightInd w:val="0"/>
              <w:snapToGrid w:val="0"/>
              <w:spacing w:line="400" w:lineRule="exact"/>
              <w:ind w:firstLine="420" w:firstLineChars="200"/>
              <w:rPr>
                <w:rFonts w:ascii="宋体" w:hAnsi="宋体"/>
              </w:rPr>
            </w:pPr>
            <w:r>
              <w:rPr>
                <w:rFonts w:ascii="宋体" w:hAnsi="宋体"/>
              </w:rPr>
              <w:t>（2）具备有效的营业执照。</w:t>
            </w:r>
          </w:p>
          <w:p w14:paraId="68829FD9">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投标人须在投标文件资格审查部分提供有效的营业执照。</w:t>
            </w:r>
            <w:r>
              <w:rPr>
                <w:rFonts w:hint="eastAsia" w:ascii="宋体" w:hAnsi="宋体"/>
                <w:szCs w:val="21"/>
              </w:rPr>
              <w:t>注：不得将投标人营业执照记载的经营范围作为评审因素</w:t>
            </w:r>
            <w:r>
              <w:rPr>
                <w:rFonts w:hint="eastAsia" w:ascii="宋体" w:hAnsi="宋体"/>
              </w:rPr>
              <w:t>。</w:t>
            </w:r>
          </w:p>
          <w:p w14:paraId="1940086D">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□联合体投标的，联合体各方均需提供营业执照。</w:t>
            </w:r>
          </w:p>
          <w:p w14:paraId="0ACE668D">
            <w:pPr>
              <w:autoSpaceDE w:val="0"/>
              <w:autoSpaceDN w:val="0"/>
              <w:adjustRightInd w:val="0"/>
              <w:snapToGrid w:val="0"/>
              <w:spacing w:line="400" w:lineRule="exact"/>
              <w:ind w:firstLine="420" w:firstLineChars="200"/>
              <w:rPr>
                <w:rFonts w:ascii="宋体" w:hAnsi="宋体"/>
              </w:rPr>
            </w:pPr>
            <w:r>
              <w:rPr>
                <w:rFonts w:hint="eastAsia" w:ascii="宋体" w:hAnsi="宋体"/>
              </w:rPr>
              <w:t>（3）具备建设行政主管部门颁发的安全生产许可证</w:t>
            </w:r>
            <w:r>
              <w:rPr>
                <w:rFonts w:hint="eastAsia" w:ascii="宋体" w:hAnsi="宋体" w:cs="ATKPMP+ºÚÌå"/>
                <w:spacing w:val="2"/>
                <w:szCs w:val="21"/>
              </w:rPr>
              <w:t>,</w:t>
            </w:r>
            <w:r>
              <w:rPr>
                <w:rFonts w:hint="eastAsia"/>
              </w:rPr>
              <w:t xml:space="preserve"> </w:t>
            </w:r>
            <w:r>
              <w:rPr>
                <w:rFonts w:hint="eastAsia" w:ascii="宋体" w:hAnsi="宋体" w:cs="ATKPMP+ºÚÌå"/>
                <w:spacing w:val="2"/>
                <w:szCs w:val="21"/>
              </w:rPr>
              <w:t>企业主要负责人具备相应的由交通行政主管部门颁发的有效的安全生产考核合格证书</w:t>
            </w:r>
            <w:r>
              <w:rPr>
                <w:rFonts w:hint="eastAsia" w:ascii="宋体" w:hAnsi="宋体"/>
              </w:rPr>
              <w:t>。</w:t>
            </w:r>
          </w:p>
          <w:p w14:paraId="3A7D3DA9">
            <w:pPr>
              <w:autoSpaceDE w:val="0"/>
              <w:autoSpaceDN w:val="0"/>
              <w:adjustRightInd w:val="0"/>
              <w:snapToGrid w:val="0"/>
              <w:spacing w:line="400" w:lineRule="exact"/>
              <w:ind w:firstLine="428" w:firstLineChars="200"/>
              <w:rPr>
                <w:rFonts w:hint="eastAsia" w:ascii="宋体" w:hAnsi="宋体" w:cs="ATKPMP+ºÚÌå"/>
                <w:spacing w:val="2"/>
                <w:szCs w:val="21"/>
              </w:rPr>
            </w:pPr>
            <w:r>
              <w:rPr>
                <w:rFonts w:hint="eastAsia" w:ascii="宋体" w:hAnsi="宋体" w:cs="ATKPMP+ºÚÌå"/>
                <w:spacing w:val="2"/>
                <w:szCs w:val="21"/>
              </w:rPr>
              <w:t>投标人须在投标文件资格审查部分提供有效的安全生产许可证</w:t>
            </w:r>
            <w:r>
              <w:rPr>
                <w:rFonts w:ascii="宋体" w:hAnsi="宋体"/>
                <w:szCs w:val="21"/>
              </w:rPr>
              <w:t>及安全生产考核合格证书</w:t>
            </w:r>
            <w:r>
              <w:rPr>
                <w:rFonts w:hint="eastAsia" w:ascii="宋体" w:hAnsi="宋体" w:cs="ATKPMP+ºÚÌå"/>
                <w:spacing w:val="2"/>
                <w:szCs w:val="21"/>
              </w:rPr>
              <w:t>。</w:t>
            </w:r>
          </w:p>
          <w:p w14:paraId="1A5F63C7">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□联合体投标的，联合体各方均需提供安全生产许可证及安全生产考核合格证书。</w:t>
            </w:r>
          </w:p>
          <w:p w14:paraId="1F2001FC">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2、财务要求</w:t>
            </w:r>
          </w:p>
          <w:p w14:paraId="5171A5C9">
            <w:pPr>
              <w:autoSpaceDE w:val="0"/>
              <w:autoSpaceDN w:val="0"/>
              <w:adjustRightInd w:val="0"/>
              <w:snapToGrid w:val="0"/>
              <w:spacing w:line="400" w:lineRule="exact"/>
              <w:ind w:firstLine="420" w:firstLineChars="200"/>
              <w:rPr>
                <w:rFonts w:hint="eastAsia" w:ascii="宋体" w:hAnsi="宋体"/>
              </w:rPr>
            </w:pP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年的年度财务状况不亏损。</w:t>
            </w:r>
          </w:p>
          <w:p w14:paraId="54149331">
            <w:pPr>
              <w:autoSpaceDE w:val="0"/>
              <w:autoSpaceDN w:val="0"/>
              <w:adjustRightInd w:val="0"/>
              <w:snapToGrid w:val="0"/>
              <w:spacing w:line="400" w:lineRule="exact"/>
              <w:ind w:firstLine="420" w:firstLineChars="200"/>
              <w:rPr>
                <w:rFonts w:ascii="宋体" w:hAnsi="宋体"/>
              </w:rPr>
            </w:pPr>
            <w:r>
              <w:rPr>
                <w:rFonts w:hint="eastAsia" w:ascii="宋体" w:hAnsi="宋体"/>
                <w:i/>
                <w:iCs/>
              </w:rPr>
              <w:t>[提示：招标人可要求提供1至3年的年度财务要求。]</w:t>
            </w:r>
          </w:p>
          <w:p w14:paraId="5F3AE26F">
            <w:pPr>
              <w:spacing w:line="400" w:lineRule="exact"/>
              <w:ind w:firstLine="420" w:firstLineChars="200"/>
            </w:pPr>
            <w:r>
              <w:rPr>
                <w:rFonts w:hint="eastAsia"/>
              </w:rPr>
              <w:t>投标人须在投标文件资格审查部分提供经会计师事务所或审计机构出具的合法有效的财务审计报告及财务报表，财务报表须至少包括现金流量表、资产负债表、利润表。</w:t>
            </w:r>
          </w:p>
          <w:p w14:paraId="221E44BE">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□联合体投标的，联合体各方均需满足上述财务要求。</w:t>
            </w:r>
          </w:p>
          <w:p w14:paraId="7D976556">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3、业绩要求</w:t>
            </w:r>
          </w:p>
          <w:p w14:paraId="7586C2D1">
            <w:pPr>
              <w:autoSpaceDE w:val="0"/>
              <w:autoSpaceDN w:val="0"/>
              <w:adjustRightInd w:val="0"/>
              <w:snapToGrid w:val="0"/>
              <w:spacing w:line="400" w:lineRule="exact"/>
              <w:ind w:firstLine="420" w:firstLineChars="200"/>
              <w:rPr>
                <w:rFonts w:hint="eastAsia" w:ascii="宋体" w:hAnsi="宋体"/>
                <w:i/>
                <w:szCs w:val="21"/>
              </w:rPr>
            </w:pPr>
            <w:r>
              <w:rPr>
                <w:rFonts w:hint="eastAsia" w:ascii="宋体" w:hAnsi="宋体"/>
                <w:i/>
                <w:szCs w:val="21"/>
              </w:rPr>
              <w:t>[提示：1、工程类别的设定原则上应当以招标项目的具体类别进行设定（即：公路路基路面养护、公路桥梁工程养护、公路隧道工程养护、公路交通安全设施工程养护、公路机电工程养护等5个类别）；2、采用合同金额为业绩条件的，其类似工程业绩合同金额的设定原则上不高于该招标项目估算价或经批准概算金额或最高限价的四分之三；3、采用工程规模的具体参数为业绩条件的，工程规模的类别设定应当采用《住房和城乡建设部关于印发&lt;建筑业企业资质标准&gt;的通知》（建市〔2014〕159号）公路工程相关资质“承包工程范围”中明确设立了的工程规模类别（即：公路等级、公路里程、桥梁长度、桥梁单跨跨度、隧道长度等），且工程规模的具体参数原则上不高于招标项目工程规模数值的四分之三（降低了相关规模标准等级的除外），投标人提供的业绩其具体参数应大于等于该业绩条件。后文中项目经理、项目总工的类似业绩按此要求设置。]</w:t>
            </w:r>
          </w:p>
          <w:p w14:paraId="5AB03FAC">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投标人提供的类似业绩应同时满足以下要求：</w:t>
            </w:r>
          </w:p>
          <w:p w14:paraId="17159D53">
            <w:pPr>
              <w:autoSpaceDE w:val="0"/>
              <w:autoSpaceDN w:val="0"/>
              <w:adjustRightInd w:val="0"/>
              <w:snapToGrid w:val="0"/>
              <w:spacing w:line="400" w:lineRule="exact"/>
              <w:ind w:firstLine="420" w:firstLineChars="200"/>
              <w:rPr>
                <w:rFonts w:hint="eastAsia" w:ascii="宋体" w:hAnsi="宋体"/>
                <w:kern w:val="0"/>
                <w:szCs w:val="21"/>
              </w:rPr>
            </w:pPr>
            <w:r>
              <w:rPr>
                <w:rFonts w:hint="eastAsia" w:ascii="宋体" w:hAnsi="宋体"/>
                <w:kern w:val="0"/>
                <w:szCs w:val="21"/>
              </w:rPr>
              <w:t>3.1业绩时间要求：</w:t>
            </w:r>
          </w:p>
          <w:p w14:paraId="7F99AAB5">
            <w:pPr>
              <w:autoSpaceDE w:val="0"/>
              <w:autoSpaceDN w:val="0"/>
              <w:adjustRightInd w:val="0"/>
              <w:snapToGrid w:val="0"/>
              <w:spacing w:line="400" w:lineRule="exact"/>
              <w:ind w:firstLine="420" w:firstLineChars="200"/>
              <w:rPr>
                <w:rFonts w:hint="eastAsia" w:ascii="宋体" w:hAnsi="宋体"/>
                <w:szCs w:val="21"/>
              </w:rPr>
            </w:pPr>
            <w:r>
              <w:rPr>
                <w:rFonts w:ascii="宋体" w:hAnsi="宋体"/>
                <w:kern w:val="0"/>
                <w:szCs w:val="21"/>
              </w:rPr>
              <w:t>投标截止日前</w:t>
            </w:r>
            <w:r>
              <w:rPr>
                <w:rFonts w:hint="eastAsia" w:ascii="宋体" w:hAnsi="宋体"/>
                <w:kern w:val="0"/>
                <w:szCs w:val="21"/>
              </w:rPr>
              <w:t>□3□5□8</w:t>
            </w:r>
            <w:r>
              <w:rPr>
                <w:rFonts w:ascii="宋体" w:hAnsi="宋体"/>
                <w:szCs w:val="21"/>
              </w:rPr>
              <w:t>年</w:t>
            </w:r>
            <w:r>
              <w:rPr>
                <w:rFonts w:hint="eastAsia" w:ascii="宋体" w:hAnsi="宋体"/>
                <w:i/>
                <w:iCs/>
                <w:szCs w:val="21"/>
              </w:rPr>
              <w:t>[提示：不包含投标截止日当年]</w:t>
            </w:r>
            <w:r>
              <w:rPr>
                <w:rFonts w:hint="eastAsia" w:ascii="宋体" w:hAnsi="宋体"/>
                <w:szCs w:val="21"/>
              </w:rPr>
              <w:t>，指</w:t>
            </w:r>
            <w:r>
              <w:rPr>
                <w:rFonts w:hint="eastAsia" w:ascii="宋体" w:hAnsi="宋体"/>
                <w:szCs w:val="21"/>
                <w:u w:val="single"/>
              </w:rPr>
              <w:t xml:space="preserve">    </w:t>
            </w:r>
            <w:r>
              <w:rPr>
                <w:rFonts w:hint="eastAsia" w:ascii="宋体" w:hAnsi="宋体"/>
                <w:szCs w:val="21"/>
              </w:rPr>
              <w:t>投标人在</w:t>
            </w:r>
            <w:r>
              <w:rPr>
                <w:rFonts w:hint="eastAsia" w:ascii="宋体" w:hAnsi="宋体"/>
                <w:szCs w:val="21"/>
                <w:u w:val="single"/>
              </w:rPr>
              <w:t xml:space="preserve">   </w:t>
            </w:r>
            <w:r>
              <w:rPr>
                <w:rFonts w:hint="eastAsia" w:ascii="宋体" w:hAnsi="宋体"/>
                <w:szCs w:val="21"/>
              </w:rPr>
              <w:t>年1月1日起至投标截止日止（以竣（交）工时间为准）完成的1个类似公路养护工程业绩。</w:t>
            </w:r>
          </w:p>
          <w:p w14:paraId="62EE7523">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3.2业绩规模要求：</w:t>
            </w:r>
          </w:p>
          <w:p w14:paraId="76ABF8A2">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工程类别：</w:t>
            </w:r>
            <w:r>
              <w:rPr>
                <w:rFonts w:hint="eastAsia" w:ascii="宋体" w:hAnsi="宋体"/>
                <w:kern w:val="0"/>
                <w:szCs w:val="21"/>
              </w:rPr>
              <w:t>□</w:t>
            </w:r>
            <w:r>
              <w:rPr>
                <w:rFonts w:hint="eastAsia" w:ascii="宋体" w:hAnsi="宋体"/>
                <w:iCs/>
                <w:szCs w:val="21"/>
              </w:rPr>
              <w:t>公路路基路面养护、</w:t>
            </w:r>
            <w:r>
              <w:rPr>
                <w:rFonts w:hint="eastAsia" w:ascii="宋体" w:hAnsi="宋体"/>
                <w:kern w:val="0"/>
                <w:szCs w:val="21"/>
              </w:rPr>
              <w:t>□</w:t>
            </w:r>
            <w:r>
              <w:rPr>
                <w:rFonts w:hint="eastAsia" w:ascii="宋体" w:hAnsi="宋体"/>
                <w:iCs/>
                <w:szCs w:val="21"/>
              </w:rPr>
              <w:t>公路桥梁工程养护、</w:t>
            </w:r>
            <w:r>
              <w:rPr>
                <w:rFonts w:hint="eastAsia" w:ascii="宋体" w:hAnsi="宋体"/>
                <w:kern w:val="0"/>
                <w:szCs w:val="21"/>
              </w:rPr>
              <w:t>□</w:t>
            </w:r>
            <w:r>
              <w:rPr>
                <w:rFonts w:hint="eastAsia" w:ascii="宋体" w:hAnsi="宋体"/>
                <w:iCs/>
                <w:szCs w:val="21"/>
              </w:rPr>
              <w:t>公路隧道工程养护、</w:t>
            </w:r>
            <w:r>
              <w:rPr>
                <w:rFonts w:hint="eastAsia" w:ascii="宋体" w:hAnsi="宋体"/>
                <w:kern w:val="0"/>
                <w:szCs w:val="21"/>
              </w:rPr>
              <w:t>□</w:t>
            </w:r>
            <w:r>
              <w:rPr>
                <w:rFonts w:hint="eastAsia" w:ascii="宋体" w:hAnsi="宋体"/>
                <w:iCs/>
                <w:szCs w:val="21"/>
              </w:rPr>
              <w:t>公路交通安全设施工程养护、</w:t>
            </w:r>
            <w:r>
              <w:rPr>
                <w:rFonts w:hint="eastAsia" w:ascii="宋体" w:hAnsi="宋体"/>
                <w:kern w:val="0"/>
                <w:szCs w:val="21"/>
              </w:rPr>
              <w:t>□</w:t>
            </w:r>
            <w:r>
              <w:rPr>
                <w:rFonts w:hint="eastAsia" w:ascii="宋体" w:hAnsi="宋体"/>
                <w:iCs/>
                <w:szCs w:val="21"/>
              </w:rPr>
              <w:t>公路机电工程养护</w:t>
            </w:r>
          </w:p>
          <w:p w14:paraId="08B1827B">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w:t>
            </w:r>
            <w:r>
              <w:rPr>
                <w:rFonts w:ascii="宋体" w:hAnsi="宋体"/>
                <w:szCs w:val="21"/>
              </w:rPr>
              <w:t>合同金额</w:t>
            </w:r>
            <w:r>
              <w:rPr>
                <w:rFonts w:hint="eastAsia" w:ascii="宋体" w:hAnsi="宋体"/>
                <w:szCs w:val="21"/>
              </w:rPr>
              <w:t>：</w:t>
            </w:r>
            <w:r>
              <w:rPr>
                <w:rFonts w:hint="eastAsia" w:ascii="宋体" w:hAnsi="宋体"/>
                <w:szCs w:val="21"/>
                <w:u w:val="single"/>
              </w:rPr>
              <w:t xml:space="preserve">        </w:t>
            </w:r>
          </w:p>
          <w:p w14:paraId="7CDFBC58">
            <w:pPr>
              <w:autoSpaceDE w:val="0"/>
              <w:autoSpaceDN w:val="0"/>
              <w:adjustRightInd w:val="0"/>
              <w:snapToGrid w:val="0"/>
              <w:spacing w:line="400" w:lineRule="exact"/>
              <w:ind w:firstLine="420" w:firstLineChars="200"/>
              <w:rPr>
                <w:rFonts w:ascii="宋体" w:hAnsi="宋体"/>
                <w:i/>
                <w:iCs/>
                <w:szCs w:val="21"/>
              </w:rPr>
            </w:pPr>
            <w:r>
              <w:rPr>
                <w:rFonts w:hint="eastAsia" w:ascii="宋体" w:hAnsi="宋体"/>
                <w:szCs w:val="21"/>
              </w:rPr>
              <w:t>□工程规模：</w:t>
            </w:r>
            <w:r>
              <w:rPr>
                <w:rFonts w:hint="eastAsia" w:ascii="宋体" w:hAnsi="宋体"/>
                <w:szCs w:val="21"/>
                <w:u w:val="single"/>
              </w:rPr>
              <w:t xml:space="preserve">        </w:t>
            </w:r>
          </w:p>
          <w:p w14:paraId="08865DAF">
            <w:pPr>
              <w:autoSpaceDE w:val="0"/>
              <w:autoSpaceDN w:val="0"/>
              <w:adjustRightInd w:val="0"/>
              <w:snapToGrid w:val="0"/>
              <w:spacing w:line="400" w:lineRule="exact"/>
              <w:ind w:firstLine="420" w:firstLineChars="200"/>
              <w:rPr>
                <w:rFonts w:hint="eastAsia" w:ascii="宋体" w:hAnsi="宋体"/>
              </w:rPr>
            </w:pPr>
            <w:r>
              <w:rPr>
                <w:rFonts w:hint="eastAsia" w:ascii="宋体" w:hAnsi="宋体"/>
                <w:i/>
                <w:szCs w:val="21"/>
              </w:rPr>
              <w:t>[提示：根据招标项目实际情况选用。]</w:t>
            </w:r>
          </w:p>
          <w:p w14:paraId="5EBC4B15">
            <w:pPr>
              <w:autoSpaceDE w:val="0"/>
              <w:autoSpaceDN w:val="0"/>
              <w:adjustRightInd w:val="0"/>
              <w:snapToGrid w:val="0"/>
              <w:spacing w:line="400" w:lineRule="exact"/>
              <w:ind w:firstLine="420" w:firstLineChars="200"/>
              <w:rPr>
                <w:rFonts w:hint="eastAsia" w:ascii="宋体" w:hAnsi="宋体"/>
              </w:rPr>
            </w:pPr>
            <w:r>
              <w:rPr>
                <w:rFonts w:hint="eastAsia" w:ascii="宋体" w:hAnsi="宋体"/>
              </w:rPr>
              <w:t>3.3业绩证明材料要求：</w:t>
            </w:r>
          </w:p>
          <w:p w14:paraId="519FF99F">
            <w:pPr>
              <w:autoSpaceDE w:val="0"/>
              <w:autoSpaceDN w:val="0"/>
              <w:adjustRightInd w:val="0"/>
              <w:snapToGrid w:val="0"/>
              <w:spacing w:line="400" w:lineRule="exact"/>
              <w:ind w:firstLine="415" w:firstLineChars="198"/>
              <w:rPr>
                <w:rFonts w:hint="eastAsia"/>
              </w:rPr>
            </w:pPr>
            <w:r>
              <w:rPr>
                <w:rFonts w:hint="eastAsia"/>
              </w:rPr>
              <w:t>投标人须在投标文件资格审查部分提供业绩在交通运输部“全国公路建设市场信用信息管理系统”（</w:t>
            </w:r>
            <w:r>
              <w:rPr>
                <w:rFonts w:hint="eastAsia" w:ascii="宋体" w:hAnsi="宋体" w:cs="宋体"/>
              </w:rPr>
              <w:t>https://glxy.mot.gov.cn/</w:t>
            </w:r>
            <w:r>
              <w:rPr>
                <w:rFonts w:hint="eastAsia"/>
              </w:rPr>
              <w:t>，下同）或项目所在地的</w:t>
            </w:r>
            <w:r>
              <w:t>省级</w:t>
            </w:r>
            <w:r>
              <w:rPr>
                <w:rFonts w:hint="eastAsia"/>
              </w:rPr>
              <w:t>“公路建设市场信用信息管理系统”查询到的相关项目网页截图。提供的网页截图能够完全反映业绩要求对应的业绩信息的，无须再提供其他业绩证明材料；若网页截图不能完全反映业绩要求对应的业绩信息的，可以补充提供合同协议书、工程竣工（或交工）验收合格的证明材料。</w:t>
            </w:r>
          </w:p>
          <w:p w14:paraId="2E55A616">
            <w:pPr>
              <w:autoSpaceDE w:val="0"/>
              <w:autoSpaceDN w:val="0"/>
              <w:adjustRightInd w:val="0"/>
              <w:snapToGrid w:val="0"/>
              <w:spacing w:line="400" w:lineRule="exact"/>
              <w:ind w:firstLine="415" w:firstLineChars="198"/>
              <w:rPr>
                <w:rFonts w:hint="eastAsia" w:ascii="宋体" w:hAnsi="宋体"/>
                <w:szCs w:val="21"/>
              </w:rPr>
            </w:pPr>
            <w:r>
              <w:rPr>
                <w:rFonts w:hint="eastAsia"/>
              </w:rPr>
              <w:t>□联合体投标的，按联合体协议约定的分工分别提供相应的业绩；</w:t>
            </w:r>
          </w:p>
          <w:p w14:paraId="44326C45">
            <w:pPr>
              <w:autoSpaceDE w:val="0"/>
              <w:autoSpaceDN w:val="0"/>
              <w:adjustRightInd w:val="0"/>
              <w:snapToGrid w:val="0"/>
              <w:spacing w:line="400" w:lineRule="exact"/>
              <w:ind w:firstLine="415" w:firstLineChars="198"/>
              <w:rPr>
                <w:rFonts w:ascii="宋体" w:hAnsi="宋体"/>
                <w:szCs w:val="21"/>
              </w:rPr>
            </w:pPr>
            <w:r>
              <w:rPr>
                <w:rFonts w:hint="eastAsia" w:ascii="宋体" w:hAnsi="宋体"/>
                <w:szCs w:val="21"/>
              </w:rPr>
              <w:t>注：投标人应对其提供的业绩证明材料（含截图）的真实性负责。当上述资料中针对同一指标存在不一致时，以相关项目网页截图为准。</w:t>
            </w:r>
          </w:p>
          <w:p w14:paraId="23A8F519">
            <w:pPr>
              <w:autoSpaceDE w:val="0"/>
              <w:autoSpaceDN w:val="0"/>
              <w:adjustRightInd w:val="0"/>
              <w:snapToGrid w:val="0"/>
              <w:spacing w:line="400" w:lineRule="exact"/>
              <w:ind w:firstLine="415" w:firstLineChars="198"/>
              <w:rPr>
                <w:rFonts w:hint="eastAsia"/>
              </w:rPr>
            </w:pPr>
            <w:r>
              <w:rPr>
                <w:rFonts w:hint="eastAsia" w:ascii="宋体" w:hAnsi="宋体"/>
                <w:szCs w:val="21"/>
              </w:rPr>
              <w:t>不满足上述业绩要求的业绩视为无效。</w:t>
            </w:r>
          </w:p>
          <w:p w14:paraId="73046FBD">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cs="宋体"/>
                <w:b/>
                <w:kern w:val="0"/>
                <w:szCs w:val="21"/>
                <w:lang w:bidi="ar"/>
              </w:rPr>
              <w:t>4、投标截止日投标资格情况要求</w:t>
            </w:r>
          </w:p>
          <w:p w14:paraId="179E7BEB">
            <w:pPr>
              <w:snapToGrid w:val="0"/>
              <w:spacing w:line="400" w:lineRule="exact"/>
              <w:ind w:firstLine="420" w:firstLineChars="200"/>
              <w:rPr>
                <w:rFonts w:ascii="宋体" w:hAnsi="宋体"/>
                <w:szCs w:val="21"/>
              </w:rPr>
            </w:pPr>
            <w:r>
              <w:rPr>
                <w:rFonts w:hint="eastAsia" w:ascii="宋体" w:hAnsi="宋体"/>
                <w:szCs w:val="21"/>
              </w:rPr>
              <w:t>投标人不得存在下列情形之一：</w:t>
            </w:r>
          </w:p>
          <w:p w14:paraId="48774FC6">
            <w:pPr>
              <w:snapToGrid w:val="0"/>
              <w:spacing w:line="400" w:lineRule="exact"/>
              <w:ind w:firstLine="420" w:firstLineChars="200"/>
              <w:jc w:val="left"/>
              <w:rPr>
                <w:rFonts w:ascii="宋体" w:hAnsi="宋体"/>
                <w:szCs w:val="21"/>
              </w:rPr>
            </w:pPr>
            <w:r>
              <w:rPr>
                <w:rFonts w:hint="eastAsia" w:ascii="宋体" w:hAnsi="宋体"/>
                <w:szCs w:val="21"/>
              </w:rPr>
              <w:t>（1）被人民法院列入失信被执行人名单且在被执行期内；</w:t>
            </w:r>
          </w:p>
          <w:p w14:paraId="53E9C5FA">
            <w:pPr>
              <w:snapToGrid w:val="0"/>
              <w:spacing w:line="400" w:lineRule="exact"/>
              <w:ind w:firstLine="420" w:firstLineChars="200"/>
              <w:rPr>
                <w:rFonts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219482FE">
            <w:pPr>
              <w:snapToGrid w:val="0"/>
              <w:spacing w:line="400" w:lineRule="exact"/>
              <w:ind w:firstLine="420" w:firstLineChars="200"/>
              <w:rPr>
                <w:rFonts w:ascii="宋体" w:hAnsi="宋体"/>
                <w:szCs w:val="21"/>
              </w:rPr>
            </w:pPr>
            <w:r>
              <w:rPr>
                <w:rFonts w:hint="eastAsia" w:ascii="宋体" w:hAnsi="宋体"/>
                <w:szCs w:val="21"/>
              </w:rPr>
              <w:t>（3）被列入《重庆市工程建设领域招标投标信用管理暂行办法》规定的重庆市工程建设领域招标投标失信惩戒对象名单（以下称黑名单）且在记分有效期内；</w:t>
            </w:r>
          </w:p>
          <w:p w14:paraId="50B642F2">
            <w:pPr>
              <w:snapToGrid w:val="0"/>
              <w:spacing w:line="400" w:lineRule="exact"/>
              <w:ind w:firstLine="420" w:firstLineChars="200"/>
              <w:rPr>
                <w:rFonts w:ascii="宋体" w:hAnsi="宋体"/>
                <w:szCs w:val="21"/>
              </w:rPr>
            </w:pPr>
            <w:r>
              <w:rPr>
                <w:rFonts w:hint="eastAsia" w:ascii="宋体" w:hAnsi="宋体"/>
                <w:szCs w:val="21"/>
              </w:rPr>
              <w:t>（4）被国家、重庆市（含市或任意区县）有关行政部门处以取消投标资格处罚或禁止从业处罚，且在处罚期限内；</w:t>
            </w:r>
          </w:p>
          <w:p w14:paraId="4516A0BB">
            <w:pPr>
              <w:spacing w:line="400" w:lineRule="exact"/>
              <w:ind w:firstLine="420" w:firstLineChars="200"/>
              <w:rPr>
                <w:rFonts w:hint="eastAsia" w:ascii="宋体" w:hAnsi="宋体"/>
                <w:szCs w:val="21"/>
              </w:rPr>
            </w:pPr>
            <w:r>
              <w:rPr>
                <w:rFonts w:hint="eastAsia" w:ascii="宋体" w:hAnsi="宋体"/>
                <w:szCs w:val="21"/>
              </w:rPr>
              <w:t>（5）被责令停业，暂扣或吊销执照，或吊销资质证书；</w:t>
            </w:r>
          </w:p>
          <w:p w14:paraId="7807A4D7">
            <w:pPr>
              <w:spacing w:line="400" w:lineRule="exact"/>
              <w:ind w:firstLine="420" w:firstLineChars="200"/>
              <w:rPr>
                <w:rFonts w:hint="eastAsia" w:ascii="宋体" w:hAnsi="宋体"/>
                <w:szCs w:val="21"/>
              </w:rPr>
            </w:pPr>
            <w:r>
              <w:rPr>
                <w:rFonts w:hint="eastAsia" w:ascii="宋体" w:hAnsi="宋体"/>
                <w:szCs w:val="21"/>
              </w:rPr>
              <w:t>（6）进入清算程序，或被宣告破产，或其他丧失履约能力的情形；</w:t>
            </w:r>
          </w:p>
          <w:p w14:paraId="288FFF45">
            <w:pPr>
              <w:spacing w:line="400" w:lineRule="exact"/>
              <w:ind w:firstLine="420" w:firstLineChars="200"/>
              <w:rPr>
                <w:rFonts w:hint="eastAsia" w:ascii="宋体" w:hAnsi="宋体"/>
                <w:szCs w:val="21"/>
              </w:rPr>
            </w:pPr>
            <w:r>
              <w:rPr>
                <w:rFonts w:hint="eastAsia" w:ascii="宋体" w:hAnsi="宋体"/>
                <w:szCs w:val="21"/>
              </w:rPr>
              <w:t>（7）在国家企业信用信息公示系统（http://www.gsxt.gov.cn/）中被列入严重违法失信企业名单；</w:t>
            </w:r>
          </w:p>
          <w:p w14:paraId="79C7151D">
            <w:pPr>
              <w:spacing w:line="400" w:lineRule="exact"/>
              <w:ind w:firstLine="420" w:firstLineChars="200"/>
              <w:rPr>
                <w:rFonts w:hint="eastAsia"/>
              </w:rPr>
            </w:pPr>
            <w:r>
              <w:rPr>
                <w:rFonts w:hint="eastAsia" w:ascii="宋体" w:hAnsi="宋体"/>
                <w:szCs w:val="21"/>
              </w:rPr>
              <w:t>（8）投标人或其法定代表人、拟委任的项目经理在近两年内有行贿犯罪行为的。</w:t>
            </w:r>
          </w:p>
          <w:p w14:paraId="5255D602">
            <w:pPr>
              <w:spacing w:line="400" w:lineRule="exact"/>
              <w:ind w:firstLine="420" w:firstLineChars="200"/>
              <w:rPr>
                <w:rFonts w:hint="eastAsia"/>
              </w:rPr>
            </w:pPr>
            <w:r>
              <w:rPr>
                <w:rFonts w:hint="eastAsia"/>
              </w:rPr>
              <w:t>投标人须在投标文件资格审查部分提供承诺</w:t>
            </w:r>
            <w:r>
              <w:rPr>
                <w:rFonts w:hint="eastAsia" w:ascii="宋体" w:hAnsi="宋体"/>
                <w:szCs w:val="21"/>
              </w:rPr>
              <w:t>（格式见第九章投标文件格式）</w:t>
            </w:r>
            <w:r>
              <w:rPr>
                <w:rFonts w:hint="eastAsia"/>
              </w:rPr>
              <w:t>。</w:t>
            </w:r>
          </w:p>
          <w:p w14:paraId="7CFF19B6">
            <w:pPr>
              <w:spacing w:line="400" w:lineRule="exact"/>
              <w:ind w:firstLine="420" w:firstLineChars="200"/>
              <w:rPr>
                <w:rFonts w:hint="eastAsia"/>
              </w:rPr>
            </w:pPr>
            <w:r>
              <w:rPr>
                <w:rFonts w:hint="eastAsia"/>
              </w:rPr>
              <w:t>□联合体投标的，联合体各成员均不得存在以上情形之一，由联合体牵头人代表联合体各成员进行承诺。</w:t>
            </w:r>
          </w:p>
          <w:p w14:paraId="027590D0">
            <w:pPr>
              <w:spacing w:line="400" w:lineRule="exact"/>
              <w:ind w:firstLine="420" w:firstLineChars="200"/>
              <w:rPr>
                <w:rFonts w:hint="eastAsia"/>
              </w:rPr>
            </w:pPr>
            <w:r>
              <w:rPr>
                <w:rFonts w:hint="eastAsia"/>
              </w:rPr>
              <w:t>上述第（2）、（3）款信用情况在开标现场进行查询，查询结果交由评标委员会评审，若投标人针对上述第（2）、（3）款的承诺内容与查询结果不符，由评标委员会作否决投标处理。</w:t>
            </w:r>
          </w:p>
          <w:p w14:paraId="704A8800">
            <w:pPr>
              <w:spacing w:line="400" w:lineRule="exact"/>
              <w:ind w:firstLine="420" w:firstLineChars="200"/>
              <w:rPr>
                <w:rFonts w:hint="eastAsia"/>
              </w:rPr>
            </w:pPr>
            <w:r>
              <w:rPr>
                <w:rFonts w:hint="eastAsia"/>
              </w:rPr>
              <w:t>注：投标人是否因有不良行为记分、进入重点关注名单或黑名单而被限制投标的，以开标环节信用状况查询结果为准。联合体投标的，任一成员单位出现被限制投标的情形，该联合体将被否决投标。</w:t>
            </w:r>
          </w:p>
          <w:p w14:paraId="00A869F3">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cs="宋体"/>
                <w:b/>
                <w:kern w:val="0"/>
                <w:szCs w:val="21"/>
                <w:lang w:bidi="ar"/>
              </w:rPr>
              <w:t>5、项目经理和项目总工资格</w:t>
            </w:r>
          </w:p>
          <w:p w14:paraId="1DB8CE88">
            <w:pPr>
              <w:spacing w:line="400" w:lineRule="exact"/>
              <w:ind w:firstLine="420" w:firstLineChars="200"/>
              <w:rPr>
                <w:rFonts w:ascii="宋体" w:hAnsi="宋体"/>
                <w:bCs/>
                <w:snapToGrid w:val="0"/>
              </w:rPr>
            </w:pPr>
            <w:r>
              <w:rPr>
                <w:rFonts w:hint="eastAsia" w:ascii="宋体" w:hAnsi="宋体" w:cs="宋体"/>
                <w:szCs w:val="21"/>
              </w:rPr>
              <w:t>5.1</w:t>
            </w:r>
            <w:r>
              <w:rPr>
                <w:rFonts w:hint="eastAsia" w:ascii="宋体" w:hAnsi="宋体"/>
                <w:bCs/>
                <w:snapToGrid w:val="0"/>
              </w:rPr>
              <w:t>项目经理：1 人。</w:t>
            </w:r>
          </w:p>
          <w:p w14:paraId="3B9531FD">
            <w:pPr>
              <w:snapToGrid w:val="0"/>
              <w:spacing w:line="400" w:lineRule="exact"/>
              <w:ind w:firstLine="420" w:firstLineChars="200"/>
              <w:rPr>
                <w:rFonts w:hint="eastAsia"/>
              </w:rPr>
            </w:pPr>
            <w:r>
              <w:rPr>
                <w:rFonts w:hint="eastAsia" w:ascii="宋体" w:hAnsi="宋体" w:cs="宋体"/>
                <w:szCs w:val="21"/>
              </w:rPr>
              <w:t>5.1.1</w:t>
            </w:r>
            <w:r>
              <w:rPr>
                <w:rFonts w:hint="eastAsia" w:ascii="宋体" w:hAnsi="宋体"/>
                <w:szCs w:val="21"/>
              </w:rPr>
              <w:t>投标人拟派的</w:t>
            </w:r>
            <w:r>
              <w:rPr>
                <w:rFonts w:ascii="宋体" w:hAnsi="宋体"/>
                <w:szCs w:val="21"/>
              </w:rPr>
              <w:t>项目经理必须已在</w:t>
            </w:r>
            <w:r>
              <w:rPr>
                <w:rFonts w:hint="eastAsia" w:ascii="宋体" w:hAnsi="宋体"/>
                <w:szCs w:val="21"/>
              </w:rPr>
              <w:t>投标人本</w:t>
            </w:r>
            <w:r>
              <w:rPr>
                <w:rFonts w:ascii="宋体" w:hAnsi="宋体"/>
                <w:szCs w:val="21"/>
              </w:rPr>
              <w:t>单位注册并应具有</w:t>
            </w:r>
            <w:r>
              <w:rPr>
                <w:rFonts w:ascii="宋体" w:hAnsi="宋体"/>
                <w:szCs w:val="21"/>
                <w:u w:val="single"/>
              </w:rPr>
              <w:t xml:space="preserve"> </w:t>
            </w:r>
            <w:r>
              <w:rPr>
                <w:rFonts w:hint="eastAsia" w:ascii="宋体" w:hAnsi="宋体"/>
                <w:szCs w:val="21"/>
                <w:u w:val="single"/>
              </w:rPr>
              <w:t xml:space="preserve">   </w:t>
            </w:r>
            <w:r>
              <w:rPr>
                <w:rFonts w:hint="eastAsia" w:ascii="宋体" w:hAnsi="宋体"/>
                <w:i/>
                <w:szCs w:val="21"/>
                <w:u w:val="single"/>
              </w:rPr>
              <w:t xml:space="preserve">    [提示：按《建设部关于发布&lt;注册建造师执业管理办法(试行)&gt;的通知》设置的专业类别规范填写。]</w:t>
            </w:r>
            <w:r>
              <w:rPr>
                <w:rFonts w:hint="eastAsia" w:ascii="宋体" w:hAnsi="宋体"/>
                <w:szCs w:val="21"/>
              </w:rPr>
              <w:t>专业</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级及以上</w:t>
            </w:r>
            <w:r>
              <w:rPr>
                <w:rFonts w:ascii="宋体" w:hAnsi="宋体"/>
                <w:szCs w:val="21"/>
              </w:rPr>
              <w:t>注册建造师执业资格</w:t>
            </w:r>
            <w:r>
              <w:rPr>
                <w:rFonts w:hint="eastAsia" w:ascii="宋体" w:hAnsi="宋体"/>
                <w:szCs w:val="21"/>
              </w:rPr>
              <w:t>，并</w:t>
            </w:r>
            <w:r>
              <w:rPr>
                <w:rFonts w:hint="eastAsia" w:ascii="宋体" w:hAnsi="宋体" w:cs="宋体"/>
                <w:szCs w:val="21"/>
              </w:rPr>
              <w:t>具有省级及以上交通行政主管部门颁发的安全生产考核合格证书（B类）。</w:t>
            </w:r>
          </w:p>
          <w:p w14:paraId="4D039BAE">
            <w:pPr>
              <w:snapToGrid w:val="0"/>
              <w:spacing w:line="400" w:lineRule="exact"/>
              <w:ind w:firstLine="420" w:firstLineChars="200"/>
              <w:rPr>
                <w:rFonts w:hint="eastAsia" w:ascii="宋体" w:hAnsi="宋体"/>
                <w:szCs w:val="21"/>
              </w:rPr>
            </w:pPr>
            <w:r>
              <w:rPr>
                <w:rFonts w:hint="eastAsia"/>
              </w:rPr>
              <w:t>投标人须在投标文件资格审查部分提供有效的拟派项目经理身份证、建造师注册证、安全生产考核合格证书（B类）及投标人为其交纳的养老保险证明材料。</w:t>
            </w:r>
          </w:p>
          <w:p w14:paraId="05613F6C">
            <w:pPr>
              <w:snapToGrid w:val="0"/>
              <w:spacing w:line="400" w:lineRule="exact"/>
              <w:ind w:firstLine="420" w:firstLineChars="200"/>
              <w:rPr>
                <w:rFonts w:hint="eastAsia" w:ascii="宋体" w:hAnsi="宋体"/>
                <w:kern w:val="0"/>
                <w:szCs w:val="21"/>
              </w:rPr>
            </w:pPr>
            <w:r>
              <w:rPr>
                <w:rFonts w:hint="eastAsia" w:ascii="宋体" w:hAnsi="宋体"/>
                <w:szCs w:val="21"/>
              </w:rPr>
              <w:t>□联合体投标的，项目经理由联合体牵头人提供。</w:t>
            </w:r>
          </w:p>
          <w:p w14:paraId="6622842D">
            <w:pPr>
              <w:snapToGrid w:val="0"/>
              <w:spacing w:line="400" w:lineRule="exact"/>
              <w:ind w:firstLine="420" w:firstLineChars="200"/>
              <w:rPr>
                <w:rFonts w:hint="eastAsia" w:ascii="宋体" w:hAnsi="宋体"/>
                <w:kern w:val="0"/>
                <w:szCs w:val="21"/>
              </w:rPr>
            </w:pPr>
            <w:r>
              <w:rPr>
                <w:rFonts w:hint="eastAsia" w:ascii="宋体" w:hAnsi="宋体"/>
                <w:kern w:val="0"/>
                <w:szCs w:val="21"/>
              </w:rPr>
              <w:t>注：（1）提供拟派的项目经理为一级建造师或重庆市二级建造师注册人员的，必须提供建造师电子注册证书，且该建造师电子注册证书须由建造师本人在个人签名处手写本人签名。</w:t>
            </w:r>
          </w:p>
          <w:p w14:paraId="7282C385">
            <w:pPr>
              <w:snapToGrid w:val="0"/>
              <w:spacing w:line="400" w:lineRule="exact"/>
              <w:ind w:firstLine="420" w:firstLineChars="200"/>
              <w:rPr>
                <w:rFonts w:hint="eastAsia" w:ascii="宋体" w:hAnsi="宋体"/>
                <w:kern w:val="0"/>
                <w:szCs w:val="21"/>
              </w:rPr>
            </w:pPr>
            <w:r>
              <w:rPr>
                <w:rFonts w:hint="eastAsia" w:ascii="宋体" w:hAnsi="宋体"/>
                <w:kern w:val="0"/>
                <w:szCs w:val="21"/>
              </w:rPr>
              <w:t>（2）重庆市以外的省级</w:t>
            </w:r>
            <w:r>
              <w:rPr>
                <w:rFonts w:hint="eastAsia" w:ascii="宋体" w:hAnsi="宋体"/>
                <w:kern w:val="0"/>
                <w:szCs w:val="21"/>
                <w:lang w:eastAsia="zh-CN"/>
              </w:rPr>
              <w:t>住房和城乡建设</w:t>
            </w:r>
            <w:r>
              <w:rPr>
                <w:rFonts w:hint="eastAsia" w:ascii="宋体" w:hAnsi="宋体"/>
                <w:kern w:val="0"/>
                <w:szCs w:val="21"/>
              </w:rPr>
              <w:t>主管部门对二级建造师电子注册证书使用有明确规定的，从其规定。未规定使用电子注册证书的，可提供纸质证书扫描件。</w:t>
            </w:r>
          </w:p>
          <w:p w14:paraId="140386F3">
            <w:pPr>
              <w:snapToGrid w:val="0"/>
              <w:spacing w:line="400" w:lineRule="exact"/>
              <w:ind w:firstLine="420" w:firstLineChars="200"/>
              <w:rPr>
                <w:rFonts w:hint="eastAsia" w:ascii="宋体" w:hAnsi="宋体"/>
                <w:szCs w:val="21"/>
              </w:rPr>
            </w:pPr>
            <w:r>
              <w:rPr>
                <w:rFonts w:hint="eastAsia" w:ascii="宋体" w:hAnsi="宋体"/>
                <w:kern w:val="0"/>
                <w:szCs w:val="21"/>
              </w:rPr>
              <w:t>（3）建造师电子注册证书本人手写签名与签名图像笔迹是否一致不作为否决投标的情形。</w:t>
            </w:r>
          </w:p>
          <w:p w14:paraId="3AAC04AE">
            <w:pPr>
              <w:snapToGrid w:val="0"/>
              <w:spacing w:line="400" w:lineRule="exact"/>
              <w:ind w:firstLine="420" w:firstLineChars="200"/>
              <w:rPr>
                <w:rFonts w:hint="eastAsia" w:ascii="宋体" w:hAnsi="宋体"/>
                <w:szCs w:val="21"/>
              </w:rPr>
            </w:pPr>
            <w:r>
              <w:rPr>
                <w:rFonts w:hint="eastAsia" w:ascii="宋体" w:hAnsi="宋体"/>
                <w:szCs w:val="21"/>
              </w:rPr>
              <w:t>5.1.2项目经理到岗履职承诺要求：承诺拟派项目经理中标后只能在本项目任职，签订合同时拟派的项目经理必须与投标文件中的项目经理一致，并满足办理施工许可手续的相关要求。不能按承诺到岗履约的，招标人将按合同相关条款要求投标人承担责任并上报行政主管部门，给招标人造成损失的，投标人依法承担违约赔偿责任。拟派项目经理中标后不得随意更换。未提供上述承诺或承诺内容不符合要求的，由评标委员会作否决投标处理</w:t>
            </w:r>
            <w:r>
              <w:rPr>
                <w:rFonts w:ascii="宋体" w:hAnsi="宋体"/>
                <w:color w:val="000000"/>
              </w:rPr>
              <w:t>。</w:t>
            </w:r>
          </w:p>
          <w:p w14:paraId="07CC29C1">
            <w:pPr>
              <w:autoSpaceDE w:val="0"/>
              <w:autoSpaceDN w:val="0"/>
              <w:adjustRightInd w:val="0"/>
              <w:snapToGrid w:val="0"/>
              <w:spacing w:line="400" w:lineRule="exact"/>
              <w:ind w:firstLine="420" w:firstLineChars="200"/>
              <w:rPr>
                <w:rFonts w:hint="eastAsia" w:ascii="宋体" w:hAnsi="宋体"/>
                <w:szCs w:val="21"/>
              </w:rPr>
            </w:pPr>
            <w:r>
              <w:rPr>
                <w:rFonts w:hint="eastAsia"/>
              </w:rPr>
              <w:t>投标人须在投标文件资格审查部分提供项目经理到岗履职承诺（承诺格式见第九章投标文件格式）。</w:t>
            </w:r>
          </w:p>
          <w:p w14:paraId="121E1C18">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□5.1.3项目经理业绩</w:t>
            </w:r>
          </w:p>
          <w:p w14:paraId="294A1CF6">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投标人提供的项目经理业绩应同时满足以下要求：</w:t>
            </w:r>
          </w:p>
          <w:p w14:paraId="046B094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（1）业绩时间要求：</w:t>
            </w:r>
          </w:p>
          <w:p w14:paraId="38B7D9C3">
            <w:pPr>
              <w:autoSpaceDE w:val="0"/>
              <w:autoSpaceDN w:val="0"/>
              <w:adjustRightInd w:val="0"/>
              <w:snapToGrid w:val="0"/>
              <w:spacing w:line="400" w:lineRule="exact"/>
              <w:ind w:firstLine="420" w:firstLineChars="200"/>
              <w:rPr>
                <w:rFonts w:ascii="宋体" w:hAnsi="宋体"/>
                <w:szCs w:val="21"/>
                <w:u w:val="single"/>
              </w:rPr>
            </w:pPr>
            <w:r>
              <w:rPr>
                <w:rFonts w:ascii="宋体" w:hAnsi="宋体"/>
                <w:szCs w:val="21"/>
              </w:rPr>
              <w:t>投标截止日前</w:t>
            </w:r>
            <w:r>
              <w:rPr>
                <w:rFonts w:hint="eastAsia" w:ascii="宋体" w:hAnsi="宋体"/>
                <w:szCs w:val="21"/>
              </w:rPr>
              <w:t>□3□5□8</w:t>
            </w:r>
            <w:r>
              <w:rPr>
                <w:rFonts w:ascii="宋体" w:hAnsi="宋体"/>
                <w:szCs w:val="21"/>
              </w:rPr>
              <w:t>年</w:t>
            </w:r>
            <w:r>
              <w:rPr>
                <w:rFonts w:hint="eastAsia" w:ascii="宋体" w:hAnsi="宋体"/>
                <w:i/>
                <w:iCs/>
                <w:szCs w:val="21"/>
              </w:rPr>
              <w:t>[提示：不包含投标截止日当年]</w:t>
            </w:r>
            <w:r>
              <w:rPr>
                <w:rFonts w:hint="eastAsia" w:ascii="宋体" w:hAnsi="宋体"/>
                <w:szCs w:val="21"/>
              </w:rPr>
              <w:t>，</w:t>
            </w:r>
            <w:r>
              <w:rPr>
                <w:rFonts w:hint="eastAsia" w:ascii="宋体" w:hAnsi="宋体" w:cs="宋体"/>
                <w:kern w:val="0"/>
                <w:szCs w:val="21"/>
              </w:rPr>
              <w:t>指投标人拟派的项目经理在</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年1月1日起至</w:t>
            </w:r>
            <w:r>
              <w:rPr>
                <w:rFonts w:hint="eastAsia" w:ascii="宋体" w:hAnsi="宋体"/>
                <w:kern w:val="0"/>
                <w:szCs w:val="21"/>
              </w:rPr>
              <w:t>投标截止日止（</w:t>
            </w:r>
            <w:r>
              <w:rPr>
                <w:rFonts w:hint="eastAsia" w:ascii="宋体" w:hAnsi="宋体"/>
                <w:szCs w:val="21"/>
              </w:rPr>
              <w:t>以竣（交）工时间为准）完成的1个类似公路养护工程业绩中担任项目经理（或项目副经理）。</w:t>
            </w:r>
          </w:p>
          <w:p w14:paraId="0E459A2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（2）业绩规模要求：</w:t>
            </w:r>
          </w:p>
          <w:p w14:paraId="6118CACA">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kern w:val="0"/>
                <w:szCs w:val="21"/>
              </w:rPr>
              <w:t>□</w:t>
            </w:r>
            <w:r>
              <w:rPr>
                <w:rFonts w:hint="eastAsia" w:ascii="宋体" w:hAnsi="宋体"/>
                <w:iCs/>
                <w:szCs w:val="21"/>
              </w:rPr>
              <w:t>公路路基路面养护、</w:t>
            </w:r>
            <w:r>
              <w:rPr>
                <w:rFonts w:hint="eastAsia" w:ascii="宋体" w:hAnsi="宋体"/>
                <w:kern w:val="0"/>
                <w:szCs w:val="21"/>
              </w:rPr>
              <w:t>□</w:t>
            </w:r>
            <w:r>
              <w:rPr>
                <w:rFonts w:hint="eastAsia" w:ascii="宋体" w:hAnsi="宋体"/>
                <w:iCs/>
                <w:szCs w:val="21"/>
              </w:rPr>
              <w:t>公路桥梁工程养护、</w:t>
            </w:r>
            <w:r>
              <w:rPr>
                <w:rFonts w:hint="eastAsia" w:ascii="宋体" w:hAnsi="宋体"/>
                <w:kern w:val="0"/>
                <w:szCs w:val="21"/>
              </w:rPr>
              <w:t>□</w:t>
            </w:r>
            <w:r>
              <w:rPr>
                <w:rFonts w:hint="eastAsia" w:ascii="宋体" w:hAnsi="宋体"/>
                <w:iCs/>
                <w:szCs w:val="21"/>
              </w:rPr>
              <w:t>公路隧道工程养护、</w:t>
            </w:r>
            <w:r>
              <w:rPr>
                <w:rFonts w:hint="eastAsia" w:ascii="宋体" w:hAnsi="宋体"/>
                <w:kern w:val="0"/>
                <w:szCs w:val="21"/>
              </w:rPr>
              <w:t>□</w:t>
            </w:r>
            <w:r>
              <w:rPr>
                <w:rFonts w:hint="eastAsia" w:ascii="宋体" w:hAnsi="宋体"/>
                <w:iCs/>
                <w:szCs w:val="21"/>
              </w:rPr>
              <w:t>公路交通安全设施工程养护、</w:t>
            </w:r>
            <w:r>
              <w:rPr>
                <w:rFonts w:hint="eastAsia" w:ascii="宋体" w:hAnsi="宋体"/>
                <w:kern w:val="0"/>
                <w:szCs w:val="21"/>
              </w:rPr>
              <w:t>□</w:t>
            </w:r>
            <w:r>
              <w:rPr>
                <w:rFonts w:hint="eastAsia" w:ascii="宋体" w:hAnsi="宋体"/>
                <w:iCs/>
                <w:szCs w:val="21"/>
              </w:rPr>
              <w:t>公路机电工程养护</w:t>
            </w:r>
          </w:p>
          <w:p w14:paraId="69121E45">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w:t>
            </w:r>
            <w:r>
              <w:rPr>
                <w:rFonts w:ascii="宋体" w:hAnsi="宋体"/>
                <w:szCs w:val="21"/>
              </w:rPr>
              <w:t>合同金额</w:t>
            </w:r>
            <w:r>
              <w:rPr>
                <w:rFonts w:hint="eastAsia" w:ascii="宋体" w:hAnsi="宋体"/>
                <w:szCs w:val="21"/>
              </w:rPr>
              <w:t>：</w:t>
            </w:r>
            <w:r>
              <w:rPr>
                <w:rFonts w:hint="eastAsia" w:ascii="宋体" w:hAnsi="宋体"/>
                <w:szCs w:val="21"/>
                <w:u w:val="single"/>
              </w:rPr>
              <w:t xml:space="preserve">        </w:t>
            </w:r>
          </w:p>
          <w:p w14:paraId="52F1D2FF">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□工程规模：</w:t>
            </w:r>
            <w:r>
              <w:rPr>
                <w:rFonts w:hint="eastAsia" w:ascii="宋体" w:hAnsi="宋体"/>
                <w:szCs w:val="21"/>
                <w:u w:val="single"/>
              </w:rPr>
              <w:t xml:space="preserve">        </w:t>
            </w:r>
          </w:p>
          <w:p w14:paraId="7F2B4D03">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[提示：根据招标项目实际情况选用。]</w:t>
            </w:r>
          </w:p>
          <w:p w14:paraId="404C8936">
            <w:pPr>
              <w:autoSpaceDE w:val="0"/>
              <w:autoSpaceDN w:val="0"/>
              <w:adjustRightInd w:val="0"/>
              <w:snapToGrid w:val="0"/>
              <w:spacing w:line="400" w:lineRule="exact"/>
              <w:ind w:firstLine="420" w:firstLineChars="200"/>
              <w:rPr>
                <w:rFonts w:hint="eastAsia"/>
              </w:rPr>
            </w:pPr>
            <w:r>
              <w:rPr>
                <w:rFonts w:hint="eastAsia" w:ascii="宋体" w:hAnsi="宋体"/>
              </w:rPr>
              <w:t>（3）业绩证明材料要求：</w:t>
            </w:r>
          </w:p>
          <w:p w14:paraId="538155CD">
            <w:pPr>
              <w:autoSpaceDE w:val="0"/>
              <w:autoSpaceDN w:val="0"/>
              <w:adjustRightInd w:val="0"/>
              <w:snapToGrid w:val="0"/>
              <w:spacing w:line="400" w:lineRule="exact"/>
              <w:ind w:firstLine="420" w:firstLineChars="200"/>
              <w:rPr>
                <w:rFonts w:hint="eastAsia"/>
              </w:rPr>
            </w:pPr>
            <w:r>
              <w:rPr>
                <w:rFonts w:hint="eastAsia"/>
              </w:rPr>
              <w:t>投标人须在投标文件资格审查部分提供该项目经理业绩在交通运输部“全国公路建设市场信用信息管理系统”或项目所在地的省级“公路建设市场信用信息管理系统”查询到相关项目网页截图。提供的网页截图能够完全反映项目经理业绩信息的，无须再提供其他业绩证明材料；若网页截图不能完全反映项目经理业绩信息的，可以补充提供合同协议书、工程竣工（或交工）验收合格的证明材料。</w:t>
            </w:r>
          </w:p>
          <w:p w14:paraId="6D357793">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注：投标人应对其提供的业绩证明材料（含截图）的真实性负责。当上述资料中针对同一指标存在不一致时，以</w:t>
            </w:r>
            <w:r>
              <w:rPr>
                <w:rFonts w:hint="eastAsia"/>
              </w:rPr>
              <w:t>相关项目网页截图</w:t>
            </w:r>
            <w:r>
              <w:rPr>
                <w:rFonts w:hint="eastAsia" w:ascii="宋体" w:hAnsi="宋体"/>
                <w:szCs w:val="21"/>
              </w:rPr>
              <w:t>为准。</w:t>
            </w:r>
          </w:p>
          <w:p w14:paraId="3111B860">
            <w:pPr>
              <w:autoSpaceDE w:val="0"/>
              <w:autoSpaceDN w:val="0"/>
              <w:adjustRightInd w:val="0"/>
              <w:snapToGrid w:val="0"/>
              <w:spacing w:line="400" w:lineRule="exact"/>
              <w:ind w:firstLine="420" w:firstLineChars="200"/>
            </w:pPr>
            <w:r>
              <w:rPr>
                <w:rFonts w:hint="eastAsia" w:ascii="宋体" w:hAnsi="宋体"/>
                <w:szCs w:val="21"/>
              </w:rPr>
              <w:t>不满足上述业绩要求的业绩视为无效。</w:t>
            </w:r>
          </w:p>
          <w:p w14:paraId="2513A86D">
            <w:pPr>
              <w:spacing w:line="400" w:lineRule="exact"/>
              <w:ind w:firstLine="420" w:firstLineChars="200"/>
              <w:rPr>
                <w:rFonts w:ascii="宋体" w:hAnsi="宋体"/>
                <w:i/>
                <w:szCs w:val="21"/>
              </w:rPr>
            </w:pPr>
            <w:r>
              <w:rPr>
                <w:rFonts w:hint="eastAsia" w:ascii="宋体" w:hAnsi="宋体"/>
                <w:bCs/>
                <w:snapToGrid w:val="0"/>
              </w:rPr>
              <w:t>5.2项目总工：1人。</w:t>
            </w:r>
          </w:p>
          <w:p w14:paraId="375175EC">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5.2.1投标人拟派的项目总工</w:t>
            </w:r>
            <w:r>
              <w:rPr>
                <w:rFonts w:ascii="宋体" w:hAnsi="宋体"/>
                <w:szCs w:val="21"/>
              </w:rPr>
              <w:t>应具有</w:t>
            </w:r>
            <w:r>
              <w:rPr>
                <w:rFonts w:hint="eastAsia" w:ascii="宋体" w:hAnsi="宋体"/>
                <w:iCs/>
                <w:szCs w:val="21"/>
              </w:rPr>
              <w:t>公路工程类</w:t>
            </w:r>
            <w:r>
              <w:rPr>
                <w:rFonts w:hint="eastAsia" w:ascii="宋体" w:hAnsi="宋体"/>
                <w:szCs w:val="21"/>
              </w:rPr>
              <w:t>专业</w:t>
            </w:r>
          </w:p>
          <w:p w14:paraId="380270FE">
            <w:pPr>
              <w:autoSpaceDE w:val="0"/>
              <w:autoSpaceDN w:val="0"/>
              <w:adjustRightInd w:val="0"/>
              <w:snapToGrid w:val="0"/>
              <w:spacing w:line="400" w:lineRule="exact"/>
              <w:rPr>
                <w:rFonts w:ascii="宋体" w:hAnsi="宋体"/>
                <w:szCs w:val="21"/>
                <w:u w:val="single"/>
              </w:rPr>
            </w:pPr>
            <w:r>
              <w:rPr>
                <w:rFonts w:hint="eastAsia" w:ascii="宋体" w:hAnsi="宋体"/>
                <w:szCs w:val="21"/>
                <w:u w:val="single"/>
              </w:rPr>
              <w:t xml:space="preserve">    </w:t>
            </w:r>
            <w:r>
              <w:rPr>
                <w:rFonts w:ascii="宋体" w:hAnsi="宋体"/>
                <w:szCs w:val="21"/>
                <w:u w:val="single"/>
              </w:rPr>
              <w:t>级及以上</w:t>
            </w:r>
            <w:r>
              <w:rPr>
                <w:rFonts w:hint="eastAsia" w:ascii="宋体" w:hAnsi="宋体"/>
                <w:szCs w:val="21"/>
              </w:rPr>
              <w:t>技术</w:t>
            </w:r>
            <w:r>
              <w:rPr>
                <w:rFonts w:ascii="宋体" w:hAnsi="宋体"/>
                <w:szCs w:val="21"/>
              </w:rPr>
              <w:t>职称</w:t>
            </w:r>
            <w:r>
              <w:rPr>
                <w:rFonts w:hint="eastAsia" w:ascii="宋体" w:hAnsi="宋体"/>
                <w:szCs w:val="21"/>
              </w:rPr>
              <w:t>，并具有省级及以上交通行政主管部门颁发的安全生产考核合格证书（B类）。</w:t>
            </w:r>
          </w:p>
          <w:p w14:paraId="5FF7856C">
            <w:pPr>
              <w:snapToGrid w:val="0"/>
              <w:spacing w:line="400" w:lineRule="exact"/>
              <w:ind w:firstLine="420" w:firstLineChars="200"/>
              <w:rPr>
                <w:rFonts w:hint="eastAsia" w:ascii="宋体" w:hAnsi="宋体"/>
                <w:szCs w:val="21"/>
              </w:rPr>
            </w:pPr>
            <w:r>
              <w:rPr>
                <w:rFonts w:hint="eastAsia" w:ascii="宋体" w:hAnsi="宋体"/>
                <w:szCs w:val="21"/>
              </w:rPr>
              <w:t>投标人须在投标文件资格审查部分提供有效的拟派项目总工身份证、职称证、安全生产考核合格证书（B类）</w:t>
            </w:r>
            <w:r>
              <w:rPr>
                <w:rFonts w:hint="eastAsia"/>
              </w:rPr>
              <w:t>及投标人为其交纳的养老保险证明材料。</w:t>
            </w:r>
          </w:p>
          <w:p w14:paraId="3695CE61">
            <w:pPr>
              <w:snapToGrid w:val="0"/>
              <w:spacing w:line="400" w:lineRule="exact"/>
              <w:ind w:firstLine="420" w:firstLineChars="200"/>
              <w:rPr>
                <w:rFonts w:hint="eastAsia" w:ascii="宋体" w:hAnsi="宋体"/>
                <w:szCs w:val="21"/>
              </w:rPr>
            </w:pPr>
            <w:r>
              <w:rPr>
                <w:rFonts w:hint="eastAsia" w:ascii="宋体" w:hAnsi="宋体"/>
                <w:szCs w:val="21"/>
              </w:rPr>
              <w:t>□联合体投标的，项目总工由联合体牵头人提供。</w:t>
            </w:r>
          </w:p>
          <w:p w14:paraId="3D34387F">
            <w:pPr>
              <w:snapToGrid w:val="0"/>
              <w:spacing w:line="400" w:lineRule="exact"/>
              <w:ind w:firstLine="420" w:firstLineChars="200"/>
              <w:rPr>
                <w:rFonts w:hint="eastAsia" w:ascii="宋体" w:hAnsi="宋体"/>
                <w:szCs w:val="21"/>
              </w:rPr>
            </w:pPr>
            <w:r>
              <w:rPr>
                <w:rFonts w:hint="eastAsia" w:ascii="宋体" w:hAnsi="宋体"/>
                <w:szCs w:val="21"/>
              </w:rPr>
              <w:t>5.2.2项目总工到岗履职承诺要求：承诺拟派项目总工中标后只能在本项目任职，签订合同时拟派的项目总工必须与投标文件中的项目总工一致，并满足办理施工许可手续的相关要求。不能按承诺到岗履约的，招标人将按合同相关条款要求投标人承担责任并上报行政主管部门，给招标人造成损失的，投标人依法承担违约赔偿责任。拟派项目总工中标后不得随意更换。未提供上述承诺或承诺内容不符合要求的，由评标委员会作否决投标处理</w:t>
            </w:r>
            <w:r>
              <w:rPr>
                <w:rFonts w:ascii="宋体" w:hAnsi="宋体"/>
                <w:color w:val="000000"/>
              </w:rPr>
              <w:t>。</w:t>
            </w:r>
          </w:p>
          <w:p w14:paraId="02D7635D">
            <w:pPr>
              <w:snapToGrid w:val="0"/>
              <w:spacing w:line="400" w:lineRule="exact"/>
              <w:ind w:firstLine="420" w:firstLineChars="200"/>
              <w:rPr>
                <w:rFonts w:hint="eastAsia" w:ascii="宋体" w:hAnsi="宋体"/>
                <w:szCs w:val="21"/>
              </w:rPr>
            </w:pPr>
            <w:r>
              <w:rPr>
                <w:rFonts w:hint="eastAsia" w:ascii="宋体" w:hAnsi="宋体"/>
                <w:szCs w:val="21"/>
              </w:rPr>
              <w:t>投标人须在投标文件资格审查部分提供</w:t>
            </w:r>
            <w:r>
              <w:rPr>
                <w:rFonts w:hint="eastAsia"/>
              </w:rPr>
              <w:t>拟派项目总工到岗履职的承诺（承诺格式见第九章投标文件格式）。</w:t>
            </w:r>
          </w:p>
          <w:p w14:paraId="1FB73D05">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□5.2.3项目总工业绩</w:t>
            </w:r>
          </w:p>
          <w:p w14:paraId="71E6EEBF">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投标人提供的项目总工业绩应同时满足以下要求：</w:t>
            </w:r>
          </w:p>
          <w:p w14:paraId="24E65E2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（1）业绩时间要求：</w:t>
            </w:r>
          </w:p>
          <w:p w14:paraId="3497D869">
            <w:pPr>
              <w:autoSpaceDE w:val="0"/>
              <w:autoSpaceDN w:val="0"/>
              <w:adjustRightInd w:val="0"/>
              <w:snapToGrid w:val="0"/>
              <w:spacing w:line="400" w:lineRule="exact"/>
              <w:ind w:firstLine="420" w:firstLineChars="200"/>
              <w:rPr>
                <w:rFonts w:ascii="宋体" w:hAnsi="宋体"/>
                <w:szCs w:val="21"/>
                <w:u w:val="single"/>
              </w:rPr>
            </w:pPr>
            <w:r>
              <w:rPr>
                <w:rFonts w:ascii="宋体" w:hAnsi="宋体"/>
                <w:szCs w:val="21"/>
              </w:rPr>
              <w:t>投标截止日前</w:t>
            </w:r>
            <w:r>
              <w:rPr>
                <w:rFonts w:hint="eastAsia" w:ascii="宋体" w:hAnsi="宋体"/>
                <w:szCs w:val="21"/>
              </w:rPr>
              <w:t>□3□5□8</w:t>
            </w:r>
            <w:r>
              <w:rPr>
                <w:rFonts w:ascii="宋体" w:hAnsi="宋体"/>
                <w:szCs w:val="21"/>
              </w:rPr>
              <w:t>年</w:t>
            </w:r>
            <w:r>
              <w:rPr>
                <w:rFonts w:hint="eastAsia" w:ascii="宋体" w:hAnsi="宋体"/>
                <w:i/>
                <w:iCs/>
                <w:szCs w:val="21"/>
              </w:rPr>
              <w:t>[提示：不包含投标截止日当年]</w:t>
            </w:r>
            <w:r>
              <w:rPr>
                <w:rFonts w:hint="eastAsia" w:ascii="宋体" w:hAnsi="宋体"/>
                <w:szCs w:val="21"/>
              </w:rPr>
              <w:t>，</w:t>
            </w:r>
            <w:r>
              <w:rPr>
                <w:rFonts w:hint="eastAsia" w:ascii="宋体" w:hAnsi="宋体" w:cs="宋体"/>
                <w:kern w:val="0"/>
                <w:szCs w:val="21"/>
              </w:rPr>
              <w:t>指投标人拟派的项目总工在</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年1月1日起至</w:t>
            </w:r>
            <w:r>
              <w:rPr>
                <w:rFonts w:hint="eastAsia" w:ascii="宋体" w:hAnsi="宋体"/>
                <w:kern w:val="0"/>
                <w:szCs w:val="21"/>
              </w:rPr>
              <w:t>投标截止日止（</w:t>
            </w:r>
            <w:r>
              <w:rPr>
                <w:rFonts w:hint="eastAsia" w:ascii="宋体" w:hAnsi="宋体"/>
                <w:szCs w:val="21"/>
              </w:rPr>
              <w:t>以竣（交）工时间为准）完成的1个类似公路养护工程业绩中担任项目总工（或项目经理或项目副经理）。</w:t>
            </w:r>
          </w:p>
          <w:p w14:paraId="5202B385">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（2）业绩规模要求：</w:t>
            </w:r>
          </w:p>
          <w:p w14:paraId="2CBBA961">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工程类别：</w:t>
            </w:r>
            <w:r>
              <w:rPr>
                <w:rFonts w:hint="eastAsia" w:ascii="宋体" w:hAnsi="宋体"/>
                <w:kern w:val="0"/>
                <w:szCs w:val="21"/>
              </w:rPr>
              <w:t>□</w:t>
            </w:r>
            <w:r>
              <w:rPr>
                <w:rFonts w:hint="eastAsia" w:ascii="宋体" w:hAnsi="宋体"/>
                <w:iCs/>
                <w:szCs w:val="21"/>
              </w:rPr>
              <w:t>公路路基路面养护、</w:t>
            </w:r>
            <w:r>
              <w:rPr>
                <w:rFonts w:hint="eastAsia" w:ascii="宋体" w:hAnsi="宋体"/>
                <w:kern w:val="0"/>
                <w:szCs w:val="21"/>
              </w:rPr>
              <w:t>□</w:t>
            </w:r>
            <w:r>
              <w:rPr>
                <w:rFonts w:hint="eastAsia" w:ascii="宋体" w:hAnsi="宋体"/>
                <w:iCs/>
                <w:szCs w:val="21"/>
              </w:rPr>
              <w:t>公路桥梁工程养护、</w:t>
            </w:r>
            <w:r>
              <w:rPr>
                <w:rFonts w:hint="eastAsia" w:ascii="宋体" w:hAnsi="宋体"/>
                <w:kern w:val="0"/>
                <w:szCs w:val="21"/>
              </w:rPr>
              <w:t>□</w:t>
            </w:r>
            <w:r>
              <w:rPr>
                <w:rFonts w:hint="eastAsia" w:ascii="宋体" w:hAnsi="宋体"/>
                <w:iCs/>
                <w:szCs w:val="21"/>
              </w:rPr>
              <w:t>公路隧道工程养护、</w:t>
            </w:r>
            <w:r>
              <w:rPr>
                <w:rFonts w:hint="eastAsia" w:ascii="宋体" w:hAnsi="宋体"/>
                <w:kern w:val="0"/>
                <w:szCs w:val="21"/>
              </w:rPr>
              <w:t>□</w:t>
            </w:r>
            <w:r>
              <w:rPr>
                <w:rFonts w:hint="eastAsia" w:ascii="宋体" w:hAnsi="宋体"/>
                <w:iCs/>
                <w:szCs w:val="21"/>
              </w:rPr>
              <w:t>公路交通安全设施工程养护、</w:t>
            </w:r>
            <w:r>
              <w:rPr>
                <w:rFonts w:hint="eastAsia" w:ascii="宋体" w:hAnsi="宋体"/>
                <w:kern w:val="0"/>
                <w:szCs w:val="21"/>
              </w:rPr>
              <w:t>□</w:t>
            </w:r>
            <w:r>
              <w:rPr>
                <w:rFonts w:hint="eastAsia" w:ascii="宋体" w:hAnsi="宋体"/>
                <w:iCs/>
                <w:szCs w:val="21"/>
              </w:rPr>
              <w:t>公路机电工程养护</w:t>
            </w:r>
          </w:p>
          <w:p w14:paraId="72D21FD2">
            <w:pPr>
              <w:autoSpaceDE w:val="0"/>
              <w:autoSpaceDN w:val="0"/>
              <w:adjustRightInd w:val="0"/>
              <w:snapToGrid w:val="0"/>
              <w:spacing w:line="400" w:lineRule="exact"/>
              <w:ind w:firstLine="420" w:firstLineChars="200"/>
              <w:rPr>
                <w:rFonts w:ascii="宋体" w:hAnsi="宋体"/>
                <w:szCs w:val="21"/>
                <w:u w:val="single"/>
              </w:rPr>
            </w:pPr>
            <w:r>
              <w:rPr>
                <w:rFonts w:hint="eastAsia" w:ascii="宋体" w:hAnsi="宋体"/>
                <w:szCs w:val="21"/>
              </w:rPr>
              <w:t>□</w:t>
            </w:r>
            <w:r>
              <w:rPr>
                <w:rFonts w:ascii="宋体" w:hAnsi="宋体"/>
                <w:szCs w:val="21"/>
              </w:rPr>
              <w:t>合同金额</w:t>
            </w:r>
            <w:r>
              <w:rPr>
                <w:rFonts w:hint="eastAsia" w:ascii="宋体" w:hAnsi="宋体"/>
                <w:szCs w:val="21"/>
              </w:rPr>
              <w:t>：</w:t>
            </w:r>
            <w:r>
              <w:rPr>
                <w:rFonts w:hint="eastAsia" w:ascii="宋体" w:hAnsi="宋体"/>
                <w:szCs w:val="21"/>
                <w:u w:val="single"/>
              </w:rPr>
              <w:t xml:space="preserve">        </w:t>
            </w:r>
          </w:p>
          <w:p w14:paraId="42DC2324">
            <w:pPr>
              <w:autoSpaceDE w:val="0"/>
              <w:autoSpaceDN w:val="0"/>
              <w:adjustRightInd w:val="0"/>
              <w:snapToGrid w:val="0"/>
              <w:spacing w:line="400" w:lineRule="exact"/>
              <w:ind w:firstLine="420" w:firstLineChars="200"/>
              <w:rPr>
                <w:rFonts w:ascii="宋体" w:hAnsi="宋体"/>
                <w:szCs w:val="21"/>
              </w:rPr>
            </w:pPr>
            <w:r>
              <w:rPr>
                <w:rFonts w:hint="eastAsia" w:ascii="宋体" w:hAnsi="宋体"/>
                <w:szCs w:val="21"/>
              </w:rPr>
              <w:t>□工程规模：</w:t>
            </w:r>
            <w:r>
              <w:rPr>
                <w:rFonts w:hint="eastAsia" w:ascii="宋体" w:hAnsi="宋体"/>
                <w:szCs w:val="21"/>
                <w:u w:val="single"/>
              </w:rPr>
              <w:t xml:space="preserve">        </w:t>
            </w:r>
          </w:p>
          <w:p w14:paraId="554550E5">
            <w:pPr>
              <w:autoSpaceDE w:val="0"/>
              <w:autoSpaceDN w:val="0"/>
              <w:adjustRightInd w:val="0"/>
              <w:snapToGrid w:val="0"/>
              <w:spacing w:line="400" w:lineRule="exact"/>
              <w:ind w:firstLine="420" w:firstLineChars="200"/>
              <w:rPr>
                <w:rFonts w:ascii="宋体" w:hAnsi="宋体"/>
                <w:i/>
                <w:szCs w:val="21"/>
              </w:rPr>
            </w:pPr>
            <w:r>
              <w:rPr>
                <w:rFonts w:hint="eastAsia" w:ascii="宋体" w:hAnsi="宋体"/>
                <w:i/>
                <w:szCs w:val="21"/>
              </w:rPr>
              <w:t>[提示：根据招标项目实际情况选用。]</w:t>
            </w:r>
          </w:p>
          <w:p w14:paraId="6928D9C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rPr>
              <w:t>（3）业绩证明材料要求：</w:t>
            </w:r>
          </w:p>
          <w:p w14:paraId="29797503">
            <w:pPr>
              <w:autoSpaceDE w:val="0"/>
              <w:autoSpaceDN w:val="0"/>
              <w:adjustRightInd w:val="0"/>
              <w:snapToGrid w:val="0"/>
              <w:spacing w:line="400" w:lineRule="exact"/>
              <w:ind w:firstLine="420" w:firstLineChars="200"/>
              <w:rPr>
                <w:rFonts w:hint="eastAsia"/>
              </w:rPr>
            </w:pPr>
            <w:r>
              <w:rPr>
                <w:rFonts w:hint="eastAsia" w:ascii="宋体" w:hAnsi="宋体"/>
                <w:szCs w:val="21"/>
              </w:rPr>
              <w:t>投标人须在投标文件资格审查部分提供</w:t>
            </w:r>
            <w:r>
              <w:rPr>
                <w:rFonts w:hint="eastAsia"/>
              </w:rPr>
              <w:t>该项目总工业绩在交通运输部“全国公路建设市场信用信息管理系统”或项目所在地的省级“公路建设市场信用信息管理系统”查询到相关项目网页截图。提供的网页截图能够完全反映项目总工业绩信息的，无须再提供其他业绩证明材料；若网页截图不能完全反映项目总工业绩信息的，可以补充提供合同协议书、工程竣工（或交工）验收合格的证明材料。</w:t>
            </w:r>
          </w:p>
          <w:p w14:paraId="3258E66D">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注：投标人应对其提供的业绩证明材料（含截图）的真实性负责。当上述资料中针对同一指标存在不一致时，以</w:t>
            </w:r>
            <w:r>
              <w:rPr>
                <w:rFonts w:hint="eastAsia"/>
              </w:rPr>
              <w:t>相关项目网页截图</w:t>
            </w:r>
            <w:r>
              <w:rPr>
                <w:rFonts w:hint="eastAsia" w:ascii="宋体" w:hAnsi="宋体"/>
                <w:szCs w:val="21"/>
              </w:rPr>
              <w:t>为准。</w:t>
            </w:r>
          </w:p>
          <w:p w14:paraId="11A79263">
            <w:pPr>
              <w:autoSpaceDE w:val="0"/>
              <w:autoSpaceDN w:val="0"/>
              <w:adjustRightInd w:val="0"/>
              <w:snapToGrid w:val="0"/>
              <w:spacing w:line="400" w:lineRule="exact"/>
              <w:ind w:firstLine="420" w:firstLineChars="200"/>
            </w:pPr>
            <w:r>
              <w:rPr>
                <w:rFonts w:hint="eastAsia" w:ascii="宋体" w:hAnsi="宋体"/>
                <w:szCs w:val="21"/>
              </w:rPr>
              <w:t>不满足上述业绩要求的业绩视为无效。</w:t>
            </w:r>
          </w:p>
          <w:p w14:paraId="6413F793">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6、其他管理和技术人员要求</w:t>
            </w:r>
          </w:p>
          <w:p w14:paraId="48C353E7">
            <w:pPr>
              <w:spacing w:line="400" w:lineRule="exact"/>
              <w:ind w:firstLine="420" w:firstLineChars="200"/>
              <w:rPr>
                <w:rFonts w:ascii="宋体" w:hAnsi="宋体" w:cs="宋体"/>
                <w:szCs w:val="21"/>
              </w:rPr>
            </w:pPr>
            <w:r>
              <w:rPr>
                <w:rFonts w:hint="eastAsia" w:ascii="宋体" w:hAnsi="宋体" w:cs="宋体"/>
                <w:szCs w:val="21"/>
              </w:rPr>
              <w:t>投标时投标人只须在投标文件资格审查部分提供拟投入其他管理和技术人员的承诺（格式见第九章投标文件格式），无需提供人员的具体证明材料，具体人员由招标人和中标人在合同谈判阶段确定。</w:t>
            </w:r>
          </w:p>
          <w:p w14:paraId="5592A7F5">
            <w:pPr>
              <w:spacing w:line="400" w:lineRule="exact"/>
              <w:ind w:firstLine="420" w:firstLineChars="200"/>
              <w:rPr>
                <w:rFonts w:hint="eastAsia" w:ascii="宋体" w:hAnsi="宋体"/>
                <w:b/>
                <w:szCs w:val="21"/>
              </w:rPr>
            </w:pPr>
            <w:r>
              <w:rPr>
                <w:rFonts w:hint="eastAsia"/>
              </w:rPr>
              <w:t>□联合体投标的，由联合体牵头人代表联合体各成员进行承诺。</w:t>
            </w:r>
          </w:p>
          <w:p w14:paraId="38CEFF96">
            <w:pPr>
              <w:spacing w:line="400" w:lineRule="exact"/>
              <w:ind w:firstLine="422" w:firstLineChars="200"/>
              <w:rPr>
                <w:rFonts w:hint="eastAsia" w:ascii="宋体" w:hAnsi="宋体" w:cs="宋体"/>
                <w:b/>
                <w:kern w:val="0"/>
                <w:szCs w:val="21"/>
                <w:lang w:bidi="ar"/>
              </w:rPr>
            </w:pPr>
            <w:r>
              <w:rPr>
                <w:rFonts w:hint="eastAsia" w:ascii="宋体" w:hAnsi="宋体"/>
                <w:b/>
                <w:szCs w:val="21"/>
              </w:rPr>
              <w:t>□</w:t>
            </w:r>
            <w:r>
              <w:rPr>
                <w:rFonts w:hint="eastAsia" w:ascii="宋体" w:hAnsi="宋体" w:cs="宋体"/>
                <w:b/>
                <w:kern w:val="0"/>
                <w:szCs w:val="21"/>
                <w:lang w:bidi="ar"/>
              </w:rPr>
              <w:t>7、主要机械设备和试验检测设备要求</w:t>
            </w:r>
          </w:p>
          <w:p w14:paraId="7815EED5">
            <w:pPr>
              <w:spacing w:line="400" w:lineRule="exact"/>
              <w:ind w:firstLine="420" w:firstLineChars="200"/>
              <w:rPr>
                <w:rFonts w:ascii="宋体" w:hAnsi="宋体" w:cs="宋体"/>
                <w:szCs w:val="21"/>
              </w:rPr>
            </w:pPr>
            <w:r>
              <w:rPr>
                <w:rFonts w:hint="eastAsia" w:ascii="宋体" w:hAnsi="宋体" w:cs="宋体"/>
                <w:szCs w:val="21"/>
              </w:rPr>
              <w:t>投标时投标人只须在投标文件资格审查部分提供拟投入主要机械设备和试验检测设备的承诺（格式见第九章投标文件格式），无需提供设备的具体证明材料，具体设备由招标人和中标人在合同谈判阶段确定。</w:t>
            </w:r>
          </w:p>
          <w:p w14:paraId="31502E8D">
            <w:pPr>
              <w:autoSpaceDE w:val="0"/>
              <w:autoSpaceDN w:val="0"/>
              <w:adjustRightInd w:val="0"/>
              <w:snapToGrid w:val="0"/>
              <w:spacing w:line="400" w:lineRule="exact"/>
              <w:ind w:firstLine="420" w:firstLineChars="200"/>
              <w:rPr>
                <w:rFonts w:hint="eastAsia" w:ascii="宋体" w:hAnsi="宋体" w:cs="宋体"/>
                <w:b/>
                <w:kern w:val="0"/>
                <w:szCs w:val="21"/>
                <w:lang w:bidi="ar"/>
              </w:rPr>
            </w:pPr>
            <w:r>
              <w:rPr>
                <w:rFonts w:hint="eastAsia"/>
              </w:rPr>
              <w:t>□联合体投标的，由联合体牵头人代表联合体各成员进行承诺。</w:t>
            </w:r>
          </w:p>
          <w:p w14:paraId="4DEFF66C">
            <w:pPr>
              <w:autoSpaceDE w:val="0"/>
              <w:autoSpaceDN w:val="0"/>
              <w:adjustRightInd w:val="0"/>
              <w:snapToGrid w:val="0"/>
              <w:spacing w:line="400" w:lineRule="exact"/>
              <w:ind w:firstLine="422" w:firstLineChars="200"/>
              <w:rPr>
                <w:rFonts w:ascii="宋体" w:hAnsi="宋体" w:cs="宋体"/>
                <w:b/>
                <w:kern w:val="0"/>
                <w:szCs w:val="21"/>
                <w:lang w:bidi="ar"/>
              </w:rPr>
            </w:pPr>
            <w:r>
              <w:rPr>
                <w:rFonts w:hint="eastAsia" w:ascii="宋体" w:hAnsi="宋体" w:cs="宋体"/>
                <w:b/>
                <w:kern w:val="0"/>
                <w:szCs w:val="21"/>
                <w:lang w:bidi="ar"/>
              </w:rPr>
              <w:t>8、委托代理人：</w:t>
            </w:r>
          </w:p>
          <w:p w14:paraId="32E729F8">
            <w:pPr>
              <w:spacing w:line="400" w:lineRule="exact"/>
              <w:ind w:firstLine="420" w:firstLineChars="200"/>
              <w:rPr>
                <w:rFonts w:ascii="宋体" w:hAnsi="宋体"/>
                <w:i/>
                <w:szCs w:val="21"/>
              </w:rPr>
            </w:pPr>
            <w:r>
              <w:rPr>
                <w:rFonts w:hint="eastAsia" w:ascii="宋体" w:hAnsi="宋体"/>
                <w:i/>
                <w:szCs w:val="21"/>
              </w:rPr>
              <w:t>[提示：根据授权委托书的授权范围，委托代理人可以以投标人的名义签署、澄清、说明、补正、递交、撤回、修改本项目投标文件、签订合同和处理有关事宜，其法律后果由投标人承担。]</w:t>
            </w:r>
          </w:p>
          <w:p w14:paraId="5166D4AC">
            <w:pPr>
              <w:spacing w:line="400" w:lineRule="exact"/>
              <w:ind w:firstLine="420" w:firstLineChars="200"/>
              <w:rPr>
                <w:rFonts w:hint="eastAsia" w:ascii="宋体" w:hAnsi="宋体" w:cs="宋体"/>
                <w:szCs w:val="21"/>
              </w:rPr>
            </w:pPr>
            <w:r>
              <w:rPr>
                <w:rFonts w:hint="eastAsia" w:ascii="宋体" w:hAnsi="宋体" w:cs="宋体"/>
                <w:szCs w:val="21"/>
              </w:rPr>
              <w:t>委托代理人必须为投标人本单位人员。</w:t>
            </w:r>
          </w:p>
          <w:p w14:paraId="16084ED0">
            <w:pPr>
              <w:spacing w:line="400" w:lineRule="exact"/>
              <w:ind w:firstLine="420" w:firstLineChars="200"/>
              <w:rPr>
                <w:rFonts w:ascii="宋体" w:hAnsi="宋体" w:cs="宋体"/>
                <w:szCs w:val="21"/>
              </w:rPr>
            </w:pPr>
            <w:r>
              <w:rPr>
                <w:rFonts w:hint="eastAsia" w:ascii="宋体" w:hAnsi="宋体" w:cs="宋体"/>
                <w:szCs w:val="21"/>
              </w:rPr>
              <w:t>投标人须在投标文件资格审查部分提供投标人为该委托代理人缴纳的养老保险证明。否则，将由评标委员会作否决投标处理。</w:t>
            </w:r>
          </w:p>
          <w:p w14:paraId="5A6959C3">
            <w:pPr>
              <w:spacing w:line="400" w:lineRule="exact"/>
              <w:ind w:firstLine="420" w:firstLineChars="200"/>
              <w:rPr>
                <w:rFonts w:hint="eastAsia" w:ascii="宋体" w:hAnsi="宋体" w:cs="宋体"/>
                <w:szCs w:val="21"/>
              </w:rPr>
            </w:pPr>
            <w:r>
              <w:rPr>
                <w:rFonts w:hint="eastAsia" w:ascii="宋体" w:hAnsi="宋体"/>
              </w:rPr>
              <w:t>□联合体投标的，</w:t>
            </w:r>
            <w:r>
              <w:rPr>
                <w:rFonts w:hint="eastAsia" w:ascii="宋体" w:hAnsi="宋体" w:cs="宋体"/>
                <w:szCs w:val="21"/>
              </w:rPr>
              <w:t>由联合体牵头人委派委托代理人，并在联合体协议中明确。</w:t>
            </w:r>
          </w:p>
          <w:p w14:paraId="3B2AD7C7">
            <w:pPr>
              <w:spacing w:line="400" w:lineRule="exact"/>
              <w:ind w:firstLine="422" w:firstLineChars="200"/>
              <w:rPr>
                <w:rFonts w:hint="eastAsia" w:ascii="宋体" w:hAnsi="宋体" w:cs="宋体"/>
                <w:szCs w:val="21"/>
              </w:rPr>
            </w:pPr>
            <w:r>
              <w:rPr>
                <w:rFonts w:hint="eastAsia" w:ascii="宋体" w:hAnsi="宋体" w:cs="宋体"/>
                <w:b/>
                <w:kern w:val="0"/>
                <w:szCs w:val="21"/>
                <w:lang w:bidi="ar"/>
              </w:rPr>
              <w:t>9、</w:t>
            </w:r>
            <w:r>
              <w:rPr>
                <w:rFonts w:hint="eastAsia" w:ascii="宋体" w:hAnsi="宋体" w:cs="宋体"/>
                <w:szCs w:val="21"/>
              </w:rPr>
              <w:t>投标文件中的所有内容真实有效，不存在弄虚作假情形。</w:t>
            </w:r>
          </w:p>
          <w:p w14:paraId="0FA66369">
            <w:pPr>
              <w:spacing w:line="400" w:lineRule="exact"/>
              <w:ind w:firstLine="420" w:firstLineChars="200"/>
              <w:rPr>
                <w:rFonts w:hint="eastAsia" w:ascii="宋体" w:hAnsi="宋体" w:cs="宋体"/>
                <w:szCs w:val="21"/>
              </w:rPr>
            </w:pPr>
            <w:r>
              <w:rPr>
                <w:rFonts w:hint="eastAsia" w:ascii="宋体" w:hAnsi="宋体" w:cs="宋体"/>
                <w:szCs w:val="21"/>
              </w:rPr>
              <w:t>投标人须在投标文件资格审查部分提供承诺（格式见第九章投标文件格式）。</w:t>
            </w:r>
          </w:p>
          <w:p w14:paraId="0C1E9301">
            <w:pPr>
              <w:autoSpaceDE w:val="0"/>
              <w:autoSpaceDN w:val="0"/>
              <w:adjustRightInd w:val="0"/>
              <w:snapToGrid w:val="0"/>
              <w:spacing w:line="400" w:lineRule="exact"/>
              <w:ind w:firstLine="415" w:firstLineChars="198"/>
              <w:rPr>
                <w:rFonts w:hint="eastAsia" w:ascii="宋体" w:hAnsi="宋体" w:cs="宋体"/>
                <w:b/>
                <w:szCs w:val="21"/>
              </w:rPr>
            </w:pPr>
            <w:r>
              <w:rPr>
                <w:rFonts w:hint="eastAsia"/>
              </w:rPr>
              <w:t>□联合体投标的，由联合体牵头人代表联合体各成员进行承诺。</w:t>
            </w:r>
          </w:p>
          <w:p w14:paraId="51EB8A88">
            <w:pPr>
              <w:autoSpaceDE w:val="0"/>
              <w:autoSpaceDN w:val="0"/>
              <w:adjustRightInd w:val="0"/>
              <w:snapToGrid w:val="0"/>
              <w:spacing w:line="400" w:lineRule="exact"/>
              <w:ind w:firstLine="417" w:firstLineChars="198"/>
              <w:rPr>
                <w:rFonts w:hint="eastAsia" w:ascii="宋体" w:hAnsi="宋体" w:cs="宋体"/>
                <w:b/>
                <w:szCs w:val="21"/>
              </w:rPr>
            </w:pPr>
            <w:r>
              <w:rPr>
                <w:rFonts w:hint="eastAsia" w:ascii="宋体" w:hAnsi="宋体" w:cs="宋体"/>
                <w:b/>
                <w:szCs w:val="21"/>
              </w:rPr>
              <w:t>特别说明：</w:t>
            </w:r>
          </w:p>
          <w:p w14:paraId="650E8DB4">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szCs w:val="21"/>
              </w:rPr>
              <w:t>（1）上述要求须提交的相关证明材料均为扫描件（原件或复印件的扫描件均可），扫描件须清晰可辨，</w:t>
            </w:r>
            <w:r>
              <w:rPr>
                <w:rFonts w:hint="eastAsia" w:ascii="宋体" w:hAnsi="宋体" w:cs="宋体"/>
                <w:kern w:val="0"/>
                <w:szCs w:val="21"/>
              </w:rPr>
              <w:t>有一条不满足，则投标文件由评标委员会</w:t>
            </w:r>
            <w:r>
              <w:rPr>
                <w:rFonts w:hint="eastAsia" w:ascii="宋体" w:hAnsi="宋体" w:cs="宋体"/>
                <w:szCs w:val="21"/>
              </w:rPr>
              <w:t>作否决投标处理</w:t>
            </w:r>
            <w:r>
              <w:rPr>
                <w:rFonts w:hint="eastAsia" w:ascii="宋体" w:hAnsi="宋体" w:cs="宋体"/>
                <w:kern w:val="0"/>
                <w:szCs w:val="21"/>
              </w:rPr>
              <w:t>。</w:t>
            </w:r>
          </w:p>
          <w:p w14:paraId="5A2CF675">
            <w:pPr>
              <w:autoSpaceDE w:val="0"/>
              <w:autoSpaceDN w:val="0"/>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u w:val="single"/>
              </w:rPr>
              <w:t>招标人在合同签订前均有权对投标人提供的资料进行核实，若发现弄虚作假，按相关规定取消其中标资格，并按相关法律法规报招标投标监督部门，其投标保证金</w:t>
            </w:r>
            <w:r>
              <w:rPr>
                <w:rFonts w:hint="eastAsia" w:ascii="宋体" w:hAnsi="宋体" w:cs="宋体"/>
                <w:szCs w:val="21"/>
              </w:rPr>
              <w:t>以现金形式交纳的不予退还，以保函形式交纳的由保函开立人支付保函担保的与投标保证金等额的款项</w:t>
            </w:r>
            <w:r>
              <w:rPr>
                <w:rFonts w:hint="eastAsia" w:ascii="宋体" w:hAnsi="宋体" w:cs="宋体"/>
                <w:szCs w:val="21"/>
                <w:u w:val="single"/>
              </w:rPr>
              <w:t>，投标人承担因此造成的相关责任并赔偿相应损失。</w:t>
            </w:r>
          </w:p>
          <w:p w14:paraId="41E6038A">
            <w:pPr>
              <w:spacing w:line="400" w:lineRule="exact"/>
              <w:ind w:firstLine="420" w:firstLineChars="200"/>
              <w:rPr>
                <w:rFonts w:hint="eastAsia" w:ascii="宋体" w:hAnsi="宋体" w:cs="宋体"/>
                <w:bCs/>
                <w:kern w:val="0"/>
                <w:szCs w:val="21"/>
              </w:rPr>
            </w:pPr>
            <w:r>
              <w:rPr>
                <w:rFonts w:hint="eastAsia" w:ascii="宋体" w:hAnsi="宋体" w:cs="宋体"/>
                <w:bCs/>
                <w:kern w:val="0"/>
                <w:szCs w:val="21"/>
              </w:rPr>
              <w:t>（3）本招标文件中所要求的人员养老保险证明要求如下：</w:t>
            </w:r>
          </w:p>
          <w:p w14:paraId="5EFED670">
            <w:pPr>
              <w:spacing w:line="400" w:lineRule="exact"/>
              <w:ind w:firstLine="420" w:firstLineChars="200"/>
              <w:rPr>
                <w:rFonts w:hint="eastAsia" w:ascii="宋体" w:hAnsi="宋体" w:cs="宋体"/>
                <w:bCs/>
                <w:kern w:val="0"/>
                <w:szCs w:val="21"/>
              </w:rPr>
            </w:pPr>
            <w:r>
              <w:rPr>
                <w:rFonts w:hint="eastAsia" w:ascii="宋体" w:hAnsi="宋体" w:cs="宋体"/>
                <w:bCs/>
                <w:kern w:val="0"/>
                <w:szCs w:val="21"/>
              </w:rPr>
              <w:t>①企业提供养老保险证明，事业单位提供养老保险证明或行政主管部门在编证明。</w:t>
            </w:r>
          </w:p>
          <w:p w14:paraId="1338F574">
            <w:pPr>
              <w:spacing w:line="400" w:lineRule="exact"/>
              <w:ind w:firstLine="420" w:firstLineChars="200"/>
              <w:rPr>
                <w:rFonts w:hint="eastAsia" w:ascii="宋体" w:hAnsi="宋体" w:cs="宋体"/>
                <w:bCs/>
                <w:szCs w:val="21"/>
              </w:rPr>
            </w:pPr>
            <w:r>
              <w:rPr>
                <w:rFonts w:hint="eastAsia" w:ascii="宋体" w:hAnsi="宋体" w:cs="宋体"/>
                <w:bCs/>
                <w:kern w:val="0"/>
                <w:szCs w:val="21"/>
              </w:rPr>
              <w:t>②</w:t>
            </w:r>
            <w:r>
              <w:rPr>
                <w:rFonts w:hint="eastAsia" w:ascii="宋体" w:hAnsi="宋体" w:cs="宋体"/>
                <w:bCs/>
                <w:snapToGrid w:val="0"/>
                <w:kern w:val="0"/>
                <w:szCs w:val="21"/>
              </w:rPr>
              <w:t>项目经理、项目总工和委托代理人的连续养老保险证明期限为</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年</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月至</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年</w:t>
            </w:r>
            <w:r>
              <w:rPr>
                <w:rFonts w:hint="eastAsia" w:ascii="宋体" w:hAnsi="宋体" w:cs="宋体"/>
                <w:bCs/>
                <w:snapToGrid w:val="0"/>
                <w:kern w:val="0"/>
                <w:szCs w:val="21"/>
                <w:u w:val="single"/>
              </w:rPr>
              <w:t xml:space="preserve">  </w:t>
            </w:r>
            <w:r>
              <w:rPr>
                <w:rFonts w:hint="eastAsia" w:ascii="宋体" w:hAnsi="宋体" w:cs="宋体"/>
                <w:bCs/>
                <w:snapToGrid w:val="0"/>
                <w:kern w:val="0"/>
                <w:szCs w:val="21"/>
              </w:rPr>
              <w:t>月</w:t>
            </w:r>
            <w:r>
              <w:rPr>
                <w:rFonts w:hint="eastAsia" w:ascii="宋体" w:hAnsi="宋体" w:cs="宋体"/>
                <w:bCs/>
                <w:szCs w:val="21"/>
              </w:rPr>
              <w:t>。提供的养老保险参保证明</w:t>
            </w:r>
            <w:r>
              <w:rPr>
                <w:rFonts w:hint="eastAsia" w:ascii="宋体" w:hAnsi="宋体"/>
                <w:bCs/>
                <w:szCs w:val="21"/>
              </w:rPr>
              <w:t>须体现上述人员的姓名、身份证号（或社保号）、单位名称、本单位参保时间（或起始参保时间）</w:t>
            </w:r>
            <w:r>
              <w:rPr>
                <w:rFonts w:hint="eastAsia" w:ascii="宋体" w:hAnsi="宋体" w:cs="宋体"/>
                <w:bCs/>
                <w:szCs w:val="21"/>
              </w:rPr>
              <w:t>，并带有社保部门公章或社保部门的有效电子印章。</w:t>
            </w:r>
          </w:p>
          <w:p w14:paraId="08A7777C">
            <w:pPr>
              <w:spacing w:line="400" w:lineRule="exact"/>
              <w:ind w:firstLine="420" w:firstLineChars="200"/>
              <w:rPr>
                <w:rFonts w:hint="eastAsia" w:ascii="宋体" w:hAnsi="宋体" w:cs="宋体"/>
                <w:b/>
                <w:bCs/>
                <w:snapToGrid w:val="0"/>
                <w:kern w:val="0"/>
                <w:szCs w:val="21"/>
              </w:rPr>
            </w:pPr>
            <w:r>
              <w:rPr>
                <w:rFonts w:hint="eastAsia" w:ascii="宋体" w:hAnsi="宋体" w:cs="宋体"/>
                <w:bCs/>
                <w:i/>
                <w:szCs w:val="21"/>
              </w:rPr>
              <w:t xml:space="preserve">[提示：项目经理、项目总工和委托代理人提交的养老保险时间段必须一致；从招标公告发布之日前一月起算，养老保险时间段建议为6个月。] </w:t>
            </w:r>
          </w:p>
        </w:tc>
      </w:tr>
      <w:tr w14:paraId="141D24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3580441">
            <w:pPr>
              <w:snapToGrid w:val="0"/>
              <w:spacing w:line="400" w:lineRule="exact"/>
              <w:jc w:val="center"/>
              <w:rPr>
                <w:rFonts w:hint="eastAsia" w:ascii="宋体" w:hAnsi="宋体" w:cs="宋体"/>
                <w:kern w:val="0"/>
                <w:szCs w:val="21"/>
              </w:rPr>
            </w:pPr>
            <w:r>
              <w:rPr>
                <w:rFonts w:hint="eastAsia" w:ascii="宋体" w:hAnsi="宋体" w:cs="宋体"/>
                <w:kern w:val="0"/>
                <w:szCs w:val="21"/>
              </w:rPr>
              <w:t>1.4.2</w:t>
            </w:r>
          </w:p>
        </w:tc>
        <w:tc>
          <w:tcPr>
            <w:tcW w:w="1615" w:type="dxa"/>
            <w:vAlign w:val="center"/>
          </w:tcPr>
          <w:p w14:paraId="70CB6C5E">
            <w:pPr>
              <w:snapToGrid w:val="0"/>
              <w:spacing w:line="400" w:lineRule="exact"/>
              <w:jc w:val="center"/>
              <w:rPr>
                <w:rFonts w:hint="eastAsia" w:ascii="宋体" w:hAnsi="宋体" w:cs="宋体"/>
                <w:kern w:val="0"/>
                <w:szCs w:val="21"/>
              </w:rPr>
            </w:pPr>
            <w:r>
              <w:rPr>
                <w:rFonts w:hint="eastAsia" w:ascii="宋体" w:hAnsi="宋体" w:cs="宋体"/>
                <w:kern w:val="0"/>
                <w:szCs w:val="21"/>
              </w:rPr>
              <w:t>是否接受联合体投标</w:t>
            </w:r>
          </w:p>
        </w:tc>
        <w:tc>
          <w:tcPr>
            <w:tcW w:w="6519" w:type="dxa"/>
            <w:vAlign w:val="center"/>
          </w:tcPr>
          <w:p w14:paraId="69DB3600">
            <w:pPr>
              <w:snapToGrid w:val="0"/>
              <w:spacing w:line="400" w:lineRule="exact"/>
              <w:ind w:firstLine="420" w:firstLineChars="200"/>
              <w:rPr>
                <w:rFonts w:hint="eastAsia"/>
              </w:rPr>
            </w:pPr>
            <w:r>
              <w:rPr>
                <w:rFonts w:hint="eastAsia"/>
              </w:rPr>
              <w:t>口不接受</w:t>
            </w:r>
          </w:p>
          <w:p w14:paraId="733B6EC7">
            <w:pPr>
              <w:tabs>
                <w:tab w:val="left" w:pos="212"/>
              </w:tabs>
              <w:snapToGrid w:val="0"/>
              <w:spacing w:line="400" w:lineRule="exact"/>
              <w:ind w:firstLine="420" w:firstLineChars="200"/>
              <w:rPr>
                <w:rFonts w:hint="eastAsia"/>
              </w:rPr>
            </w:pPr>
            <w:r>
              <w:rPr>
                <w:rFonts w:hint="eastAsia"/>
              </w:rPr>
              <w:t>口接受，应满足下列要求：</w:t>
            </w:r>
          </w:p>
          <w:p w14:paraId="45A80A21">
            <w:pPr>
              <w:tabs>
                <w:tab w:val="left" w:pos="212"/>
              </w:tabs>
              <w:snapToGrid w:val="0"/>
              <w:spacing w:line="400" w:lineRule="exact"/>
              <w:ind w:firstLine="420" w:firstLineChars="200"/>
              <w:rPr>
                <w:rFonts w:hint="eastAsia"/>
              </w:rPr>
            </w:pPr>
            <w:r>
              <w:rPr>
                <w:rFonts w:hint="eastAsia"/>
              </w:rPr>
              <w:t>（1）联合体所有成员数量不得超过</w:t>
            </w:r>
            <w:r>
              <w:rPr>
                <w:rFonts w:hint="eastAsia"/>
                <w:u w:val="single"/>
              </w:rPr>
              <w:t xml:space="preserve">    </w:t>
            </w:r>
            <w:r>
              <w:rPr>
                <w:rFonts w:hint="eastAsia"/>
              </w:rPr>
              <w:t>家；</w:t>
            </w:r>
          </w:p>
          <w:p w14:paraId="0FB38E50">
            <w:pPr>
              <w:tabs>
                <w:tab w:val="left" w:pos="212"/>
              </w:tabs>
              <w:snapToGrid w:val="0"/>
              <w:spacing w:line="400" w:lineRule="exact"/>
              <w:ind w:firstLine="420" w:firstLineChars="200"/>
              <w:rPr>
                <w:rFonts w:hint="eastAsia"/>
              </w:rPr>
            </w:pPr>
            <w:r>
              <w:rPr>
                <w:rFonts w:hint="eastAsia"/>
              </w:rPr>
              <w:t>（2）联合体牵头人资质要求：</w:t>
            </w:r>
            <w:r>
              <w:rPr>
                <w:rFonts w:hint="eastAsia"/>
                <w:u w:val="single"/>
              </w:rPr>
              <w:t xml:space="preserve">        </w:t>
            </w:r>
            <w:r>
              <w:rPr>
                <w:rFonts w:hint="eastAsia"/>
              </w:rPr>
              <w:t>。</w:t>
            </w:r>
          </w:p>
          <w:p w14:paraId="4AC340E6">
            <w:pPr>
              <w:tabs>
                <w:tab w:val="left" w:pos="212"/>
              </w:tabs>
              <w:snapToGrid w:val="0"/>
              <w:spacing w:line="400" w:lineRule="exact"/>
              <w:ind w:firstLine="420" w:firstLineChars="200"/>
              <w:rPr>
                <w:rFonts w:hint="eastAsia" w:ascii="宋体" w:hAnsi="宋体" w:cs="宋体"/>
                <w:bCs/>
                <w:szCs w:val="21"/>
                <w:highlight w:val="yellow"/>
              </w:rPr>
            </w:pPr>
            <w:r>
              <w:rPr>
                <w:rFonts w:hint="eastAsia" w:ascii="宋体" w:hAnsi="宋体" w:cs="宋体"/>
                <w:bCs/>
                <w:szCs w:val="21"/>
              </w:rPr>
              <w:t>（3）联合体协议应当明确各方在合同工程中所承担的专业工程或工作内容及范围。联合体各方应当具备联合体协议书中承担相应专业工程的资质；</w:t>
            </w:r>
          </w:p>
          <w:p w14:paraId="262C2906">
            <w:pPr>
              <w:tabs>
                <w:tab w:val="left" w:pos="212"/>
              </w:tabs>
              <w:snapToGrid w:val="0"/>
              <w:spacing w:line="400" w:lineRule="exact"/>
              <w:ind w:firstLine="420" w:firstLineChars="200"/>
              <w:rPr>
                <w:rFonts w:hint="eastAsia"/>
              </w:rPr>
            </w:pPr>
            <w:r>
              <w:rPr>
                <w:rFonts w:hint="eastAsia" w:ascii="宋体" w:hAnsi="宋体" w:cs="宋体"/>
                <w:bCs/>
                <w:szCs w:val="21"/>
              </w:rPr>
              <w:t>（4）其他：</w:t>
            </w:r>
            <w:r>
              <w:rPr>
                <w:rFonts w:hint="eastAsia" w:ascii="宋体" w:hAnsi="宋体" w:cs="宋体"/>
                <w:bCs/>
                <w:szCs w:val="21"/>
                <w:u w:val="single"/>
              </w:rPr>
              <w:t xml:space="preserve">        </w:t>
            </w:r>
            <w:r>
              <w:rPr>
                <w:rFonts w:hint="eastAsia" w:ascii="宋体" w:hAnsi="宋体" w:cs="宋体"/>
                <w:bCs/>
                <w:szCs w:val="21"/>
              </w:rPr>
              <w:t>。</w:t>
            </w:r>
          </w:p>
        </w:tc>
      </w:tr>
      <w:tr w14:paraId="46B3D3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AAEDF2F">
            <w:pPr>
              <w:snapToGrid w:val="0"/>
              <w:spacing w:line="400" w:lineRule="exact"/>
              <w:jc w:val="center"/>
              <w:rPr>
                <w:rFonts w:hint="eastAsia" w:ascii="宋体" w:hAnsi="宋体" w:cs="宋体"/>
                <w:kern w:val="0"/>
                <w:szCs w:val="21"/>
              </w:rPr>
            </w:pPr>
            <w:r>
              <w:rPr>
                <w:rFonts w:hint="eastAsia" w:ascii="宋体" w:hAnsi="宋体" w:cs="宋体"/>
                <w:kern w:val="0"/>
                <w:szCs w:val="21"/>
              </w:rPr>
              <w:t>1.11.1</w:t>
            </w:r>
          </w:p>
        </w:tc>
        <w:tc>
          <w:tcPr>
            <w:tcW w:w="1615" w:type="dxa"/>
            <w:vAlign w:val="center"/>
          </w:tcPr>
          <w:p w14:paraId="52131750">
            <w:pPr>
              <w:snapToGrid w:val="0"/>
              <w:spacing w:line="400" w:lineRule="exact"/>
              <w:jc w:val="center"/>
              <w:rPr>
                <w:rFonts w:hint="eastAsia" w:ascii="宋体" w:hAnsi="宋体" w:cs="宋体"/>
                <w:kern w:val="0"/>
                <w:szCs w:val="21"/>
              </w:rPr>
            </w:pPr>
            <w:r>
              <w:rPr>
                <w:rFonts w:hint="eastAsia" w:ascii="宋体" w:hAnsi="宋体" w:cs="宋体"/>
                <w:kern w:val="0"/>
                <w:szCs w:val="21"/>
              </w:rPr>
              <w:t>分包</w:t>
            </w:r>
          </w:p>
        </w:tc>
        <w:tc>
          <w:tcPr>
            <w:tcW w:w="6519" w:type="dxa"/>
            <w:vAlign w:val="center"/>
          </w:tcPr>
          <w:p w14:paraId="3F857508">
            <w:pPr>
              <w:snapToGrid w:val="0"/>
              <w:spacing w:line="400" w:lineRule="exact"/>
              <w:ind w:firstLine="420" w:firstLineChars="200"/>
              <w:rPr>
                <w:rFonts w:hint="eastAsia" w:ascii="宋体" w:hAnsi="宋体" w:cs="宋体"/>
                <w:bCs/>
                <w:szCs w:val="21"/>
              </w:rPr>
            </w:pPr>
            <w:r>
              <w:rPr>
                <w:rFonts w:hint="eastAsia" w:ascii="宋体" w:hAnsi="宋体" w:cs="宋体"/>
                <w:kern w:val="0"/>
                <w:szCs w:val="21"/>
              </w:rPr>
              <w:t>口</w:t>
            </w:r>
            <w:r>
              <w:rPr>
                <w:rFonts w:hint="eastAsia" w:ascii="宋体" w:hAnsi="宋体" w:cs="宋体"/>
                <w:bCs/>
                <w:szCs w:val="21"/>
              </w:rPr>
              <w:t>不允许</w:t>
            </w:r>
          </w:p>
          <w:p w14:paraId="32481966">
            <w:pPr>
              <w:snapToGrid w:val="0"/>
              <w:spacing w:line="400" w:lineRule="exact"/>
              <w:ind w:firstLine="420" w:firstLineChars="200"/>
              <w:rPr>
                <w:rFonts w:hint="eastAsia" w:ascii="宋体" w:hAnsi="宋体" w:cs="宋体"/>
                <w:bCs/>
                <w:szCs w:val="21"/>
              </w:rPr>
            </w:pPr>
            <w:r>
              <w:rPr>
                <w:rFonts w:hint="eastAsia" w:ascii="宋体" w:hAnsi="宋体" w:cs="宋体"/>
                <w:bCs/>
                <w:szCs w:val="21"/>
              </w:rPr>
              <w:t>口允许，允许分包的专项工程（或不允许分包的专项工程）：</w:t>
            </w:r>
            <w:r>
              <w:rPr>
                <w:rFonts w:hint="eastAsia" w:ascii="宋体" w:hAnsi="宋体" w:cs="宋体"/>
                <w:bCs/>
                <w:szCs w:val="21"/>
                <w:u w:val="single"/>
              </w:rPr>
              <w:t xml:space="preserve">      </w:t>
            </w:r>
          </w:p>
          <w:p w14:paraId="59645836">
            <w:pPr>
              <w:snapToGrid w:val="0"/>
              <w:spacing w:line="400" w:lineRule="exact"/>
              <w:ind w:firstLine="420" w:firstLineChars="200"/>
              <w:rPr>
                <w:rFonts w:hint="eastAsia" w:ascii="宋体" w:hAnsi="宋体" w:cs="宋体"/>
                <w:bCs/>
                <w:szCs w:val="21"/>
                <w:u w:val="single"/>
              </w:rPr>
            </w:pPr>
            <w:r>
              <w:rPr>
                <w:rFonts w:hint="eastAsia" w:ascii="宋体" w:hAnsi="宋体" w:cs="宋体"/>
                <w:bCs/>
                <w:szCs w:val="21"/>
              </w:rPr>
              <w:t>对分包人的资格要求：</w:t>
            </w:r>
            <w:r>
              <w:rPr>
                <w:rFonts w:hint="eastAsia" w:ascii="宋体" w:hAnsi="宋体" w:cs="宋体"/>
                <w:bCs/>
                <w:szCs w:val="21"/>
                <w:u w:val="single"/>
              </w:rPr>
              <w:t xml:space="preserve">      </w:t>
            </w:r>
          </w:p>
          <w:p w14:paraId="07867BD7">
            <w:pPr>
              <w:snapToGrid w:val="0"/>
              <w:spacing w:line="400" w:lineRule="exact"/>
              <w:ind w:firstLine="420" w:firstLineChars="200"/>
              <w:rPr>
                <w:rFonts w:hint="eastAsia" w:ascii="宋体" w:hAnsi="宋体" w:cs="宋体"/>
                <w:bCs/>
                <w:szCs w:val="21"/>
              </w:rPr>
            </w:pPr>
            <w:r>
              <w:rPr>
                <w:rFonts w:hint="eastAsia" w:ascii="宋体" w:hAnsi="宋体" w:cs="宋体"/>
                <w:bCs/>
                <w:szCs w:val="21"/>
                <w:u w:val="single"/>
              </w:rPr>
              <w:t>注：分包应按照相关法律法规及规范性文件执行，不得违法分包。</w:t>
            </w:r>
          </w:p>
        </w:tc>
      </w:tr>
      <w:tr w14:paraId="0462A1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80B8FD0">
            <w:pPr>
              <w:snapToGrid w:val="0"/>
              <w:spacing w:line="400" w:lineRule="exact"/>
              <w:jc w:val="center"/>
              <w:rPr>
                <w:rFonts w:hint="eastAsia" w:ascii="宋体" w:hAnsi="宋体" w:cs="宋体"/>
                <w:kern w:val="0"/>
                <w:szCs w:val="21"/>
              </w:rPr>
            </w:pPr>
            <w:r>
              <w:rPr>
                <w:rFonts w:hint="eastAsia" w:ascii="宋体" w:hAnsi="宋体" w:cs="宋体"/>
                <w:kern w:val="0"/>
                <w:szCs w:val="21"/>
              </w:rPr>
              <w:t>2.1</w:t>
            </w:r>
          </w:p>
        </w:tc>
        <w:tc>
          <w:tcPr>
            <w:tcW w:w="1615" w:type="dxa"/>
            <w:vAlign w:val="center"/>
          </w:tcPr>
          <w:p w14:paraId="75F38A82">
            <w:pPr>
              <w:snapToGrid w:val="0"/>
              <w:spacing w:line="400" w:lineRule="exact"/>
              <w:jc w:val="center"/>
              <w:rPr>
                <w:rFonts w:hint="eastAsia" w:ascii="宋体" w:hAnsi="宋体" w:cs="宋体"/>
                <w:kern w:val="0"/>
                <w:szCs w:val="21"/>
              </w:rPr>
            </w:pPr>
            <w:r>
              <w:rPr>
                <w:rFonts w:hint="eastAsia" w:ascii="宋体" w:hAnsi="宋体" w:cs="宋体"/>
                <w:kern w:val="0"/>
                <w:szCs w:val="21"/>
              </w:rPr>
              <w:t>构成招标文件的其他材料</w:t>
            </w:r>
          </w:p>
        </w:tc>
        <w:tc>
          <w:tcPr>
            <w:tcW w:w="6519" w:type="dxa"/>
            <w:vAlign w:val="center"/>
          </w:tcPr>
          <w:p w14:paraId="483F8792">
            <w:pPr>
              <w:snapToGrid w:val="0"/>
              <w:spacing w:line="400" w:lineRule="exact"/>
              <w:ind w:firstLine="420" w:firstLineChars="200"/>
              <w:rPr>
                <w:rFonts w:hint="eastAsia" w:ascii="宋体" w:hAnsi="宋体" w:cs="宋体"/>
                <w:szCs w:val="21"/>
              </w:rPr>
            </w:pPr>
            <w:r>
              <w:rPr>
                <w:rFonts w:hint="eastAsia" w:ascii="宋体" w:hAnsi="宋体" w:cs="宋体"/>
                <w:kern w:val="0"/>
                <w:szCs w:val="21"/>
              </w:rPr>
              <w:t>招标人发出的澄清及修改</w:t>
            </w:r>
          </w:p>
        </w:tc>
      </w:tr>
      <w:tr w14:paraId="0C5B26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DC7375A">
            <w:pPr>
              <w:snapToGrid w:val="0"/>
              <w:spacing w:line="400" w:lineRule="exact"/>
              <w:jc w:val="center"/>
              <w:rPr>
                <w:rFonts w:hint="eastAsia" w:ascii="宋体" w:hAnsi="宋体" w:cs="宋体"/>
                <w:kern w:val="0"/>
                <w:szCs w:val="21"/>
              </w:rPr>
            </w:pPr>
            <w:r>
              <w:rPr>
                <w:rFonts w:hint="eastAsia" w:ascii="宋体" w:hAnsi="宋体" w:cs="宋体"/>
                <w:kern w:val="0"/>
                <w:szCs w:val="21"/>
              </w:rPr>
              <w:t>2.2.1</w:t>
            </w:r>
          </w:p>
        </w:tc>
        <w:tc>
          <w:tcPr>
            <w:tcW w:w="1615" w:type="dxa"/>
            <w:vAlign w:val="center"/>
          </w:tcPr>
          <w:p w14:paraId="45DBBBC3">
            <w:pPr>
              <w:widowControl/>
              <w:spacing w:line="400" w:lineRule="exact"/>
              <w:jc w:val="center"/>
              <w:rPr>
                <w:rFonts w:hint="eastAsia" w:ascii="宋体" w:hAnsi="宋体" w:cs="宋体"/>
                <w:kern w:val="0"/>
                <w:szCs w:val="21"/>
              </w:rPr>
            </w:pPr>
            <w:r>
              <w:rPr>
                <w:rFonts w:ascii="宋体" w:hAnsi="宋体"/>
                <w:kern w:val="0"/>
                <w:szCs w:val="21"/>
              </w:rPr>
              <w:t>投标人对招标文件提出</w:t>
            </w:r>
            <w:r>
              <w:rPr>
                <w:rFonts w:hint="eastAsia" w:ascii="宋体" w:hAnsi="宋体"/>
                <w:kern w:val="0"/>
                <w:szCs w:val="21"/>
              </w:rPr>
              <w:t>疑问</w:t>
            </w:r>
            <w:r>
              <w:rPr>
                <w:rFonts w:ascii="宋体" w:hAnsi="宋体"/>
                <w:kern w:val="0"/>
                <w:szCs w:val="21"/>
              </w:rPr>
              <w:t>的截止时间</w:t>
            </w:r>
          </w:p>
        </w:tc>
        <w:tc>
          <w:tcPr>
            <w:tcW w:w="6519" w:type="dxa"/>
            <w:vAlign w:val="center"/>
          </w:tcPr>
          <w:p w14:paraId="364C8F1B">
            <w:pPr>
              <w:snapToGrid w:val="0"/>
              <w:spacing w:line="400" w:lineRule="exact"/>
              <w:ind w:firstLine="420" w:firstLineChars="200"/>
              <w:rPr>
                <w:rFonts w:hint="eastAsia" w:ascii="宋体" w:hAnsi="宋体" w:cs="宋体"/>
                <w:szCs w:val="21"/>
              </w:rPr>
            </w:pPr>
            <w:r>
              <w:rPr>
                <w:rFonts w:hint="eastAsia" w:ascii="宋体" w:hAnsi="宋体" w:cs="宋体"/>
                <w:kern w:val="0"/>
                <w:szCs w:val="21"/>
              </w:rPr>
              <w:t>投标人应仔细阅读招标文件及附件的所有内容，如有文字表述不清，图纸尺寸标注不明以及存在错、漏、缺、概念模糊和有可能出现歧义或理解上的偏差的内容等应在招标公告规定的时间前在本项目招标公告网页下方“我要提问”栏提交。</w:t>
            </w:r>
          </w:p>
        </w:tc>
      </w:tr>
      <w:tr w14:paraId="1ECED7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vAlign w:val="center"/>
          </w:tcPr>
          <w:p w14:paraId="2762A2B0">
            <w:pPr>
              <w:snapToGrid w:val="0"/>
              <w:spacing w:line="400" w:lineRule="exact"/>
              <w:jc w:val="center"/>
              <w:rPr>
                <w:rFonts w:hint="eastAsia" w:ascii="宋体" w:hAnsi="宋体" w:cs="宋体"/>
                <w:kern w:val="0"/>
                <w:szCs w:val="21"/>
              </w:rPr>
            </w:pPr>
            <w:r>
              <w:rPr>
                <w:rFonts w:hint="eastAsia" w:ascii="宋体" w:hAnsi="宋体" w:cs="宋体"/>
                <w:kern w:val="0"/>
                <w:szCs w:val="21"/>
              </w:rPr>
              <w:t>2.2.2</w:t>
            </w:r>
          </w:p>
        </w:tc>
        <w:tc>
          <w:tcPr>
            <w:tcW w:w="1615" w:type="dxa"/>
            <w:vAlign w:val="center"/>
          </w:tcPr>
          <w:p w14:paraId="5E120EB5">
            <w:pPr>
              <w:widowControl/>
              <w:spacing w:line="400" w:lineRule="exact"/>
              <w:jc w:val="center"/>
              <w:rPr>
                <w:rFonts w:hint="eastAsia" w:ascii="宋体" w:hAnsi="宋体" w:cs="宋体"/>
                <w:kern w:val="0"/>
                <w:szCs w:val="21"/>
              </w:rPr>
            </w:pPr>
            <w:r>
              <w:rPr>
                <w:rFonts w:ascii="宋体" w:hAnsi="宋体"/>
                <w:kern w:val="0"/>
                <w:szCs w:val="21"/>
              </w:rPr>
              <w:t>招标人对招标文件</w:t>
            </w:r>
            <w:r>
              <w:rPr>
                <w:rFonts w:hint="eastAsia" w:ascii="宋体" w:hAnsi="宋体"/>
                <w:kern w:val="0"/>
                <w:szCs w:val="21"/>
              </w:rPr>
              <w:t>澄清</w:t>
            </w:r>
            <w:r>
              <w:rPr>
                <w:rFonts w:ascii="宋体" w:hAnsi="宋体"/>
                <w:kern w:val="0"/>
                <w:szCs w:val="21"/>
              </w:rPr>
              <w:t>的截止时间</w:t>
            </w:r>
          </w:p>
        </w:tc>
        <w:tc>
          <w:tcPr>
            <w:tcW w:w="6519" w:type="dxa"/>
            <w:vAlign w:val="center"/>
          </w:tcPr>
          <w:p w14:paraId="09439152">
            <w:pPr>
              <w:snapToGrid w:val="0"/>
              <w:spacing w:line="400" w:lineRule="exact"/>
              <w:ind w:firstLine="420" w:firstLineChars="200"/>
              <w:rPr>
                <w:rFonts w:hint="eastAsia" w:ascii="宋体" w:hAnsi="宋体" w:cs="宋体"/>
                <w:kern w:val="0"/>
                <w:szCs w:val="21"/>
                <w:u w:val="single"/>
              </w:rPr>
            </w:pPr>
            <w:r>
              <w:rPr>
                <w:rFonts w:hint="eastAsia" w:ascii="宋体" w:hAnsi="宋体"/>
                <w:szCs w:val="21"/>
              </w:rPr>
              <w:t>招标人应在招标公告规定的时间前</w:t>
            </w:r>
            <w:r>
              <w:rPr>
                <w:rFonts w:ascii="宋体" w:hAnsi="宋体"/>
                <w:szCs w:val="21"/>
              </w:rPr>
              <w:t>，</w:t>
            </w:r>
            <w:r>
              <w:rPr>
                <w:rFonts w:ascii="宋体" w:hAnsi="宋体"/>
                <w:kern w:val="0"/>
                <w:szCs w:val="21"/>
              </w:rPr>
              <w:t>在</w:t>
            </w:r>
            <w:r>
              <w:rPr>
                <w:rFonts w:hint="eastAsia" w:ascii="宋体" w:hAnsi="宋体"/>
                <w:kern w:val="0"/>
                <w:szCs w:val="21"/>
                <w:u w:val="single"/>
              </w:rPr>
              <w:t>重庆市公共资源交易网</w:t>
            </w:r>
            <w:r>
              <w:rPr>
                <w:rFonts w:hint="eastAsia" w:ascii="宋体" w:hAnsi="宋体"/>
                <w:kern w:val="0"/>
                <w:szCs w:val="21"/>
              </w:rPr>
              <w:t>发布澄清</w:t>
            </w:r>
            <w:r>
              <w:rPr>
                <w:rFonts w:ascii="宋体" w:hAnsi="宋体"/>
                <w:kern w:val="0"/>
                <w:szCs w:val="21"/>
              </w:rPr>
              <w:t>。</w:t>
            </w:r>
          </w:p>
        </w:tc>
      </w:tr>
      <w:tr w14:paraId="264E36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vAlign w:val="center"/>
          </w:tcPr>
          <w:p w14:paraId="0E1C996F">
            <w:pPr>
              <w:snapToGrid w:val="0"/>
              <w:spacing w:line="400" w:lineRule="exact"/>
              <w:jc w:val="center"/>
              <w:rPr>
                <w:rFonts w:hint="eastAsia" w:ascii="宋体" w:hAnsi="宋体" w:cs="宋体"/>
                <w:kern w:val="0"/>
                <w:szCs w:val="21"/>
              </w:rPr>
            </w:pPr>
          </w:p>
        </w:tc>
        <w:tc>
          <w:tcPr>
            <w:tcW w:w="1615" w:type="dxa"/>
            <w:vAlign w:val="center"/>
          </w:tcPr>
          <w:p w14:paraId="744198DD">
            <w:pPr>
              <w:widowControl/>
              <w:spacing w:line="400" w:lineRule="exact"/>
              <w:jc w:val="center"/>
              <w:rPr>
                <w:rFonts w:ascii="宋体" w:hAnsi="宋体"/>
                <w:kern w:val="0"/>
                <w:szCs w:val="21"/>
              </w:rPr>
            </w:pPr>
            <w:r>
              <w:rPr>
                <w:rFonts w:hint="eastAsia" w:ascii="宋体" w:hAnsi="宋体"/>
                <w:kern w:val="0"/>
                <w:szCs w:val="21"/>
              </w:rPr>
              <w:t>投标截止时间</w:t>
            </w:r>
          </w:p>
        </w:tc>
        <w:tc>
          <w:tcPr>
            <w:tcW w:w="6519" w:type="dxa"/>
            <w:vAlign w:val="center"/>
          </w:tcPr>
          <w:p w14:paraId="0DA4561C">
            <w:pPr>
              <w:snapToGrid w:val="0"/>
              <w:spacing w:line="400" w:lineRule="exact"/>
              <w:ind w:firstLine="420" w:firstLineChars="200"/>
              <w:rPr>
                <w:rFonts w:ascii="宋体" w:hAnsi="宋体"/>
                <w:szCs w:val="21"/>
                <w:u w:val="single"/>
              </w:rPr>
            </w:pPr>
            <w:r>
              <w:rPr>
                <w:rFonts w:hint="eastAsia" w:ascii="宋体" w:hAnsi="宋体"/>
                <w:szCs w:val="21"/>
                <w:u w:val="single"/>
              </w:rPr>
              <w:t>详见招标公告规定的投标截止时间。</w:t>
            </w:r>
          </w:p>
        </w:tc>
      </w:tr>
      <w:tr w14:paraId="3BB93A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68FCFC6">
            <w:pPr>
              <w:snapToGrid w:val="0"/>
              <w:spacing w:line="400" w:lineRule="exact"/>
              <w:jc w:val="center"/>
              <w:rPr>
                <w:rFonts w:hint="eastAsia" w:ascii="宋体" w:hAnsi="宋体" w:cs="宋体"/>
                <w:kern w:val="0"/>
                <w:szCs w:val="21"/>
              </w:rPr>
            </w:pPr>
            <w:r>
              <w:rPr>
                <w:rFonts w:hint="eastAsia" w:ascii="宋体" w:hAnsi="宋体" w:cs="宋体"/>
                <w:kern w:val="0"/>
                <w:szCs w:val="21"/>
              </w:rPr>
              <w:t>2.2.3</w:t>
            </w:r>
          </w:p>
        </w:tc>
        <w:tc>
          <w:tcPr>
            <w:tcW w:w="1615" w:type="dxa"/>
            <w:vAlign w:val="center"/>
          </w:tcPr>
          <w:p w14:paraId="229F243A">
            <w:pPr>
              <w:widowControl/>
              <w:spacing w:line="400" w:lineRule="exact"/>
              <w:jc w:val="center"/>
              <w:rPr>
                <w:rFonts w:hint="eastAsia" w:ascii="宋体" w:hAnsi="宋体" w:cs="宋体"/>
                <w:kern w:val="0"/>
                <w:szCs w:val="21"/>
              </w:rPr>
            </w:pPr>
            <w:r>
              <w:rPr>
                <w:rFonts w:ascii="宋体" w:hAnsi="宋体"/>
                <w:kern w:val="0"/>
                <w:szCs w:val="21"/>
              </w:rPr>
              <w:t>招标人对招标文件进行</w:t>
            </w:r>
            <w:r>
              <w:rPr>
                <w:rFonts w:hint="eastAsia" w:ascii="宋体" w:hAnsi="宋体"/>
                <w:kern w:val="0"/>
                <w:szCs w:val="21"/>
              </w:rPr>
              <w:t>修改</w:t>
            </w:r>
            <w:r>
              <w:rPr>
                <w:rFonts w:ascii="宋体" w:hAnsi="宋体"/>
                <w:kern w:val="0"/>
                <w:szCs w:val="21"/>
              </w:rPr>
              <w:t>的时间</w:t>
            </w:r>
          </w:p>
        </w:tc>
        <w:tc>
          <w:tcPr>
            <w:tcW w:w="6519" w:type="dxa"/>
            <w:vAlign w:val="center"/>
          </w:tcPr>
          <w:p w14:paraId="3B9A2DC1">
            <w:pPr>
              <w:widowControl/>
              <w:spacing w:line="400" w:lineRule="exact"/>
              <w:ind w:firstLine="420" w:firstLineChars="200"/>
              <w:jc w:val="left"/>
              <w:rPr>
                <w:rFonts w:hint="eastAsia" w:ascii="宋体" w:hAnsi="宋体" w:cs="宋体"/>
                <w:szCs w:val="21"/>
              </w:rPr>
            </w:pPr>
            <w:r>
              <w:rPr>
                <w:rFonts w:hint="eastAsia" w:ascii="宋体" w:hAnsi="宋体"/>
                <w:iCs/>
                <w:szCs w:val="21"/>
              </w:rPr>
              <w:t>确需修改的</w:t>
            </w:r>
            <w:r>
              <w:rPr>
                <w:rFonts w:ascii="宋体" w:hAnsi="宋体"/>
                <w:snapToGrid w:val="0"/>
                <w:kern w:val="0"/>
                <w:szCs w:val="21"/>
              </w:rPr>
              <w:t>，须在投标截止时间</w:t>
            </w:r>
            <w:r>
              <w:rPr>
                <w:rFonts w:ascii="宋体" w:hAnsi="宋体"/>
                <w:snapToGrid w:val="0"/>
                <w:kern w:val="0"/>
                <w:szCs w:val="21"/>
                <w:u w:val="single"/>
              </w:rPr>
              <w:t>15</w:t>
            </w:r>
            <w:r>
              <w:rPr>
                <w:rFonts w:ascii="宋体" w:hAnsi="宋体"/>
                <w:snapToGrid w:val="0"/>
                <w:kern w:val="0"/>
                <w:szCs w:val="21"/>
              </w:rPr>
              <w:t>日前发布，发布时间至投标截止时间不足</w:t>
            </w:r>
            <w:r>
              <w:rPr>
                <w:rFonts w:ascii="宋体" w:hAnsi="宋体"/>
                <w:snapToGrid w:val="0"/>
                <w:kern w:val="0"/>
                <w:szCs w:val="21"/>
                <w:u w:val="single"/>
              </w:rPr>
              <w:t>15</w:t>
            </w:r>
            <w:r>
              <w:rPr>
                <w:rFonts w:ascii="宋体" w:hAnsi="宋体"/>
                <w:snapToGrid w:val="0"/>
                <w:kern w:val="0"/>
                <w:szCs w:val="21"/>
              </w:rPr>
              <w:t>日的，须相应延后投标截止时间。</w:t>
            </w:r>
          </w:p>
        </w:tc>
      </w:tr>
      <w:tr w14:paraId="1AE06C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EC0E4AA">
            <w:pPr>
              <w:snapToGrid w:val="0"/>
              <w:spacing w:line="400" w:lineRule="exact"/>
              <w:jc w:val="center"/>
              <w:rPr>
                <w:rFonts w:ascii="宋体" w:hAnsi="宋体" w:cs="宋体"/>
                <w:kern w:val="0"/>
                <w:szCs w:val="21"/>
              </w:rPr>
            </w:pPr>
            <w:r>
              <w:rPr>
                <w:rFonts w:hint="eastAsia" w:ascii="宋体" w:hAnsi="宋体" w:cs="宋体"/>
                <w:kern w:val="0"/>
                <w:szCs w:val="21"/>
              </w:rPr>
              <w:t>2.2.4</w:t>
            </w:r>
          </w:p>
        </w:tc>
        <w:tc>
          <w:tcPr>
            <w:tcW w:w="1615" w:type="dxa"/>
            <w:vAlign w:val="center"/>
          </w:tcPr>
          <w:p w14:paraId="7872D570">
            <w:pPr>
              <w:widowControl/>
              <w:spacing w:line="400" w:lineRule="exact"/>
              <w:jc w:val="center"/>
              <w:rPr>
                <w:rFonts w:hint="eastAsia" w:ascii="宋体" w:hAnsi="宋体" w:cs="宋体"/>
                <w:kern w:val="0"/>
                <w:szCs w:val="21"/>
                <w:lang w:bidi="ar"/>
              </w:rPr>
            </w:pPr>
            <w:r>
              <w:rPr>
                <w:rFonts w:ascii="宋体" w:hAnsi="宋体"/>
                <w:kern w:val="0"/>
                <w:szCs w:val="21"/>
              </w:rPr>
              <w:t>投标人对招标文件及</w:t>
            </w:r>
            <w:r>
              <w:rPr>
                <w:rFonts w:hint="eastAsia" w:ascii="宋体" w:hAnsi="宋体"/>
                <w:kern w:val="0"/>
                <w:szCs w:val="21"/>
              </w:rPr>
              <w:t>澄清修改</w:t>
            </w:r>
            <w:r>
              <w:rPr>
                <w:rFonts w:ascii="宋体" w:hAnsi="宋体"/>
                <w:kern w:val="0"/>
                <w:szCs w:val="21"/>
              </w:rPr>
              <w:t>提出异议的截止时间</w:t>
            </w:r>
          </w:p>
        </w:tc>
        <w:tc>
          <w:tcPr>
            <w:tcW w:w="6519" w:type="dxa"/>
            <w:vAlign w:val="center"/>
          </w:tcPr>
          <w:p w14:paraId="6CECC185">
            <w:pPr>
              <w:widowControl/>
              <w:spacing w:line="400" w:lineRule="exact"/>
              <w:ind w:firstLine="420" w:firstLineChars="200"/>
              <w:jc w:val="left"/>
              <w:rPr>
                <w:rFonts w:hint="eastAsia" w:ascii="宋体" w:hAnsi="宋体" w:cs="宋体"/>
                <w:kern w:val="0"/>
                <w:szCs w:val="21"/>
                <w:lang w:bidi="ar"/>
              </w:rPr>
            </w:pPr>
            <w:r>
              <w:rPr>
                <w:rFonts w:ascii="宋体" w:hAnsi="宋体"/>
                <w:snapToGrid w:val="0"/>
                <w:kern w:val="0"/>
                <w:szCs w:val="21"/>
              </w:rPr>
              <w:t>投标人对招标文件和</w:t>
            </w:r>
            <w:r>
              <w:rPr>
                <w:rFonts w:hint="eastAsia" w:ascii="宋体" w:hAnsi="宋体"/>
                <w:snapToGrid w:val="0"/>
                <w:kern w:val="0"/>
                <w:szCs w:val="21"/>
              </w:rPr>
              <w:t>澄清修改</w:t>
            </w:r>
            <w:r>
              <w:rPr>
                <w:rFonts w:ascii="宋体" w:hAnsi="宋体"/>
                <w:snapToGrid w:val="0"/>
                <w:kern w:val="0"/>
                <w:szCs w:val="21"/>
              </w:rPr>
              <w:t>有异议的，应当在投标截止时间</w:t>
            </w:r>
            <w:r>
              <w:rPr>
                <w:rFonts w:ascii="宋体" w:hAnsi="宋体"/>
                <w:snapToGrid w:val="0"/>
                <w:kern w:val="0"/>
                <w:szCs w:val="21"/>
                <w:u w:val="single"/>
              </w:rPr>
              <w:t>10</w:t>
            </w:r>
            <w:r>
              <w:rPr>
                <w:rFonts w:ascii="宋体" w:hAnsi="宋体"/>
                <w:snapToGrid w:val="0"/>
                <w:kern w:val="0"/>
                <w:szCs w:val="21"/>
              </w:rPr>
              <w:t>日前，</w:t>
            </w:r>
            <w:r>
              <w:rPr>
                <w:rFonts w:hint="eastAsia" w:ascii="宋体" w:hAnsi="宋体"/>
                <w:snapToGrid w:val="0"/>
                <w:kern w:val="0"/>
                <w:szCs w:val="21"/>
              </w:rPr>
              <w:t>通过重庆市电子招投标系统提出</w:t>
            </w:r>
            <w:r>
              <w:rPr>
                <w:rFonts w:ascii="宋体" w:hAnsi="宋体"/>
                <w:snapToGrid w:val="0"/>
                <w:kern w:val="0"/>
                <w:szCs w:val="21"/>
              </w:rPr>
              <w:t>。招标人应当自收到异议之日起3日内做出答复，</w:t>
            </w:r>
            <w:r>
              <w:rPr>
                <w:rFonts w:hint="eastAsia" w:ascii="宋体" w:hAnsi="宋体"/>
                <w:snapToGrid w:val="0"/>
                <w:kern w:val="0"/>
                <w:szCs w:val="21"/>
              </w:rPr>
              <w:t>答复内容可能影响投标文件编制的，将以修改的形式于投标截止时间</w:t>
            </w:r>
            <w:r>
              <w:rPr>
                <w:rFonts w:hint="eastAsia" w:ascii="宋体" w:hAnsi="宋体"/>
                <w:snapToGrid w:val="0"/>
                <w:kern w:val="0"/>
                <w:szCs w:val="21"/>
                <w:u w:val="single"/>
              </w:rPr>
              <w:t>15</w:t>
            </w:r>
            <w:r>
              <w:rPr>
                <w:rFonts w:hint="eastAsia" w:ascii="宋体" w:hAnsi="宋体"/>
                <w:snapToGrid w:val="0"/>
                <w:kern w:val="0"/>
                <w:szCs w:val="21"/>
              </w:rPr>
              <w:t>日前在</w:t>
            </w:r>
            <w:r>
              <w:rPr>
                <w:rFonts w:hint="eastAsia" w:ascii="宋体" w:hAnsi="宋体"/>
                <w:snapToGrid w:val="0"/>
                <w:kern w:val="0"/>
                <w:szCs w:val="21"/>
                <w:u w:val="single"/>
              </w:rPr>
              <w:t>重庆市公共资源交易网</w:t>
            </w:r>
            <w:r>
              <w:rPr>
                <w:rFonts w:hint="eastAsia" w:ascii="宋体" w:hAnsi="宋体"/>
                <w:snapToGrid w:val="0"/>
                <w:kern w:val="0"/>
                <w:szCs w:val="21"/>
              </w:rPr>
              <w:t>澄清修改区发布。发布时间至投标截止时间不足</w:t>
            </w:r>
            <w:r>
              <w:rPr>
                <w:rFonts w:hint="eastAsia" w:ascii="宋体" w:hAnsi="宋体"/>
                <w:snapToGrid w:val="0"/>
                <w:kern w:val="0"/>
                <w:szCs w:val="21"/>
                <w:u w:val="single"/>
              </w:rPr>
              <w:t>15</w:t>
            </w:r>
            <w:r>
              <w:rPr>
                <w:rFonts w:hint="eastAsia" w:ascii="宋体" w:hAnsi="宋体"/>
                <w:snapToGrid w:val="0"/>
                <w:kern w:val="0"/>
                <w:szCs w:val="21"/>
              </w:rPr>
              <w:t>日的，须相应延后投标截止时间。</w:t>
            </w:r>
          </w:p>
        </w:tc>
      </w:tr>
      <w:tr w14:paraId="7B22C4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952BD42">
            <w:pPr>
              <w:snapToGrid w:val="0"/>
              <w:spacing w:line="400" w:lineRule="exact"/>
              <w:jc w:val="center"/>
              <w:rPr>
                <w:rFonts w:ascii="宋体" w:hAnsi="宋体" w:cs="宋体"/>
                <w:kern w:val="0"/>
                <w:szCs w:val="21"/>
              </w:rPr>
            </w:pPr>
            <w:r>
              <w:rPr>
                <w:rFonts w:hint="eastAsia" w:ascii="宋体" w:hAnsi="宋体" w:cs="宋体"/>
                <w:kern w:val="0"/>
                <w:szCs w:val="21"/>
              </w:rPr>
              <w:t>3.1.1</w:t>
            </w:r>
          </w:p>
        </w:tc>
        <w:tc>
          <w:tcPr>
            <w:tcW w:w="1615" w:type="dxa"/>
            <w:vAlign w:val="center"/>
          </w:tcPr>
          <w:p w14:paraId="6C238FCB">
            <w:pPr>
              <w:widowControl/>
              <w:spacing w:line="400" w:lineRule="exact"/>
              <w:jc w:val="center"/>
              <w:rPr>
                <w:rFonts w:hint="eastAsia" w:ascii="宋体" w:hAnsi="宋体" w:cs="宋体"/>
                <w:kern w:val="0"/>
                <w:szCs w:val="21"/>
                <w:lang w:bidi="ar"/>
              </w:rPr>
            </w:pPr>
            <w:r>
              <w:rPr>
                <w:rFonts w:hint="eastAsia" w:ascii="宋体" w:hAnsi="宋体" w:cs="宋体"/>
                <w:spacing w:val="-1"/>
                <w:szCs w:val="21"/>
              </w:rPr>
              <w:t>构成投标文件的其他资料</w:t>
            </w:r>
          </w:p>
        </w:tc>
        <w:tc>
          <w:tcPr>
            <w:tcW w:w="6519" w:type="dxa"/>
            <w:vAlign w:val="center"/>
          </w:tcPr>
          <w:p w14:paraId="2BFC5053">
            <w:pPr>
              <w:snapToGrid w:val="0"/>
              <w:spacing w:line="400" w:lineRule="exact"/>
              <w:ind w:firstLine="420" w:firstLineChars="200"/>
              <w:rPr>
                <w:rFonts w:hint="eastAsia" w:ascii="宋体" w:hAnsi="宋体" w:cs="宋体"/>
                <w:szCs w:val="21"/>
              </w:rPr>
            </w:pPr>
            <w:r>
              <w:rPr>
                <w:rFonts w:hint="eastAsia" w:ascii="宋体" w:hAnsi="宋体" w:cs="宋体"/>
                <w:szCs w:val="21"/>
              </w:rPr>
              <w:t>投标人的书面澄清、说明和补正（但不得改变投标文件的实质性内容）</w:t>
            </w:r>
          </w:p>
        </w:tc>
      </w:tr>
      <w:tr w14:paraId="4989F0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restart"/>
            <w:vAlign w:val="center"/>
          </w:tcPr>
          <w:p w14:paraId="42063425">
            <w:pPr>
              <w:snapToGrid w:val="0"/>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3.2.1</w:t>
            </w:r>
          </w:p>
        </w:tc>
        <w:tc>
          <w:tcPr>
            <w:tcW w:w="1615" w:type="dxa"/>
            <w:vAlign w:val="center"/>
          </w:tcPr>
          <w:p w14:paraId="23BC205E">
            <w:pPr>
              <w:snapToGrid w:val="0"/>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增值税税金的计算方法</w:t>
            </w:r>
          </w:p>
        </w:tc>
        <w:tc>
          <w:tcPr>
            <w:tcW w:w="6519" w:type="dxa"/>
            <w:vAlign w:val="center"/>
          </w:tcPr>
          <w:p w14:paraId="0E95CD05">
            <w:pPr>
              <w:snapToGrid w:val="0"/>
              <w:spacing w:line="400" w:lineRule="exact"/>
              <w:ind w:firstLine="420" w:firstLineChars="200"/>
              <w:rPr>
                <w:rFonts w:hint="eastAsia" w:ascii="宋体" w:hAnsi="宋体" w:cs="宋体"/>
                <w:szCs w:val="21"/>
              </w:rPr>
            </w:pPr>
            <w:r>
              <w:rPr>
                <w:rFonts w:hint="eastAsia" w:ascii="宋体" w:hAnsi="宋体" w:cs="宋体"/>
                <w:szCs w:val="21"/>
              </w:rPr>
              <w:t>□一般计税法</w:t>
            </w:r>
          </w:p>
          <w:p w14:paraId="79B87D9A">
            <w:pPr>
              <w:pStyle w:val="2"/>
              <w:spacing w:after="0" w:line="400" w:lineRule="exact"/>
              <w:ind w:firstLine="420" w:firstLineChars="200"/>
              <w:rPr>
                <w:rFonts w:hint="eastAsia" w:ascii="宋体" w:hAnsi="宋体" w:cs="宋体"/>
                <w:szCs w:val="21"/>
              </w:rPr>
            </w:pPr>
            <w:r>
              <w:rPr>
                <w:rFonts w:hint="eastAsia" w:ascii="宋体" w:hAnsi="宋体" w:cs="宋体"/>
                <w:kern w:val="0"/>
                <w:szCs w:val="21"/>
              </w:rPr>
              <w:t>□简易计税法</w:t>
            </w:r>
          </w:p>
        </w:tc>
      </w:tr>
      <w:tr w14:paraId="5BE023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Merge w:val="continue"/>
            <w:vAlign w:val="center"/>
          </w:tcPr>
          <w:p w14:paraId="6A42AF2A">
            <w:pPr>
              <w:snapToGrid w:val="0"/>
              <w:spacing w:line="400" w:lineRule="exact"/>
              <w:jc w:val="center"/>
              <w:rPr>
                <w:rFonts w:hint="eastAsia" w:ascii="宋体" w:hAnsi="宋体" w:cs="宋体"/>
                <w:snapToGrid w:val="0"/>
                <w:kern w:val="0"/>
                <w:szCs w:val="21"/>
              </w:rPr>
            </w:pPr>
          </w:p>
        </w:tc>
        <w:tc>
          <w:tcPr>
            <w:tcW w:w="1615" w:type="dxa"/>
            <w:vAlign w:val="center"/>
          </w:tcPr>
          <w:p w14:paraId="018F0D34">
            <w:pPr>
              <w:snapToGrid w:val="0"/>
              <w:spacing w:line="400" w:lineRule="exact"/>
              <w:jc w:val="center"/>
              <w:rPr>
                <w:rFonts w:hint="eastAsia" w:ascii="宋体" w:hAnsi="宋体" w:cs="宋体"/>
                <w:szCs w:val="21"/>
              </w:rPr>
            </w:pPr>
            <w:r>
              <w:rPr>
                <w:rFonts w:hint="eastAsia" w:ascii="宋体" w:hAnsi="宋体" w:cs="宋体"/>
                <w:szCs w:val="21"/>
              </w:rPr>
              <w:t>工程量清单的填写方式</w:t>
            </w:r>
          </w:p>
        </w:tc>
        <w:tc>
          <w:tcPr>
            <w:tcW w:w="6519" w:type="dxa"/>
            <w:vAlign w:val="center"/>
          </w:tcPr>
          <w:p w14:paraId="343075F1">
            <w:pPr>
              <w:snapToGrid w:val="0"/>
              <w:spacing w:line="400" w:lineRule="exact"/>
              <w:ind w:firstLine="420" w:firstLineChars="200"/>
              <w:rPr>
                <w:rFonts w:hint="eastAsia" w:ascii="宋体" w:hAnsi="宋体" w:cs="宋体"/>
                <w:szCs w:val="21"/>
              </w:rPr>
            </w:pPr>
            <w:r>
              <w:rPr>
                <w:rFonts w:hint="eastAsia" w:ascii="宋体" w:hAnsi="宋体" w:cs="宋体"/>
                <w:szCs w:val="21"/>
              </w:rPr>
              <w:t>□投标人按照招标人提供的工程量清单电子文件填写工程量清单，下载网站：</w:t>
            </w:r>
            <w:r>
              <w:rPr>
                <w:rFonts w:hint="eastAsia" w:ascii="宋体" w:hAnsi="宋体" w:cs="宋体"/>
                <w:szCs w:val="21"/>
                <w:u w:val="single"/>
              </w:rPr>
              <w:t>重庆市公共资源交易网</w:t>
            </w:r>
            <w:r>
              <w:rPr>
                <w:rFonts w:hint="eastAsia" w:ascii="宋体" w:hAnsi="宋体" w:cs="宋体"/>
                <w:szCs w:val="21"/>
              </w:rPr>
              <w:t>。</w:t>
            </w:r>
          </w:p>
          <w:p w14:paraId="0FA32E10">
            <w:pPr>
              <w:snapToGrid w:val="0"/>
              <w:spacing w:line="400" w:lineRule="exact"/>
              <w:ind w:firstLine="420" w:firstLineChars="200"/>
              <w:rPr>
                <w:rFonts w:hint="eastAsia" w:ascii="宋体" w:hAnsi="宋体" w:cs="宋体"/>
                <w:szCs w:val="21"/>
              </w:rPr>
            </w:pPr>
            <w:r>
              <w:rPr>
                <w:rFonts w:hint="eastAsia" w:ascii="宋体" w:hAnsi="宋体" w:cs="宋体"/>
                <w:szCs w:val="21"/>
              </w:rPr>
              <w:t>□无。</w:t>
            </w:r>
          </w:p>
        </w:tc>
      </w:tr>
      <w:tr w14:paraId="486E6F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3FC0933">
            <w:pPr>
              <w:snapToGrid w:val="0"/>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3.2.3</w:t>
            </w:r>
          </w:p>
        </w:tc>
        <w:tc>
          <w:tcPr>
            <w:tcW w:w="1615" w:type="dxa"/>
            <w:vAlign w:val="center"/>
          </w:tcPr>
          <w:p w14:paraId="58E60DFF">
            <w:pPr>
              <w:widowControl/>
              <w:spacing w:line="400" w:lineRule="exact"/>
              <w:jc w:val="center"/>
              <w:rPr>
                <w:rFonts w:hint="eastAsia" w:ascii="宋体" w:hAnsi="宋体" w:cs="宋体"/>
                <w:szCs w:val="21"/>
              </w:rPr>
            </w:pPr>
            <w:r>
              <w:rPr>
                <w:rFonts w:hint="eastAsia" w:ascii="宋体" w:hAnsi="宋体" w:cs="宋体"/>
                <w:kern w:val="0"/>
                <w:szCs w:val="21"/>
                <w:lang w:bidi="ar"/>
              </w:rPr>
              <w:t>报价方式</w:t>
            </w:r>
          </w:p>
        </w:tc>
        <w:tc>
          <w:tcPr>
            <w:tcW w:w="6519" w:type="dxa"/>
            <w:vAlign w:val="center"/>
          </w:tcPr>
          <w:p w14:paraId="6668AC42">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□单价</w:t>
            </w:r>
          </w:p>
          <w:p w14:paraId="0F7CB634">
            <w:pPr>
              <w:widowControl/>
              <w:spacing w:line="400" w:lineRule="exact"/>
              <w:ind w:firstLine="420" w:firstLineChars="200"/>
              <w:jc w:val="left"/>
              <w:rPr>
                <w:rFonts w:ascii="宋体" w:hAnsi="宋体" w:cs="宋体"/>
                <w:kern w:val="0"/>
                <w:szCs w:val="21"/>
                <w:lang w:bidi="ar"/>
              </w:rPr>
            </w:pPr>
            <w:r>
              <w:rPr>
                <w:rFonts w:hint="eastAsia" w:ascii="宋体" w:hAnsi="宋体" w:cs="宋体"/>
                <w:kern w:val="0"/>
                <w:szCs w:val="21"/>
                <w:lang w:bidi="ar"/>
              </w:rPr>
              <w:t>□总价</w:t>
            </w:r>
          </w:p>
        </w:tc>
      </w:tr>
      <w:tr w14:paraId="686782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654B1DB">
            <w:pPr>
              <w:spacing w:line="400" w:lineRule="exact"/>
              <w:jc w:val="center"/>
              <w:rPr>
                <w:rFonts w:hint="eastAsia" w:ascii="宋体" w:hAnsi="宋体" w:cs="宋体"/>
              </w:rPr>
            </w:pPr>
            <w:r>
              <w:rPr>
                <w:rFonts w:hint="eastAsia" w:ascii="宋体" w:hAnsi="宋体" w:cs="宋体"/>
              </w:rPr>
              <w:t>3.2.5</w:t>
            </w:r>
          </w:p>
        </w:tc>
        <w:tc>
          <w:tcPr>
            <w:tcW w:w="1615" w:type="dxa"/>
            <w:vAlign w:val="center"/>
          </w:tcPr>
          <w:p w14:paraId="5EED419E">
            <w:pPr>
              <w:spacing w:line="400" w:lineRule="exact"/>
              <w:jc w:val="center"/>
              <w:rPr>
                <w:rFonts w:hint="eastAsia" w:ascii="宋体" w:hAnsi="宋体" w:cs="宋体"/>
              </w:rPr>
            </w:pPr>
            <w:r>
              <w:rPr>
                <w:rFonts w:hint="eastAsia" w:ascii="宋体" w:hAnsi="宋体" w:cs="宋体"/>
              </w:rPr>
              <w:t>安全生产费</w:t>
            </w:r>
          </w:p>
        </w:tc>
        <w:tc>
          <w:tcPr>
            <w:tcW w:w="6519" w:type="dxa"/>
            <w:vAlign w:val="top"/>
          </w:tcPr>
          <w:p w14:paraId="0950280A">
            <w:pPr>
              <w:pStyle w:val="49"/>
              <w:spacing w:line="400" w:lineRule="exact"/>
              <w:ind w:left="113" w:right="86" w:firstLine="420" w:firstLineChars="200"/>
              <w:rPr>
                <w:rFonts w:hint="eastAsia" w:ascii="宋体" w:hAnsi="宋体" w:eastAsia="宋体" w:cs="宋体"/>
                <w:kern w:val="2"/>
                <w:sz w:val="21"/>
                <w:szCs w:val="21"/>
                <w:lang w:val="en-US" w:bidi="ar-SA"/>
              </w:rPr>
            </w:pPr>
            <w:r>
              <w:rPr>
                <w:rFonts w:hint="eastAsia" w:ascii="宋体" w:hAnsi="宋体" w:eastAsia="宋体" w:cs="宋体"/>
                <w:bCs/>
                <w:iCs/>
                <w:kern w:val="2"/>
                <w:sz w:val="21"/>
                <w:szCs w:val="21"/>
                <w:u w:val="single"/>
                <w:lang w:val="en-US" w:bidi="ar-SA"/>
              </w:rPr>
              <w:t>安全生产费按《重庆市公路养护工程预算编制办法》（[2018]渝非内字023号）执行；</w:t>
            </w:r>
          </w:p>
        </w:tc>
      </w:tr>
      <w:tr w14:paraId="2AA4F8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612A4CF">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3.2.6</w:t>
            </w:r>
          </w:p>
        </w:tc>
        <w:tc>
          <w:tcPr>
            <w:tcW w:w="1615" w:type="dxa"/>
            <w:vAlign w:val="center"/>
          </w:tcPr>
          <w:p w14:paraId="2FF19599">
            <w:pPr>
              <w:widowControl/>
              <w:spacing w:line="400" w:lineRule="exact"/>
              <w:jc w:val="center"/>
              <w:rPr>
                <w:rFonts w:hint="eastAsia" w:ascii="宋体" w:hAnsi="宋体" w:cs="宋体"/>
                <w:szCs w:val="21"/>
              </w:rPr>
            </w:pPr>
            <w:r>
              <w:rPr>
                <w:rFonts w:hint="eastAsia" w:ascii="宋体" w:hAnsi="宋体" w:cs="宋体"/>
                <w:kern w:val="0"/>
                <w:szCs w:val="21"/>
                <w:lang w:bidi="ar"/>
              </w:rPr>
              <w:t>是否接受调价函</w:t>
            </w:r>
          </w:p>
        </w:tc>
        <w:tc>
          <w:tcPr>
            <w:tcW w:w="6519" w:type="dxa"/>
            <w:vAlign w:val="center"/>
          </w:tcPr>
          <w:p w14:paraId="5FC15E7F">
            <w:pPr>
              <w:widowControl/>
              <w:spacing w:line="400" w:lineRule="exact"/>
              <w:ind w:firstLine="420" w:firstLineChars="200"/>
              <w:jc w:val="left"/>
              <w:rPr>
                <w:rFonts w:hint="eastAsia" w:ascii="宋体" w:hAnsi="宋体" w:cs="宋体"/>
                <w:kern w:val="0"/>
                <w:szCs w:val="21"/>
                <w:lang w:bidi="ar"/>
              </w:rPr>
            </w:pPr>
            <w:r>
              <w:rPr>
                <w:rFonts w:hint="eastAsia" w:ascii="宋体" w:hAnsi="宋体" w:cs="宋体"/>
                <w:kern w:val="0"/>
                <w:szCs w:val="21"/>
                <w:lang w:bidi="ar"/>
              </w:rPr>
              <w:t>否</w:t>
            </w:r>
          </w:p>
        </w:tc>
      </w:tr>
      <w:tr w14:paraId="38470E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0D902AA">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3.2.8</w:t>
            </w:r>
          </w:p>
        </w:tc>
        <w:tc>
          <w:tcPr>
            <w:tcW w:w="1615" w:type="dxa"/>
            <w:vAlign w:val="center"/>
          </w:tcPr>
          <w:p w14:paraId="0B4BE8D8">
            <w:pPr>
              <w:widowControl/>
              <w:spacing w:line="400" w:lineRule="exact"/>
              <w:jc w:val="center"/>
              <w:rPr>
                <w:rFonts w:hint="eastAsia" w:ascii="宋体" w:hAnsi="宋体" w:cs="宋体"/>
                <w:b/>
                <w:kern w:val="0"/>
                <w:szCs w:val="21"/>
              </w:rPr>
            </w:pPr>
            <w:r>
              <w:rPr>
                <w:rFonts w:hint="eastAsia" w:ascii="宋体" w:hAnsi="宋体" w:cs="宋体"/>
                <w:kern w:val="0"/>
                <w:szCs w:val="21"/>
                <w:lang w:bidi="ar"/>
              </w:rPr>
              <w:t>最高投标限价</w:t>
            </w:r>
          </w:p>
        </w:tc>
        <w:tc>
          <w:tcPr>
            <w:tcW w:w="6519" w:type="dxa"/>
            <w:vAlign w:val="center"/>
          </w:tcPr>
          <w:p w14:paraId="6CC81284">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□无</w:t>
            </w:r>
          </w:p>
          <w:p w14:paraId="1B8A96AD">
            <w:pPr>
              <w:widowControl/>
              <w:spacing w:line="400" w:lineRule="exact"/>
              <w:ind w:firstLine="420" w:firstLineChars="200"/>
              <w:jc w:val="left"/>
              <w:rPr>
                <w:rFonts w:hint="eastAsia" w:ascii="宋体" w:hAnsi="宋体" w:cs="宋体"/>
                <w:kern w:val="0"/>
                <w:szCs w:val="21"/>
                <w:lang w:bidi="ar"/>
              </w:rPr>
            </w:pPr>
            <w:r>
              <w:rPr>
                <w:rFonts w:hint="eastAsia" w:ascii="宋体" w:hAnsi="宋体" w:cs="宋体"/>
                <w:kern w:val="0"/>
                <w:szCs w:val="21"/>
                <w:lang w:bidi="ar"/>
              </w:rPr>
              <w:t>□有，最高投标限价：</w:t>
            </w:r>
            <w:r>
              <w:rPr>
                <w:rFonts w:hint="eastAsia" w:ascii="宋体" w:hAnsi="宋体" w:cs="宋体"/>
                <w:kern w:val="0"/>
                <w:szCs w:val="21"/>
                <w:u w:val="single"/>
                <w:lang w:bidi="ar"/>
              </w:rPr>
              <w:t xml:space="preserve">    </w:t>
            </w:r>
          </w:p>
          <w:p w14:paraId="2E77B233">
            <w:pPr>
              <w:widowControl/>
              <w:spacing w:line="400" w:lineRule="exact"/>
              <w:ind w:firstLine="420" w:firstLineChars="200"/>
              <w:jc w:val="left"/>
              <w:rPr>
                <w:rFonts w:hint="eastAsia" w:ascii="宋体" w:hAnsi="宋体" w:cs="宋体"/>
                <w:kern w:val="0"/>
                <w:szCs w:val="21"/>
                <w:u w:val="single"/>
                <w:lang w:bidi="ar"/>
              </w:rPr>
            </w:pPr>
            <w:r>
              <w:rPr>
                <w:rFonts w:hint="eastAsia" w:ascii="宋体" w:hAnsi="宋体" w:cs="宋体"/>
                <w:kern w:val="0"/>
                <w:szCs w:val="21"/>
                <w:lang w:bidi="ar"/>
              </w:rPr>
              <w:t>□其他要求：</w:t>
            </w:r>
            <w:r>
              <w:rPr>
                <w:rFonts w:hint="eastAsia" w:ascii="宋体" w:hAnsi="宋体" w:cs="宋体"/>
                <w:kern w:val="0"/>
                <w:szCs w:val="21"/>
                <w:u w:val="single"/>
                <w:lang w:bidi="ar"/>
              </w:rPr>
              <w:t xml:space="preserve">    </w:t>
            </w:r>
          </w:p>
        </w:tc>
      </w:tr>
      <w:tr w14:paraId="485A8E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2135B0">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3.2.9</w:t>
            </w:r>
          </w:p>
        </w:tc>
        <w:tc>
          <w:tcPr>
            <w:tcW w:w="1615" w:type="dxa"/>
            <w:vAlign w:val="center"/>
          </w:tcPr>
          <w:p w14:paraId="6E8F5F53">
            <w:pPr>
              <w:widowControl/>
              <w:spacing w:line="400" w:lineRule="exact"/>
              <w:jc w:val="center"/>
              <w:rPr>
                <w:rFonts w:hint="eastAsia" w:ascii="宋体" w:hAnsi="宋体" w:cs="宋体"/>
                <w:b/>
                <w:kern w:val="0"/>
                <w:szCs w:val="21"/>
              </w:rPr>
            </w:pPr>
            <w:r>
              <w:rPr>
                <w:rFonts w:hint="eastAsia" w:ascii="宋体" w:hAnsi="宋体" w:cs="宋体"/>
                <w:kern w:val="0"/>
                <w:szCs w:val="21"/>
                <w:lang w:bidi="ar"/>
              </w:rPr>
              <w:t>投标报价的其他要求</w:t>
            </w:r>
          </w:p>
        </w:tc>
        <w:tc>
          <w:tcPr>
            <w:tcW w:w="6519" w:type="dxa"/>
            <w:vAlign w:val="center"/>
          </w:tcPr>
          <w:p w14:paraId="0CA191CB">
            <w:pPr>
              <w:widowControl/>
              <w:spacing w:line="400" w:lineRule="exact"/>
              <w:ind w:firstLine="420" w:firstLineChars="200"/>
              <w:jc w:val="left"/>
              <w:rPr>
                <w:rFonts w:hint="eastAsia"/>
              </w:rPr>
            </w:pPr>
            <w:r>
              <w:rPr>
                <w:rFonts w:hint="eastAsia"/>
              </w:rPr>
              <w:t>□无</w:t>
            </w:r>
          </w:p>
          <w:p w14:paraId="42B359C5">
            <w:pPr>
              <w:pStyle w:val="2"/>
              <w:spacing w:after="0" w:line="400" w:lineRule="exact"/>
              <w:ind w:firstLine="420" w:firstLineChars="200"/>
              <w:rPr>
                <w:rFonts w:hint="eastAsia"/>
              </w:rPr>
            </w:pPr>
            <w:r>
              <w:rPr>
                <w:rFonts w:hint="eastAsia"/>
              </w:rPr>
              <w:t>□有，具体要求为：</w:t>
            </w:r>
          </w:p>
          <w:p w14:paraId="120B0F4F">
            <w:pPr>
              <w:pStyle w:val="2"/>
              <w:spacing w:after="0" w:line="400" w:lineRule="exact"/>
              <w:ind w:firstLine="420" w:firstLineChars="200"/>
              <w:rPr>
                <w:rFonts w:hint="eastAsia"/>
              </w:rPr>
            </w:pPr>
            <w:r>
              <w:rPr>
                <w:rFonts w:hint="eastAsia" w:ascii="宋体" w:hAnsi="宋体" w:cs="宋体"/>
                <w:szCs w:val="21"/>
              </w:rPr>
              <w:t>1. 投标人应按《公路工程建设项目概算预算编制办法》（JTG 3830—2018）、《公路工程预算定额》（JTG/T 3832-2018）、《公路工程机械台班费用定额》（JTG/T 3833-2018）、《重庆市交通委员会关于发布&lt;重庆市公路养护工程预算编制办法&gt;及&lt;重庆市公路养护工程预算定额&gt;的通知》（渝交管养〔2018〕101号文）、</w:t>
            </w:r>
            <w:r>
              <w:rPr>
                <w:rFonts w:hint="eastAsia" w:ascii="宋体" w:hAnsi="宋体" w:cs="宋体"/>
                <w:color w:val="000000"/>
                <w:szCs w:val="21"/>
              </w:rPr>
              <w:t>《</w:t>
            </w:r>
            <w:r>
              <w:rPr>
                <w:rFonts w:hint="eastAsia" w:ascii="宋体" w:hAnsi="宋体" w:cs="Helvetica"/>
                <w:color w:val="000000"/>
                <w:lang w:bidi="ar"/>
              </w:rPr>
              <w:t>交通运输部办公厅关于</w:t>
            </w:r>
            <w:r>
              <w:rPr>
                <w:rFonts w:hint="eastAsia" w:ascii="宋体" w:hAnsi="宋体" w:cs="宋体"/>
                <w:color w:val="000000"/>
                <w:szCs w:val="21"/>
              </w:rPr>
              <w:t>&lt;</w:t>
            </w:r>
            <w:r>
              <w:rPr>
                <w:rFonts w:hint="eastAsia" w:ascii="宋体" w:hAnsi="宋体" w:cs="Helvetica"/>
                <w:color w:val="000000"/>
                <w:lang w:bidi="ar"/>
              </w:rPr>
              <w:t>公路工程营业税改征增值税计价依据调整方案</w:t>
            </w:r>
            <w:r>
              <w:rPr>
                <w:rFonts w:hint="eastAsia" w:ascii="宋体" w:hAnsi="宋体" w:cs="宋体"/>
                <w:color w:val="000000"/>
                <w:szCs w:val="21"/>
              </w:rPr>
              <w:t>&gt;</w:t>
            </w:r>
            <w:r>
              <w:rPr>
                <w:rFonts w:hint="eastAsia" w:ascii="宋体" w:hAnsi="宋体" w:cs="Helvetica"/>
                <w:color w:val="000000"/>
                <w:lang w:bidi="ar"/>
              </w:rPr>
              <w:t>的通知</w:t>
            </w:r>
            <w:r>
              <w:rPr>
                <w:rFonts w:hint="eastAsia" w:ascii="宋体" w:hAnsi="宋体" w:cs="宋体"/>
                <w:color w:val="000000"/>
                <w:szCs w:val="21"/>
              </w:rPr>
              <w:t>》（</w:t>
            </w:r>
            <w:r>
              <w:rPr>
                <w:rFonts w:hint="eastAsia" w:ascii="宋体" w:hAnsi="宋体" w:cs="Helvetica"/>
                <w:color w:val="000000"/>
                <w:lang w:bidi="ar"/>
              </w:rPr>
              <w:t>交办公路[2016]66号</w:t>
            </w:r>
            <w:r>
              <w:rPr>
                <w:rFonts w:hint="eastAsia" w:ascii="宋体" w:hAnsi="宋体" w:cs="宋体"/>
                <w:color w:val="000000"/>
                <w:szCs w:val="21"/>
              </w:rPr>
              <w:t>）、</w:t>
            </w:r>
            <w:r>
              <w:rPr>
                <w:rFonts w:hint="eastAsia"/>
                <w:color w:val="000000"/>
              </w:rPr>
              <w:t>《</w:t>
            </w:r>
            <w:r>
              <w:rPr>
                <w:rFonts w:hint="eastAsia" w:ascii="宋体" w:hAnsi="宋体" w:cs="Helvetica"/>
                <w:color w:val="000000"/>
                <w:lang w:bidi="ar"/>
              </w:rPr>
              <w:t>重庆市交通局关于发布重庆市公路工程补充性造价依据（2019-1）</w:t>
            </w:r>
            <w:r>
              <w:rPr>
                <w:rFonts w:hint="eastAsia" w:ascii="宋体" w:hAnsi="宋体" w:cs="Helvetica"/>
                <w:color w:val="323232"/>
                <w:lang w:bidi="ar"/>
              </w:rPr>
              <w:t>的通知</w:t>
            </w:r>
            <w:r>
              <w:rPr>
                <w:rFonts w:hint="eastAsia"/>
              </w:rPr>
              <w:t>》（渝交路〔2019〕29号）</w:t>
            </w:r>
            <w:r>
              <w:rPr>
                <w:rFonts w:hint="eastAsia" w:ascii="宋体" w:hAnsi="宋体" w:cs="宋体"/>
                <w:szCs w:val="21"/>
              </w:rPr>
              <w:t>和第五章“工程量清单”的要求填写相应清单表格。投标人的投标报价应是本章投标人须知前附表1.3.1项中所述的本工程合同段招标范围内的全部工程的投标报价。</w:t>
            </w:r>
          </w:p>
          <w:p w14:paraId="7B5898DE">
            <w:pPr>
              <w:pStyle w:val="2"/>
              <w:spacing w:after="0" w:line="400" w:lineRule="exact"/>
              <w:ind w:firstLine="420" w:firstLineChars="200"/>
              <w:rPr>
                <w:rFonts w:hint="eastAsia"/>
              </w:rPr>
            </w:pPr>
            <w:r>
              <w:rPr>
                <w:rFonts w:hint="eastAsia"/>
              </w:rPr>
              <w:t>2. 招标人将公布投标总报价最高限价及各清单子目单价最高限价。投标人投标报价中的各清单子目单价不应高于各清单子目单价最高限价。招标人在合同签订前将对中标人“已标价工程量清单”进行复核，若出现差错则按以下原则进行处理（或结算）：</w:t>
            </w:r>
          </w:p>
          <w:p w14:paraId="2F4AC67A">
            <w:pPr>
              <w:pStyle w:val="2"/>
              <w:spacing w:after="0" w:line="400" w:lineRule="exact"/>
              <w:ind w:firstLine="420" w:firstLineChars="200"/>
              <w:rPr>
                <w:rFonts w:hint="eastAsia"/>
              </w:rPr>
            </w:pPr>
            <w:r>
              <w:rPr>
                <w:rFonts w:hint="eastAsia"/>
              </w:rPr>
              <w:t>（1）投标报价汇总计算结果与投标函总报价不一致时，按就低不就高原则进行修正，即：汇总计算结果高于投标函总报价则以投标函总报价为准，按汇总计算结果与投标函总报价相比的降低幅度同比例修正分项报价和各清单子目单价； 汇总计算结果低于投标函总报价则以投标报价汇总计算结果为准进行签约或结算；</w:t>
            </w:r>
          </w:p>
          <w:p w14:paraId="7363F72C">
            <w:pPr>
              <w:pStyle w:val="2"/>
              <w:spacing w:after="0" w:line="400" w:lineRule="exact"/>
              <w:ind w:firstLine="420" w:firstLineChars="200"/>
              <w:rPr>
                <w:rFonts w:hint="eastAsia"/>
              </w:rPr>
            </w:pPr>
            <w:r>
              <w:rPr>
                <w:rFonts w:hint="eastAsia"/>
              </w:rPr>
              <w:t>（2）依据单价和数量计算结果与其合价不符的，按不利于投标人原则（就低不就高）对其单价和合价进行修正。若招标人提供的工程量清单为固化清单，则按照固化清单设定的公式自动计算合价。</w:t>
            </w:r>
          </w:p>
          <w:p w14:paraId="02AEC337">
            <w:pPr>
              <w:pStyle w:val="2"/>
              <w:spacing w:after="0" w:line="400" w:lineRule="exact"/>
              <w:ind w:firstLine="420" w:firstLineChars="200"/>
              <w:rPr>
                <w:rFonts w:hint="eastAsia"/>
              </w:rPr>
            </w:pPr>
            <w:r>
              <w:rPr>
                <w:rFonts w:hint="eastAsia"/>
              </w:rPr>
              <w:t>（3）单价报价超过工程量清单单价最高限价的，以工程量清单单价最高限价为基础，按照中标总报价与总价最高限价的下浮比例进行同比例下调修正其单价和合价。</w:t>
            </w:r>
          </w:p>
          <w:p w14:paraId="7BC964ED">
            <w:pPr>
              <w:pStyle w:val="2"/>
              <w:spacing w:after="0" w:line="400" w:lineRule="exact"/>
              <w:ind w:firstLine="420" w:firstLineChars="200"/>
              <w:rPr>
                <w:rFonts w:hint="eastAsia"/>
              </w:rPr>
            </w:pPr>
            <w:r>
              <w:rPr>
                <w:rFonts w:hint="eastAsia"/>
              </w:rPr>
              <w:t>（4）工程量清单漏项的，按该项单价为0进行修正（即视为该项工作内容的报价已包括在其他项目报价内），超出招标人提供的工程量清单范围的清单项目报价不予认可，按该清单项目报价为0对其单价和合价进行修正。</w:t>
            </w:r>
          </w:p>
          <w:p w14:paraId="1ADA2B97">
            <w:pPr>
              <w:pStyle w:val="2"/>
              <w:spacing w:after="0" w:line="400" w:lineRule="exact"/>
              <w:ind w:firstLine="420" w:firstLineChars="200"/>
              <w:rPr>
                <w:rFonts w:hint="eastAsia"/>
              </w:rPr>
            </w:pPr>
            <w:r>
              <w:rPr>
                <w:rFonts w:hint="eastAsia"/>
                <w:szCs w:val="21"/>
              </w:rPr>
              <w:t>3</w:t>
            </w:r>
            <w:r>
              <w:rPr>
                <w:rFonts w:hint="eastAsia"/>
              </w:rPr>
              <w:t>. 投标人须在投标文件资格审查部分提供承诺（格式详见第九章投标文件格式），并包括以下内容：</w:t>
            </w:r>
          </w:p>
          <w:p w14:paraId="7F8D88D8">
            <w:pPr>
              <w:pStyle w:val="2"/>
              <w:spacing w:after="0" w:line="400" w:lineRule="exact"/>
              <w:ind w:firstLine="420" w:firstLineChars="200"/>
              <w:rPr>
                <w:rFonts w:hint="eastAsia"/>
              </w:rPr>
            </w:pPr>
            <w:r>
              <w:rPr>
                <w:rFonts w:hint="eastAsia"/>
              </w:rPr>
              <w:t>（1）按照第五章“工程量清单”、第八章“工程量清单计量规则”的规定进行报价。</w:t>
            </w:r>
          </w:p>
          <w:p w14:paraId="72308C05">
            <w:pPr>
              <w:pStyle w:val="2"/>
              <w:spacing w:after="0" w:line="400" w:lineRule="exact"/>
              <w:ind w:firstLine="420" w:firstLineChars="200"/>
              <w:rPr>
                <w:rFonts w:hint="eastAsia"/>
              </w:rPr>
            </w:pPr>
            <w:r>
              <w:rPr>
                <w:rFonts w:hint="eastAsia"/>
              </w:rPr>
              <w:t>（2）招标文件中规定工程量清单不允许修改的内容不得修改。</w:t>
            </w:r>
          </w:p>
          <w:p w14:paraId="638082C7">
            <w:pPr>
              <w:pStyle w:val="2"/>
              <w:spacing w:after="0" w:line="400" w:lineRule="exact"/>
              <w:ind w:firstLine="420" w:firstLineChars="200"/>
              <w:rPr>
                <w:rFonts w:hint="eastAsia"/>
              </w:rPr>
            </w:pPr>
            <w:r>
              <w:rPr>
                <w:rFonts w:hint="eastAsia"/>
              </w:rPr>
              <w:t>（3）投标总报价不高于招标人公布的投标总报价最高限价。</w:t>
            </w:r>
          </w:p>
          <w:p w14:paraId="260C2BF9">
            <w:pPr>
              <w:pStyle w:val="2"/>
              <w:spacing w:after="0" w:line="400" w:lineRule="exact"/>
              <w:ind w:firstLine="420" w:firstLineChars="200"/>
              <w:rPr>
                <w:rFonts w:hint="eastAsia"/>
              </w:rPr>
            </w:pPr>
            <w:r>
              <w:rPr>
                <w:rFonts w:hint="eastAsia"/>
              </w:rPr>
              <w:t>（4）各清单子目单价不高于招标人公布的各清单子目单价最高限价的。</w:t>
            </w:r>
          </w:p>
          <w:p w14:paraId="5E140D6E">
            <w:pPr>
              <w:pStyle w:val="2"/>
              <w:spacing w:after="0" w:line="400" w:lineRule="exact"/>
              <w:ind w:firstLine="420" w:firstLineChars="200"/>
              <w:rPr>
                <w:rFonts w:hint="eastAsia"/>
              </w:rPr>
            </w:pPr>
            <w:r>
              <w:rPr>
                <w:rFonts w:hint="eastAsia"/>
              </w:rPr>
              <w:t>（5）若出现差错，按招标文件第二章投标人须知前附表第3.2.9项规定的原则进行处理（或结算）。</w:t>
            </w:r>
          </w:p>
          <w:p w14:paraId="00AE4EF4">
            <w:pPr>
              <w:pStyle w:val="2"/>
              <w:spacing w:after="0" w:line="400" w:lineRule="exact"/>
              <w:ind w:firstLine="420" w:firstLineChars="200"/>
              <w:rPr>
                <w:rFonts w:hint="eastAsia"/>
              </w:rPr>
            </w:pPr>
            <w:r>
              <w:rPr>
                <w:rFonts w:hint="eastAsia"/>
              </w:rPr>
              <w:t>投标人未按上述要求提供承诺函的，由评标委员会作否决投标处理。</w:t>
            </w:r>
          </w:p>
          <w:p w14:paraId="62979324">
            <w:pPr>
              <w:pStyle w:val="2"/>
              <w:spacing w:line="400" w:lineRule="exact"/>
              <w:ind w:firstLine="420" w:firstLineChars="200"/>
              <w:rPr>
                <w:rFonts w:hint="eastAsia"/>
              </w:rPr>
            </w:pPr>
            <w:r>
              <w:rPr>
                <w:rFonts w:hint="eastAsia" w:ascii="宋体" w:hAnsi="宋体" w:cs="宋体"/>
                <w:i/>
                <w:szCs w:val="21"/>
              </w:rPr>
              <w:t>[提示：招标人在编制招标文件时，可根据实际情况在本附表3.2.9项中予以增加或修改相关内容，但增加或修改的内容不得违背法律、法规及规范性文件的规定。]</w:t>
            </w:r>
          </w:p>
        </w:tc>
      </w:tr>
      <w:tr w14:paraId="57B2EF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B46C2E5">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3.3.1</w:t>
            </w:r>
          </w:p>
        </w:tc>
        <w:tc>
          <w:tcPr>
            <w:tcW w:w="1615" w:type="dxa"/>
            <w:vAlign w:val="center"/>
          </w:tcPr>
          <w:p w14:paraId="24298774">
            <w:pPr>
              <w:snapToGrid w:val="0"/>
              <w:spacing w:line="400" w:lineRule="exact"/>
              <w:jc w:val="center"/>
              <w:rPr>
                <w:rFonts w:hint="eastAsia" w:ascii="宋体" w:hAnsi="宋体" w:cs="宋体"/>
                <w:kern w:val="0"/>
                <w:szCs w:val="21"/>
              </w:rPr>
            </w:pPr>
            <w:r>
              <w:rPr>
                <w:rFonts w:hint="eastAsia" w:ascii="宋体" w:hAnsi="宋体" w:cs="宋体"/>
                <w:kern w:val="0"/>
                <w:szCs w:val="21"/>
              </w:rPr>
              <w:t>投标有效期</w:t>
            </w:r>
          </w:p>
        </w:tc>
        <w:tc>
          <w:tcPr>
            <w:tcW w:w="6519" w:type="dxa"/>
            <w:vAlign w:val="center"/>
          </w:tcPr>
          <w:p w14:paraId="208C46B8">
            <w:pPr>
              <w:snapToGrid w:val="0"/>
              <w:spacing w:line="400" w:lineRule="exact"/>
              <w:ind w:firstLine="420" w:firstLineChars="20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日历天（从提交投标文件截止日起计算）</w:t>
            </w:r>
          </w:p>
        </w:tc>
      </w:tr>
      <w:tr w14:paraId="00ADF3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93F64A5">
            <w:pPr>
              <w:spacing w:line="400" w:lineRule="exact"/>
              <w:jc w:val="center"/>
              <w:rPr>
                <w:rFonts w:hint="eastAsia" w:ascii="宋体" w:hAnsi="宋体" w:cs="宋体"/>
                <w:snapToGrid w:val="0"/>
                <w:kern w:val="0"/>
                <w:szCs w:val="21"/>
              </w:rPr>
            </w:pPr>
            <w:r>
              <w:rPr>
                <w:rFonts w:hint="eastAsia" w:ascii="宋体" w:hAnsi="宋体" w:cs="宋体"/>
                <w:snapToGrid w:val="0"/>
                <w:kern w:val="0"/>
                <w:szCs w:val="21"/>
              </w:rPr>
              <w:t>3.4.1</w:t>
            </w:r>
          </w:p>
        </w:tc>
        <w:tc>
          <w:tcPr>
            <w:tcW w:w="1615" w:type="dxa"/>
            <w:vAlign w:val="center"/>
          </w:tcPr>
          <w:p w14:paraId="07EF2F20">
            <w:pPr>
              <w:widowControl/>
              <w:spacing w:line="400" w:lineRule="exact"/>
              <w:jc w:val="center"/>
              <w:rPr>
                <w:rFonts w:hint="eastAsia" w:ascii="宋体" w:hAnsi="宋体" w:cs="宋体"/>
                <w:kern w:val="0"/>
                <w:szCs w:val="21"/>
              </w:rPr>
            </w:pPr>
            <w:r>
              <w:rPr>
                <w:rFonts w:hint="eastAsia" w:ascii="宋体" w:hAnsi="宋体" w:cs="宋体"/>
                <w:kern w:val="0"/>
                <w:szCs w:val="21"/>
              </w:rPr>
              <w:t>投标保证金</w:t>
            </w:r>
          </w:p>
        </w:tc>
        <w:tc>
          <w:tcPr>
            <w:tcW w:w="6519" w:type="dxa"/>
            <w:vAlign w:val="center"/>
          </w:tcPr>
          <w:p w14:paraId="3D2075C1">
            <w:pPr>
              <w:snapToGrid w:val="0"/>
              <w:spacing w:line="400" w:lineRule="exact"/>
              <w:ind w:firstLine="420" w:firstLineChars="200"/>
            </w:pPr>
            <w:r>
              <w:rPr>
                <w:rFonts w:hint="eastAsia"/>
              </w:rPr>
              <w:t>投标保证金的交纳方式：投标人可选择以下三种方式之一。</w:t>
            </w:r>
          </w:p>
          <w:p w14:paraId="6FB8102F">
            <w:pPr>
              <w:snapToGrid w:val="0"/>
              <w:spacing w:line="400" w:lineRule="exact"/>
              <w:ind w:firstLine="420" w:firstLineChars="200"/>
            </w:pPr>
            <w:r>
              <w:rPr>
                <w:rFonts w:hint="eastAsia"/>
              </w:rPr>
              <w:t>方式一</w:t>
            </w:r>
          </w:p>
          <w:p w14:paraId="09D93D32">
            <w:pPr>
              <w:snapToGrid w:val="0"/>
              <w:spacing w:line="400" w:lineRule="exact"/>
              <w:ind w:firstLine="420" w:firstLineChars="200"/>
            </w:pPr>
            <w:r>
              <w:t>一、</w:t>
            </w:r>
            <w:r>
              <w:rPr>
                <w:rFonts w:hint="eastAsia"/>
              </w:rPr>
              <w:t>以电子投标保函形式交纳投标保证金</w:t>
            </w:r>
          </w:p>
          <w:p w14:paraId="1AF91160">
            <w:pPr>
              <w:snapToGrid w:val="0"/>
              <w:spacing w:line="400" w:lineRule="exact"/>
              <w:ind w:firstLine="420" w:firstLineChars="200"/>
              <w:rPr>
                <w:rFonts w:hint="eastAsia"/>
              </w:rPr>
            </w:pPr>
            <w:r>
              <w:rPr>
                <w:rFonts w:hint="eastAsia"/>
              </w:rPr>
              <w:t>1. 电子投标保函交纳形式及要求：投标人在投标截止时间前通过重庆市公共资源交易金融服务平台电子投标保函系统（</w:t>
            </w:r>
            <w:r>
              <w:rPr>
                <w:rFonts w:hint="eastAsia" w:ascii="宋体" w:hAnsi="宋体" w:cs="宋体"/>
              </w:rPr>
              <w:t>https://jrfw.cqggzy.com/</w:t>
            </w:r>
            <w:r>
              <w:rPr>
                <w:rFonts w:hint="eastAsia"/>
              </w:rPr>
              <w:t>，下同）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749CD11A">
            <w:pPr>
              <w:snapToGrid w:val="0"/>
              <w:spacing w:line="400" w:lineRule="exact"/>
              <w:ind w:firstLine="420" w:firstLineChars="200"/>
              <w:rPr>
                <w:rFonts w:hint="eastAsia"/>
              </w:rPr>
            </w:pPr>
            <w:r>
              <w:rPr>
                <w:rFonts w:hint="eastAsia"/>
              </w:rPr>
              <w:t>若投标截止时间延期，则电子投标保函提交的截止时间和投标截止时间应当保持一致。</w:t>
            </w:r>
          </w:p>
          <w:p w14:paraId="1E05D56C">
            <w:pPr>
              <w:snapToGrid w:val="0"/>
              <w:spacing w:line="400" w:lineRule="exact"/>
              <w:ind w:firstLine="420" w:firstLineChars="200"/>
            </w:pPr>
            <w:r>
              <w:rPr>
                <w:rFonts w:hint="eastAsia"/>
              </w:rPr>
              <w:t>不满足上述要求的电子</w:t>
            </w:r>
            <w:r>
              <w:t>投标保函无效。</w:t>
            </w:r>
          </w:p>
          <w:p w14:paraId="4B2C4999">
            <w:pPr>
              <w:snapToGrid w:val="0"/>
              <w:spacing w:line="400" w:lineRule="exact"/>
              <w:ind w:firstLine="420" w:firstLineChars="200"/>
              <w:rPr>
                <w:rFonts w:hint="eastAsia"/>
              </w:rPr>
            </w:pPr>
            <w:r>
              <w:t>2</w:t>
            </w:r>
            <w:r>
              <w:rPr>
                <w:rFonts w:hint="eastAsia"/>
              </w:rPr>
              <w:t>. 以电子投标保函形式担保的</w:t>
            </w:r>
            <w:r>
              <w:t>投标保证金的金额：</w:t>
            </w:r>
            <w:r>
              <w:rPr>
                <w:u w:val="single"/>
              </w:rPr>
              <w:t xml:space="preserve">    </w:t>
            </w:r>
            <w:r>
              <w:rPr>
                <w:rFonts w:hint="eastAsia"/>
                <w:u w:val="single"/>
              </w:rPr>
              <w:t xml:space="preserve">  </w:t>
            </w:r>
            <w:r>
              <w:t>万元整（人民币）</w:t>
            </w:r>
            <w:r>
              <w:rPr>
                <w:rFonts w:hint="eastAsia"/>
              </w:rPr>
              <w:t>，重庆市工程建设领域招标投标守信激励对象名单（</w:t>
            </w:r>
            <w:r>
              <w:rPr>
                <w:rFonts w:hint="eastAsia" w:ascii="宋体" w:hAnsi="宋体" w:cs="宋体"/>
              </w:rPr>
              <w:t>http://ggzyjyjgj.cq.gov.cn/xyxx/moreinfo_blackList.html，</w:t>
            </w:r>
            <w:r>
              <w:rPr>
                <w:rFonts w:hint="eastAsia"/>
              </w:rPr>
              <w:t>以下简称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0D7385B3">
            <w:pPr>
              <w:snapToGrid w:val="0"/>
              <w:spacing w:line="400" w:lineRule="exact"/>
              <w:ind w:firstLine="420" w:firstLineChars="200"/>
              <w:rPr>
                <w:i/>
                <w:iCs/>
              </w:rPr>
            </w:pPr>
            <w:r>
              <w:rPr>
                <w:rFonts w:hint="eastAsia"/>
                <w:i/>
                <w:iCs/>
              </w:rPr>
              <w:t>[提示：投标保证金金额不超过该招标项目估算价或经批准的概算金额或最高限价的2%。]</w:t>
            </w:r>
          </w:p>
          <w:p w14:paraId="38C46219">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14:paraId="06479BEA">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14:paraId="34DA8F70">
            <w:pPr>
              <w:snapToGrid w:val="0"/>
              <w:spacing w:line="400" w:lineRule="exact"/>
              <w:ind w:firstLine="420" w:firstLineChars="200"/>
              <w:rPr>
                <w:rFonts w:hint="eastAsia"/>
                <w:i/>
                <w:iCs/>
              </w:rPr>
            </w:pPr>
            <w:r>
              <w:rPr>
                <w:rFonts w:hint="eastAsia"/>
                <w:i/>
                <w:iCs/>
              </w:rPr>
              <w:t>[提示： 招标人可自行决定是否设置上述条款，若需要设置，则在上述选项中只可选择其中一项进行设置]</w:t>
            </w:r>
          </w:p>
          <w:p w14:paraId="291BB4AD">
            <w:pPr>
              <w:snapToGrid w:val="0"/>
              <w:spacing w:line="400" w:lineRule="exact"/>
              <w:ind w:firstLine="420" w:firstLineChars="200"/>
            </w:pPr>
            <w:r>
              <w:rPr>
                <w:rFonts w:hint="eastAsia"/>
              </w:rPr>
              <w:t>3. 电子投标保函</w:t>
            </w:r>
          </w:p>
          <w:p w14:paraId="69025AEE">
            <w:pPr>
              <w:snapToGrid w:val="0"/>
              <w:spacing w:line="400" w:lineRule="exact"/>
              <w:ind w:firstLine="420" w:firstLineChars="200"/>
            </w:pPr>
            <w:r>
              <w:rPr>
                <w:rFonts w:hint="eastAsia"/>
              </w:rPr>
              <w:t>以</w:t>
            </w:r>
            <w:r>
              <w:rPr>
                <w:rFonts w:hint="eastAsia"/>
                <w:u w:val="single"/>
              </w:rPr>
              <w:t>重庆市公共资源交易中心</w:t>
            </w:r>
            <w:r>
              <w:rPr>
                <w:rFonts w:hint="eastAsia"/>
              </w:rPr>
              <w:t>开标现场展示的电子投标保函交纳情况为准，投标人在投标时无须再提供电子投标保函的相关资料。</w:t>
            </w:r>
          </w:p>
          <w:p w14:paraId="3BE61B68">
            <w:pPr>
              <w:snapToGrid w:val="0"/>
              <w:spacing w:line="400" w:lineRule="exact"/>
              <w:ind w:firstLine="420" w:firstLineChars="200"/>
            </w:pPr>
            <w:r>
              <w:rPr>
                <w:rFonts w:hint="eastAsia"/>
              </w:rPr>
              <w:t>4.</w:t>
            </w:r>
            <w:r>
              <w:t xml:space="preserve"> </w:t>
            </w:r>
            <w:r>
              <w:rPr>
                <w:rFonts w:hint="eastAsia"/>
              </w:rPr>
              <w:t>若投标人为联合体，则由联合体牵头人提供电子投标保函。</w:t>
            </w:r>
          </w:p>
          <w:p w14:paraId="4E7E313D">
            <w:pPr>
              <w:snapToGrid w:val="0"/>
              <w:spacing w:line="400" w:lineRule="exact"/>
              <w:ind w:firstLine="420" w:firstLineChars="200"/>
            </w:pPr>
            <w:r>
              <w:t>二、</w:t>
            </w:r>
            <w:r>
              <w:rPr>
                <w:rFonts w:hint="eastAsia"/>
              </w:rPr>
              <w:t>电子</w:t>
            </w:r>
            <w:r>
              <w:t>投标保函的</w:t>
            </w:r>
            <w:r>
              <w:rPr>
                <w:rFonts w:hint="eastAsia"/>
              </w:rPr>
              <w:t>注销</w:t>
            </w:r>
          </w:p>
          <w:p w14:paraId="77040480">
            <w:pPr>
              <w:snapToGrid w:val="0"/>
              <w:spacing w:line="400" w:lineRule="exact"/>
              <w:ind w:firstLine="420" w:firstLineChars="200"/>
            </w:pPr>
            <w:r>
              <w:rPr>
                <w:rFonts w:hint="eastAsia"/>
              </w:rPr>
              <w:t>招标人应当在法定时间内确定中标人。招标人应当在中标通知书发出后2个工作日内将中标通知书和电子投标保函退还通知抄告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在收到电子投标保函退还通知后2个工作日内，将保函注销信息推送给重庆市公共资源交易金融服务平台，由保函出具机构注销除中标人和中标候选人以外的投标人电子投标保函。</w:t>
            </w:r>
          </w:p>
          <w:p w14:paraId="77031F20">
            <w:pPr>
              <w:spacing w:line="400" w:lineRule="exact"/>
              <w:ind w:firstLine="420" w:firstLineChars="200"/>
            </w:pPr>
            <w:r>
              <w:rPr>
                <w:rFonts w:hint="eastAsia"/>
              </w:rPr>
              <w:t>招标人应当在法定时间内和中标人签订合同。招标人应当在合同生效后2个工作日内将签订的合同和电子投标保函退还通知抄告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在收到电子投标保函退还通知后2个工作日内，将保函注销信息推送给重庆市公共资源交易金融服务平台，由保函出具机构注销中标人和中标候选人的电子投标保函。</w:t>
            </w:r>
          </w:p>
          <w:p w14:paraId="4C33CDF4">
            <w:pPr>
              <w:snapToGrid w:val="0"/>
              <w:spacing w:line="400" w:lineRule="exact"/>
              <w:ind w:firstLine="420" w:firstLineChars="200"/>
            </w:pPr>
          </w:p>
          <w:p w14:paraId="620EE8FD">
            <w:pPr>
              <w:snapToGrid w:val="0"/>
              <w:spacing w:line="400" w:lineRule="exact"/>
              <w:ind w:firstLine="420" w:firstLineChars="200"/>
            </w:pPr>
            <w:r>
              <w:rPr>
                <w:rFonts w:hint="eastAsia"/>
              </w:rPr>
              <w:t>方式二</w:t>
            </w:r>
          </w:p>
          <w:p w14:paraId="6A09B9CD">
            <w:pPr>
              <w:snapToGrid w:val="0"/>
              <w:spacing w:line="400" w:lineRule="exact"/>
              <w:ind w:firstLine="420" w:firstLineChars="200"/>
            </w:pPr>
            <w:r>
              <w:rPr>
                <w:rFonts w:hint="eastAsia"/>
              </w:rPr>
              <w:t>一、以转账支票或电汇形式交纳投标保证金</w:t>
            </w:r>
          </w:p>
          <w:p w14:paraId="4D5819BF">
            <w:pPr>
              <w:snapToGrid w:val="0"/>
              <w:spacing w:line="400" w:lineRule="exact"/>
              <w:ind w:firstLine="420" w:firstLineChars="200"/>
            </w:pPr>
            <w:r>
              <w:rPr>
                <w:rFonts w:hint="eastAsia"/>
              </w:rPr>
              <w:t>1、投标保证金交款形式及要求：投标人从企业的基本账户（开户行）在投标截止时间前通过转账支票直接划付或以电汇方式直接划付至指定的投标保证金账户。若投标截止时间延期，则投标保证金提交的截止时间和投标截止时间应当保持一致。不满足上述要求的投标保证金</w:t>
            </w:r>
            <w:r>
              <w:t>无效。</w:t>
            </w:r>
          </w:p>
          <w:p w14:paraId="6E77A71C">
            <w:pPr>
              <w:snapToGrid w:val="0"/>
              <w:spacing w:line="400" w:lineRule="exact"/>
              <w:ind w:firstLine="420" w:firstLineChars="200"/>
            </w:pPr>
            <w:r>
              <w:rPr>
                <w:rFonts w:hint="eastAsia"/>
              </w:rPr>
              <w:t>投标人自行考虑汇入时间风险，如同城汇入、异地汇入、跨行汇入的时间要求。</w:t>
            </w:r>
          </w:p>
          <w:p w14:paraId="16CC3119">
            <w:pPr>
              <w:snapToGrid w:val="0"/>
              <w:spacing w:line="400" w:lineRule="exact"/>
              <w:ind w:firstLine="420" w:firstLineChars="200"/>
              <w:rPr>
                <w:rFonts w:hint="eastAsia"/>
              </w:rPr>
            </w:pPr>
            <w:r>
              <w:rPr>
                <w:rFonts w:hint="eastAsia"/>
              </w:rPr>
              <w:t>2、以转账支票或电汇形式提交投标保证金的金额：</w:t>
            </w:r>
            <w:r>
              <w:rPr>
                <w:rFonts w:hint="eastAsia"/>
                <w:u w:val="single"/>
              </w:rPr>
              <w:t xml:space="preserve">    </w:t>
            </w:r>
            <w:r>
              <w:rPr>
                <w:rFonts w:hint="eastAsia"/>
              </w:rPr>
              <w:t>万元整（人民币），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0930A04A">
            <w:pPr>
              <w:spacing w:line="400" w:lineRule="exact"/>
              <w:ind w:firstLine="420" w:firstLineChars="200"/>
            </w:pPr>
            <w:r>
              <w:rPr>
                <w:rFonts w:hint="eastAsia"/>
              </w:rPr>
              <w:t>[提示：投标保证金金额不超过该招标项目估算价或经批准的概算金额或最高限价的2%。]</w:t>
            </w:r>
            <w:bookmarkStart w:id="178" w:name="_Hlk45893164"/>
          </w:p>
          <w:bookmarkEnd w:id="178"/>
          <w:p w14:paraId="5B763C1B">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14:paraId="417BCF44">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14:paraId="65AF9444">
            <w:pPr>
              <w:snapToGrid w:val="0"/>
              <w:spacing w:line="400" w:lineRule="exact"/>
              <w:ind w:firstLine="420" w:firstLineChars="200"/>
              <w:rPr>
                <w:rFonts w:hint="eastAsia"/>
                <w:i/>
                <w:iCs/>
              </w:rPr>
            </w:pPr>
            <w:r>
              <w:rPr>
                <w:rFonts w:hint="eastAsia"/>
                <w:i/>
                <w:iCs/>
              </w:rPr>
              <w:t>[提示： 招标人可自行决定是否设置上述条款，若需要设置，则在上述选项中只可选择其中一项进行设置]</w:t>
            </w:r>
          </w:p>
          <w:p w14:paraId="600E1CE7">
            <w:pPr>
              <w:snapToGrid w:val="0"/>
              <w:spacing w:line="400" w:lineRule="exact"/>
              <w:ind w:firstLine="420" w:firstLineChars="200"/>
            </w:pPr>
            <w:r>
              <w:rPr>
                <w:rFonts w:hint="eastAsia"/>
              </w:rPr>
              <w:t>3、投标保证金账户及账号（任选其一）：</w:t>
            </w:r>
          </w:p>
          <w:p w14:paraId="77DDB833">
            <w:pPr>
              <w:snapToGrid w:val="0"/>
              <w:spacing w:line="400" w:lineRule="exact"/>
              <w:ind w:firstLine="420" w:firstLineChars="200"/>
            </w:pPr>
            <w:r>
              <w:rPr>
                <w:rFonts w:hint="eastAsia"/>
              </w:rPr>
              <w:t>详见</w:t>
            </w:r>
            <w:r>
              <w:rPr>
                <w:rFonts w:hint="eastAsia"/>
                <w:u w:val="single"/>
              </w:rPr>
              <w:t>重庆市公共资源交易网</w:t>
            </w:r>
            <w:r>
              <w:rPr>
                <w:rFonts w:hint="eastAsia"/>
              </w:rPr>
              <w:t>对应本项目招标公告信息栏中的保证金信息。</w:t>
            </w:r>
          </w:p>
          <w:p w14:paraId="2D32967A">
            <w:pPr>
              <w:snapToGrid w:val="0"/>
              <w:spacing w:line="400" w:lineRule="exact"/>
              <w:ind w:firstLine="420" w:firstLineChars="200"/>
            </w:pPr>
            <w:r>
              <w:rPr>
                <w:rFonts w:hint="eastAsia"/>
              </w:rPr>
              <w:t>投标保证金以</w:t>
            </w:r>
            <w:r>
              <w:rPr>
                <w:rFonts w:hint="eastAsia"/>
                <w:u w:val="single"/>
              </w:rPr>
              <w:t>重庆市公共资源交易中心</w:t>
            </w:r>
            <w:r>
              <w:rPr>
                <w:rFonts w:hint="eastAsia"/>
              </w:rPr>
              <w:t>开标现场展示的保证金交纳情况为准。投标人须在投标文件资格审查部分“（八）其他资料”中提供企业基本账户开户证明文件。</w:t>
            </w:r>
          </w:p>
          <w:p w14:paraId="2B20D34A">
            <w:pPr>
              <w:snapToGrid w:val="0"/>
              <w:spacing w:line="400" w:lineRule="exact"/>
              <w:ind w:firstLine="420" w:firstLineChars="200"/>
              <w:rPr>
                <w:rFonts w:hint="eastAsia"/>
              </w:rPr>
            </w:pPr>
            <w:r>
              <w:rPr>
                <w:rFonts w:hint="eastAsia"/>
              </w:rPr>
              <w:t>4、投标人必须在付款凭证备注栏中注明是“</w:t>
            </w:r>
            <w:r>
              <w:rPr>
                <w:rFonts w:hint="eastAsia"/>
                <w:u w:val="single"/>
              </w:rPr>
              <w:t xml:space="preserve">        </w:t>
            </w:r>
            <w:r>
              <w:rPr>
                <w:rFonts w:hint="eastAsia"/>
              </w:rPr>
              <w:t>项目投标保证金”。项目名称可简写成：</w:t>
            </w:r>
            <w:r>
              <w:rPr>
                <w:rFonts w:hint="eastAsia"/>
                <w:u w:val="single"/>
              </w:rPr>
              <w:t xml:space="preserve">        </w:t>
            </w:r>
            <w:r>
              <w:rPr>
                <w:rFonts w:hint="eastAsia"/>
              </w:rPr>
              <w:t>。</w:t>
            </w:r>
          </w:p>
          <w:p w14:paraId="4375637C">
            <w:pPr>
              <w:snapToGrid w:val="0"/>
              <w:spacing w:line="400" w:lineRule="exact"/>
              <w:ind w:firstLine="420" w:firstLineChars="200"/>
            </w:pPr>
            <w:r>
              <w:rPr>
                <w:rFonts w:hint="eastAsia"/>
              </w:rPr>
              <w:t>5、投标保证金有效期与投标有效期一致。</w:t>
            </w:r>
          </w:p>
          <w:p w14:paraId="0F27CC13">
            <w:pPr>
              <w:snapToGrid w:val="0"/>
              <w:spacing w:line="400" w:lineRule="exact"/>
              <w:ind w:firstLine="420" w:firstLineChars="200"/>
            </w:pPr>
            <w:r>
              <w:rPr>
                <w:rFonts w:hint="eastAsia"/>
              </w:rPr>
              <w:t>6、根据重庆市公共资源交易中心《关于开展公共资源交易市场主体信息登记工作的公告》的要求，投标人在开标前需在重庆市公共资源交易网办理市场主体信息登记手续。因故未能提前办理市场主体信息登记或更新的，评标过程中由评标委员会根据投标人在投标文件中提供的企业基本账户开户证明文件核实其投标保证金是否由基本账户转入，未从基本账户转入的，由评标委员会作否决投标处理。</w:t>
            </w:r>
          </w:p>
          <w:p w14:paraId="0ED3FEAA">
            <w:pPr>
              <w:snapToGrid w:val="0"/>
              <w:spacing w:line="400" w:lineRule="exact"/>
              <w:ind w:firstLine="420" w:firstLineChars="200"/>
            </w:pPr>
            <w:r>
              <w:rPr>
                <w:rFonts w:hint="eastAsia"/>
              </w:rPr>
              <w:t>7、若投标人为联合体，则由联合体牵头人提交投标保证金。</w:t>
            </w:r>
          </w:p>
          <w:p w14:paraId="6357E949">
            <w:pPr>
              <w:snapToGrid w:val="0"/>
              <w:spacing w:line="400" w:lineRule="exact"/>
              <w:ind w:firstLine="420" w:firstLineChars="200"/>
            </w:pPr>
            <w:r>
              <w:rPr>
                <w:rFonts w:hint="eastAsia"/>
              </w:rPr>
              <w:t>二、投标保证金的退还</w:t>
            </w:r>
          </w:p>
          <w:p w14:paraId="6506DE0E">
            <w:pPr>
              <w:snapToGrid w:val="0"/>
              <w:spacing w:line="400" w:lineRule="exact"/>
              <w:ind w:firstLine="420" w:firstLineChars="200"/>
            </w:pPr>
            <w:r>
              <w:rPr>
                <w:rFonts w:hint="eastAsia"/>
              </w:rPr>
              <w:t>招标人应当在法定时间内确定中标人。招标人应当在中标通知书发出后2个工作日内将中标通知书和保证金退还通知抄告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在收到保证金退还通知后2个工作日内，向除中标人和中标候选人以外的投标人，退还投标保证金及银行同期活期存款利息。投标人可在</w:t>
            </w:r>
            <w:r>
              <w:rPr>
                <w:rFonts w:hint="eastAsia"/>
                <w:u w:val="single"/>
              </w:rPr>
              <w:t>重庆市公共资源交易网</w:t>
            </w:r>
            <w:r>
              <w:rPr>
                <w:rFonts w:hint="eastAsia"/>
              </w:rPr>
              <w:t>查询其投标保证金的退还信息。</w:t>
            </w:r>
          </w:p>
          <w:p w14:paraId="51F93417">
            <w:pPr>
              <w:snapToGrid w:val="0"/>
              <w:spacing w:line="400" w:lineRule="exact"/>
              <w:ind w:firstLine="420" w:firstLineChars="200"/>
            </w:pPr>
            <w:r>
              <w:rPr>
                <w:rFonts w:hint="eastAsia"/>
              </w:rPr>
              <w:t>招标人应当在法定时间内和中标人签订合同。招标人应当在合同生效后2个工作日内将签订的合同和保证金退还通知抄告</w:t>
            </w:r>
            <w:r>
              <w:rPr>
                <w:rFonts w:hint="eastAsia"/>
                <w:u w:val="single"/>
              </w:rPr>
              <w:t>重庆市公共资源交易中心</w:t>
            </w:r>
            <w:r>
              <w:rPr>
                <w:rFonts w:hint="eastAsia"/>
              </w:rPr>
              <w:t>，</w:t>
            </w:r>
            <w:r>
              <w:rPr>
                <w:rFonts w:hint="eastAsia"/>
                <w:u w:val="single"/>
              </w:rPr>
              <w:t>重庆市公共资源交易中心</w:t>
            </w:r>
            <w:r>
              <w:rPr>
                <w:rFonts w:hint="eastAsia"/>
              </w:rPr>
              <w:t>在收到保证金退还通知后2个工作日内，向中标人和中标候选人退还投标保证金及银行同期活期存款利息。</w:t>
            </w:r>
          </w:p>
          <w:p w14:paraId="3CF9B377">
            <w:pPr>
              <w:snapToGrid w:val="0"/>
              <w:spacing w:line="400" w:lineRule="exact"/>
              <w:ind w:firstLine="420" w:firstLineChars="200"/>
              <w:jc w:val="left"/>
              <w:rPr>
                <w:rFonts w:hint="eastAsia"/>
              </w:rPr>
            </w:pPr>
            <w:r>
              <w:rPr>
                <w:rFonts w:hint="eastAsia"/>
              </w:rPr>
              <w:t>投标保证金专用账户由</w:t>
            </w:r>
            <w:r>
              <w:rPr>
                <w:rFonts w:hint="eastAsia"/>
                <w:u w:val="single"/>
              </w:rPr>
              <w:t>重庆市公共资源交易中心</w:t>
            </w:r>
            <w:r>
              <w:rPr>
                <w:rFonts w:hint="eastAsia"/>
              </w:rPr>
              <w:t>指定，关于保证金相关情况的问题请咨询</w:t>
            </w:r>
            <w:r>
              <w:rPr>
                <w:rFonts w:hint="eastAsia"/>
                <w:u w:val="single"/>
              </w:rPr>
              <w:t>重庆市公共资源交易中心</w:t>
            </w:r>
            <w:r>
              <w:rPr>
                <w:rFonts w:hint="eastAsia"/>
              </w:rPr>
              <w:t>，联系电话023-</w:t>
            </w:r>
            <w:r>
              <w:rPr>
                <w:rFonts w:hint="eastAsia"/>
                <w:u w:val="single"/>
              </w:rPr>
              <w:t xml:space="preserve">     </w:t>
            </w:r>
            <w:r>
              <w:rPr>
                <w:rFonts w:hint="eastAsia"/>
              </w:rPr>
              <w:t>。</w:t>
            </w:r>
          </w:p>
          <w:p w14:paraId="145ABF1D">
            <w:pPr>
              <w:snapToGrid w:val="0"/>
              <w:spacing w:line="400" w:lineRule="exact"/>
              <w:ind w:firstLine="420" w:firstLineChars="200"/>
              <w:rPr>
                <w:rFonts w:hint="eastAsia"/>
              </w:rPr>
            </w:pPr>
          </w:p>
          <w:p w14:paraId="4E50CEF1">
            <w:pPr>
              <w:snapToGrid w:val="0"/>
              <w:spacing w:line="400" w:lineRule="exact"/>
              <w:ind w:firstLine="420" w:firstLineChars="200"/>
            </w:pPr>
            <w:r>
              <w:rPr>
                <w:rFonts w:hint="eastAsia"/>
              </w:rPr>
              <w:t>方式三</w:t>
            </w:r>
          </w:p>
          <w:p w14:paraId="5E95DDE8">
            <w:pPr>
              <w:snapToGrid w:val="0"/>
              <w:spacing w:line="400" w:lineRule="exact"/>
              <w:ind w:firstLine="420" w:firstLineChars="200"/>
            </w:pPr>
            <w:r>
              <w:t>一、</w:t>
            </w:r>
            <w:r>
              <w:rPr>
                <w:rFonts w:hint="eastAsia"/>
              </w:rPr>
              <w:t>以纸质投标保函形式交纳投标保证金</w:t>
            </w:r>
          </w:p>
          <w:p w14:paraId="6EF0C096">
            <w:pPr>
              <w:snapToGrid w:val="0"/>
              <w:spacing w:line="400" w:lineRule="exact"/>
              <w:ind w:firstLine="420" w:firstLineChars="200"/>
            </w:pPr>
            <w:r>
              <w:t>1</w:t>
            </w:r>
            <w:r>
              <w:rPr>
                <w:rFonts w:hint="eastAsia"/>
              </w:rPr>
              <w:t>. 纸质投标保函</w:t>
            </w:r>
            <w:r>
              <w:t>交纳形式及要求：</w:t>
            </w:r>
          </w:p>
          <w:p w14:paraId="2EF77358">
            <w:pPr>
              <w:snapToGrid w:val="0"/>
              <w:spacing w:line="400" w:lineRule="exact"/>
              <w:ind w:firstLine="420" w:firstLineChars="200"/>
            </w:pPr>
            <w:r>
              <w:t>（1）缴纳形式：</w:t>
            </w:r>
            <w:r>
              <w:rPr>
                <w:rFonts w:hint="eastAsia"/>
              </w:rPr>
              <w:t>纸质投标保函包括银行保函、保证保险和担保保函，其示范文本详见第九章投标文件格式。投标人提交的纸质投标保函应严格执行其示范文本，不得对示范文本中的实质性内容进行修改。</w:t>
            </w:r>
          </w:p>
          <w:p w14:paraId="28B308BF">
            <w:pPr>
              <w:snapToGrid w:val="0"/>
              <w:spacing w:line="400" w:lineRule="exact"/>
              <w:ind w:firstLine="420" w:firstLineChars="200"/>
              <w:rPr>
                <w:rFonts w:hint="eastAsia"/>
              </w:rPr>
            </w:pPr>
            <w:r>
              <w:t>（2）具体要求：</w:t>
            </w:r>
            <w:r>
              <w:rPr>
                <w:rFonts w:hint="eastAsia"/>
              </w:rPr>
              <w:t>纸质投标保函的开立人应当是具有相应资格的银行、保险机构、融资担保公司，其信用资质、履约能力、担保能力、赔付流程、安全保密等应符合工程保函业务条件。纸质投标保函应合法合规，符合招投标行政监督部门、行业主管部门和金融监管部门的相关规定，满足招标文件约定要求。投标人应选择在渝依法设立总部或者设有分支机构的金融机构开具纸质投标保函。投标人对所提交的纸质投标保函的真实性、合法性、有效性负责。</w:t>
            </w:r>
          </w:p>
          <w:p w14:paraId="197D8637">
            <w:pPr>
              <w:snapToGrid w:val="0"/>
              <w:spacing w:line="400" w:lineRule="exact"/>
              <w:ind w:firstLine="420" w:firstLineChars="200"/>
            </w:pPr>
            <w:r>
              <w:rPr>
                <w:rFonts w:hint="eastAsia"/>
              </w:rPr>
              <w:t>投标人须在投标文件资格审查部分“其他资料”中提供纸质投标保函扫描件，纸质投标保函原件应当于投标截止时间前在开标现场递交招标人保管。</w:t>
            </w:r>
          </w:p>
          <w:p w14:paraId="046FA3C6">
            <w:pPr>
              <w:snapToGrid w:val="0"/>
              <w:spacing w:line="400" w:lineRule="exact"/>
              <w:ind w:firstLine="420" w:firstLineChars="200"/>
              <w:rPr>
                <w:rFonts w:hint="eastAsia"/>
              </w:rPr>
            </w:pPr>
            <w:r>
              <w:rPr>
                <w:rFonts w:hint="eastAsia"/>
              </w:rPr>
              <w:t>若投标截止时间延期，则纸质投标保函递交的截止时间和投标截止时间保持一致。</w:t>
            </w:r>
          </w:p>
          <w:p w14:paraId="6F2FA3BC">
            <w:pPr>
              <w:snapToGrid w:val="0"/>
              <w:spacing w:line="400" w:lineRule="exact"/>
              <w:ind w:firstLine="420" w:firstLineChars="200"/>
            </w:pPr>
            <w:r>
              <w:rPr>
                <w:rFonts w:hint="eastAsia"/>
              </w:rPr>
              <w:t>不满足上述要求的纸质</w:t>
            </w:r>
            <w:r>
              <w:t>投标保函无效。</w:t>
            </w:r>
          </w:p>
          <w:p w14:paraId="0A176F0D">
            <w:pPr>
              <w:snapToGrid w:val="0"/>
              <w:spacing w:line="400" w:lineRule="exact"/>
              <w:ind w:firstLine="420" w:firstLineChars="200"/>
              <w:rPr>
                <w:rFonts w:hint="eastAsia"/>
              </w:rPr>
            </w:pPr>
            <w:r>
              <w:t>2</w:t>
            </w:r>
            <w:r>
              <w:rPr>
                <w:rFonts w:hint="eastAsia"/>
              </w:rPr>
              <w:t>. 以纸质投标保函形式担保的</w:t>
            </w:r>
            <w:r>
              <w:t>投标保证金的金额：</w:t>
            </w:r>
            <w:r>
              <w:rPr>
                <w:u w:val="single"/>
              </w:rPr>
              <w:t xml:space="preserve">    </w:t>
            </w:r>
            <w:r>
              <w:t>万元整（人民币）</w:t>
            </w:r>
            <w:r>
              <w:rPr>
                <w:rFonts w:hint="eastAsia"/>
              </w:rPr>
              <w:t>，红名单中的投标人，投标保证金金额为应缴纳金额的50%，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p>
          <w:p w14:paraId="138305F8">
            <w:pPr>
              <w:snapToGrid w:val="0"/>
              <w:spacing w:line="400" w:lineRule="exact"/>
              <w:ind w:firstLine="420" w:firstLineChars="200"/>
            </w:pPr>
            <w:r>
              <w:rPr>
                <w:rFonts w:hint="eastAsia"/>
              </w:rPr>
              <w:t>[提示：投标保证金金额不超过该招标项目估算价或经批准的概算金额或最高限价的2%。]</w:t>
            </w:r>
          </w:p>
          <w:p w14:paraId="3C430096">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行业的中小微企业投标人免除投标保证金；其中，以联合体形式参与投标的，联合体所有成员均为符合该行业标准的中小微企业的，该联合体方可免除投标保证金。</w:t>
            </w:r>
          </w:p>
          <w:p w14:paraId="137B9180">
            <w:pPr>
              <w:snapToGrid w:val="0"/>
              <w:spacing w:line="400" w:lineRule="exact"/>
              <w:ind w:firstLine="420" w:firstLineChars="200"/>
              <w:rPr>
                <w:rFonts w:hint="eastAsia"/>
              </w:rPr>
            </w:pPr>
            <w:r>
              <w:rPr>
                <w:rFonts w:hint="eastAsia"/>
              </w:rPr>
              <w:t>□对符合《关于印发中小企业划型标准规定的通知》（工信部联企业〔2011〕300号）规定的</w:t>
            </w:r>
            <w:r>
              <w:rPr>
                <w:rFonts w:hint="eastAsia"/>
                <w:u w:val="single"/>
              </w:rPr>
              <w:t xml:space="preserve">            </w:t>
            </w:r>
            <w:r>
              <w:rPr>
                <w:rFonts w:hint="eastAsia"/>
              </w:rPr>
              <w:t>行业的中小微企业投标人免除投标保证金；其中，以联合体形式参与投标的，联合体任一成员符合该行业标准的中小微企业的，该联合体可免除投标保证金。</w:t>
            </w:r>
          </w:p>
          <w:p w14:paraId="1880BA95">
            <w:pPr>
              <w:snapToGrid w:val="0"/>
              <w:spacing w:line="400" w:lineRule="exact"/>
              <w:ind w:firstLine="420" w:firstLineChars="200"/>
              <w:rPr>
                <w:rFonts w:hint="eastAsia"/>
                <w:i/>
                <w:iCs/>
              </w:rPr>
            </w:pPr>
            <w:r>
              <w:rPr>
                <w:rFonts w:hint="eastAsia"/>
                <w:i/>
                <w:iCs/>
              </w:rPr>
              <w:t>[提示： 招标人可自行决定是否设置上述条款，若需要设置，则在上述选项中只可选择其中一项进行设置]</w:t>
            </w:r>
          </w:p>
          <w:p w14:paraId="361B98E5">
            <w:pPr>
              <w:snapToGrid w:val="0"/>
              <w:spacing w:line="400" w:lineRule="exact"/>
              <w:ind w:firstLine="420" w:firstLineChars="200"/>
              <w:rPr>
                <w:rFonts w:hint="eastAsia"/>
              </w:rPr>
            </w:pPr>
            <w:r>
              <w:rPr>
                <w:rFonts w:hint="eastAsia"/>
              </w:rPr>
              <w:t>3. 投标人须在纸质投标保函中注明在重庆市辖区范围内的核验地址和核验方式，并确保其递交的纸质投标保函能在开立人在渝的总部或者分支机构进行核验。</w:t>
            </w:r>
          </w:p>
          <w:p w14:paraId="45894CCA">
            <w:pPr>
              <w:snapToGrid w:val="0"/>
              <w:spacing w:line="400" w:lineRule="exact"/>
              <w:ind w:firstLine="420" w:firstLineChars="200"/>
            </w:pPr>
            <w:r>
              <w:rPr>
                <w:rFonts w:hint="eastAsia"/>
              </w:rPr>
              <w:t>4. 投标人在开标现场递交的纸质投标保函原件应与投标文件中提供的纸质投标保函扫描件一致，否则由评标委员会作否决投标处理。</w:t>
            </w:r>
          </w:p>
          <w:p w14:paraId="21792C21">
            <w:pPr>
              <w:snapToGrid w:val="0"/>
              <w:spacing w:line="400" w:lineRule="exact"/>
              <w:ind w:firstLine="420" w:firstLineChars="200"/>
              <w:rPr>
                <w:rFonts w:hint="eastAsia"/>
              </w:rPr>
            </w:pPr>
            <w:r>
              <w:rPr>
                <w:rFonts w:hint="eastAsia"/>
              </w:rPr>
              <w:t>5. 在发出中标通知书前，招标人应当对投标人（至少中标候选人或中标人）递交的纸质投标保函的真实性、合法性、有效性进行核验，对核验不合格或无法按纸质投标保函注明的核验地点、核验方式进行核验的，视为投标人未提交纸质投标保函，对已取得中标候选人资格或中标资格的投标人，按相关规定取消中标候选人资格或中标资格，给招标人造成损失的，投标人依法承担赔偿责任。投标人提交的纸质投标保函涉及弄虚作假或其他违法违规情形的，移送相关部门处理。</w:t>
            </w:r>
          </w:p>
          <w:p w14:paraId="67E320C6">
            <w:pPr>
              <w:snapToGrid w:val="0"/>
              <w:spacing w:line="400" w:lineRule="exact"/>
              <w:ind w:firstLine="420" w:firstLineChars="200"/>
              <w:rPr>
                <w:rFonts w:hint="eastAsia"/>
              </w:rPr>
            </w:pPr>
            <w:r>
              <w:rPr>
                <w:rFonts w:hint="eastAsia"/>
              </w:rPr>
              <w:t>6. 若投标人为联合体，则由联合体牵头人提供纸质投标保函。</w:t>
            </w:r>
          </w:p>
          <w:p w14:paraId="7F96020B">
            <w:pPr>
              <w:snapToGrid w:val="0"/>
              <w:spacing w:line="400" w:lineRule="exact"/>
              <w:ind w:firstLine="420" w:firstLineChars="200"/>
            </w:pPr>
            <w:r>
              <w:t>二、</w:t>
            </w:r>
            <w:r>
              <w:rPr>
                <w:rFonts w:hint="eastAsia"/>
              </w:rPr>
              <w:t>纸质</w:t>
            </w:r>
            <w:r>
              <w:t>投标保函的</w:t>
            </w:r>
            <w:r>
              <w:rPr>
                <w:rFonts w:hint="eastAsia"/>
              </w:rPr>
              <w:t>退还、注销</w:t>
            </w:r>
          </w:p>
          <w:p w14:paraId="3FE33F4A">
            <w:pPr>
              <w:snapToGrid w:val="0"/>
              <w:spacing w:line="400" w:lineRule="exact"/>
              <w:ind w:firstLine="420" w:firstLineChars="200"/>
              <w:rPr>
                <w:rFonts w:hint="eastAsia"/>
              </w:rPr>
            </w:pPr>
            <w:r>
              <w:rPr>
                <w:rFonts w:hint="eastAsia"/>
              </w:rPr>
              <w:t>招标人应当在法定时间内确定中标人，向中标人发出中标通知书，同时向除中标候选人以外的其他投标人退还纸质投标保函并书面通知相关金融机构本项目准予提前注销纸质投标保函。具体注销事宜由投标人与金融机构协商。</w:t>
            </w:r>
          </w:p>
          <w:p w14:paraId="00251C4C">
            <w:pPr>
              <w:snapToGrid w:val="0"/>
              <w:spacing w:line="400" w:lineRule="exact"/>
              <w:ind w:firstLine="420" w:firstLineChars="200"/>
            </w:pPr>
            <w:r>
              <w:rPr>
                <w:rFonts w:hint="eastAsia"/>
              </w:rPr>
              <w:t>招标人应在法定时间内和中标人签订合同，并同时书面通知相关金融机构向中标人和其他中标候选人注销纸质投标保函。具体注销事宜由投标人与金融机构协商。</w:t>
            </w:r>
          </w:p>
          <w:p w14:paraId="6BD84878">
            <w:pPr>
              <w:snapToGrid w:val="0"/>
              <w:spacing w:line="400" w:lineRule="exact"/>
              <w:ind w:firstLine="420" w:firstLineChars="200"/>
            </w:pPr>
          </w:p>
          <w:p w14:paraId="10880DAE">
            <w:pPr>
              <w:snapToGrid w:val="0"/>
              <w:spacing w:line="400" w:lineRule="exact"/>
              <w:ind w:firstLine="420" w:firstLineChars="200"/>
              <w:rPr>
                <w:rFonts w:hint="eastAsia"/>
              </w:rPr>
            </w:pPr>
            <w:r>
              <w:rPr>
                <w:rFonts w:hint="eastAsia"/>
              </w:rPr>
              <w:t>□说明：1.中小微企业投标人如需免除投标保证金，须在投标文件资格审查部分“（八）其他资料”中提供《中小微企业声明函》（格式详见第九章）及相应证明材料。以联合体形式参与投标的，符合中小微企业认定标准的联合体成员单位需提供《中小微企业声明函》（格式详见第九章）及相应证明材料。</w:t>
            </w:r>
          </w:p>
          <w:p w14:paraId="7534BD92">
            <w:pPr>
              <w:snapToGrid w:val="0"/>
              <w:spacing w:line="400" w:lineRule="exact"/>
              <w:ind w:firstLine="420" w:firstLineChars="200"/>
              <w:rPr>
                <w:rFonts w:hint="eastAsia"/>
              </w:rPr>
            </w:pPr>
            <w:r>
              <w:rPr>
                <w:rFonts w:hint="eastAsia"/>
              </w:rPr>
              <w:t>2.提供了《中小微企业声明函》且未在规定时间内足额递交投标保证金的中标候选人，经查实不属于中小微企业的，将依照相关法律法规进行处理。</w:t>
            </w:r>
          </w:p>
        </w:tc>
      </w:tr>
      <w:tr w14:paraId="5CF9F5A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F9C60AA">
            <w:pPr>
              <w:snapToGrid w:val="0"/>
              <w:spacing w:line="400" w:lineRule="exact"/>
              <w:jc w:val="center"/>
              <w:rPr>
                <w:rFonts w:hint="eastAsia" w:ascii="宋体" w:hAnsi="宋体" w:cs="宋体"/>
                <w:snapToGrid w:val="0"/>
                <w:kern w:val="0"/>
                <w:szCs w:val="21"/>
              </w:rPr>
            </w:pPr>
            <w:r>
              <w:rPr>
                <w:rFonts w:hint="eastAsia" w:ascii="宋体" w:hAnsi="宋体" w:cs="宋体"/>
              </w:rPr>
              <w:t>3.4.3</w:t>
            </w:r>
          </w:p>
        </w:tc>
        <w:tc>
          <w:tcPr>
            <w:tcW w:w="1615" w:type="dxa"/>
            <w:vAlign w:val="center"/>
          </w:tcPr>
          <w:p w14:paraId="33060C21">
            <w:pPr>
              <w:snapToGrid w:val="0"/>
              <w:spacing w:line="400" w:lineRule="exact"/>
              <w:jc w:val="center"/>
              <w:rPr>
                <w:rFonts w:hint="eastAsia" w:ascii="宋体" w:hAnsi="宋体" w:cs="宋体"/>
                <w:kern w:val="0"/>
                <w:szCs w:val="21"/>
              </w:rPr>
            </w:pPr>
            <w:r>
              <w:rPr>
                <w:rFonts w:hint="eastAsia" w:ascii="宋体" w:hAnsi="宋体" w:cs="宋体"/>
                <w:spacing w:val="-1"/>
                <w:szCs w:val="21"/>
              </w:rPr>
              <w:t>投标保证金的利息计算原则</w:t>
            </w:r>
          </w:p>
        </w:tc>
        <w:tc>
          <w:tcPr>
            <w:tcW w:w="6519" w:type="dxa"/>
            <w:vAlign w:val="center"/>
          </w:tcPr>
          <w:p w14:paraId="57D678DC">
            <w:pPr>
              <w:widowControl/>
              <w:spacing w:line="400" w:lineRule="exact"/>
              <w:ind w:firstLine="420" w:firstLineChars="200"/>
              <w:jc w:val="left"/>
              <w:rPr>
                <w:rFonts w:hint="eastAsia" w:ascii="宋体" w:hAnsi="宋体" w:cs="宋体"/>
                <w:kern w:val="0"/>
                <w:szCs w:val="21"/>
              </w:rPr>
            </w:pPr>
            <w:r>
              <w:rPr>
                <w:rFonts w:hint="eastAsia" w:ascii="宋体" w:hAnsi="宋体" w:cs="宋体"/>
                <w:kern w:val="0"/>
                <w:szCs w:val="21"/>
              </w:rPr>
              <w:t>按</w:t>
            </w:r>
            <w:r>
              <w:rPr>
                <w:rFonts w:hint="eastAsia" w:ascii="宋体" w:hAnsi="宋体" w:cs="宋体"/>
                <w:kern w:val="0"/>
                <w:szCs w:val="21"/>
                <w:u w:val="single"/>
              </w:rPr>
              <w:t>重庆市公共资源交易中心</w:t>
            </w:r>
            <w:r>
              <w:rPr>
                <w:rFonts w:hint="eastAsia" w:ascii="宋体" w:hAnsi="宋体" w:cs="宋体"/>
                <w:kern w:val="0"/>
                <w:szCs w:val="21"/>
              </w:rPr>
              <w:t>相关规定执行。</w:t>
            </w:r>
          </w:p>
        </w:tc>
      </w:tr>
      <w:tr w14:paraId="692A6D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1B9C551">
            <w:pPr>
              <w:snapToGrid w:val="0"/>
              <w:spacing w:line="400" w:lineRule="exact"/>
              <w:jc w:val="center"/>
              <w:rPr>
                <w:rFonts w:hint="eastAsia" w:ascii="宋体" w:hAnsi="宋体" w:cs="宋体"/>
                <w:snapToGrid w:val="0"/>
                <w:kern w:val="0"/>
                <w:szCs w:val="21"/>
              </w:rPr>
            </w:pPr>
            <w:r>
              <w:rPr>
                <w:rFonts w:hint="eastAsia" w:ascii="宋体" w:hAnsi="宋体" w:cs="宋体"/>
              </w:rPr>
              <w:t>3.4.4</w:t>
            </w:r>
          </w:p>
        </w:tc>
        <w:tc>
          <w:tcPr>
            <w:tcW w:w="1615" w:type="dxa"/>
            <w:vAlign w:val="center"/>
          </w:tcPr>
          <w:p w14:paraId="36B40EBA">
            <w:pPr>
              <w:widowControl/>
              <w:spacing w:line="400" w:lineRule="exact"/>
              <w:jc w:val="center"/>
              <w:rPr>
                <w:rFonts w:hint="eastAsia" w:ascii="宋体" w:hAnsi="宋体" w:cs="宋体"/>
                <w:spacing w:val="-1"/>
                <w:szCs w:val="21"/>
              </w:rPr>
            </w:pPr>
            <w:r>
              <w:rPr>
                <w:rFonts w:hint="eastAsia" w:ascii="宋体" w:hAnsi="宋体" w:cs="宋体"/>
                <w:kern w:val="0"/>
                <w:szCs w:val="21"/>
                <w:lang w:bidi="ar"/>
              </w:rPr>
              <w:t>其他可以不予退还投标保证金的情形</w:t>
            </w:r>
          </w:p>
        </w:tc>
        <w:tc>
          <w:tcPr>
            <w:tcW w:w="6519" w:type="dxa"/>
            <w:vAlign w:val="center"/>
          </w:tcPr>
          <w:p w14:paraId="313562D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（1）投标人在投标有效期内撤销投标文件；</w:t>
            </w:r>
          </w:p>
          <w:p w14:paraId="7E62380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（2）中标人在收到中标通知书后，无正当理由不与招标人订立合同，在签订合同时向招标人提出附加条件，或者不按照招标文件要求提交履约保证金；</w:t>
            </w:r>
          </w:p>
          <w:p w14:paraId="489A0FAA">
            <w:pPr>
              <w:pStyle w:val="69"/>
              <w:spacing w:before="0" w:after="0" w:line="360" w:lineRule="auto"/>
              <w:ind w:firstLine="420" w:firstLineChars="200"/>
              <w:jc w:val="left"/>
              <w:rPr>
                <w:rFonts w:hint="eastAsia" w:ascii="宋体" w:hAnsi="宋体" w:eastAsia="宋体" w:cs="宋体"/>
                <w:sz w:val="21"/>
                <w:szCs w:val="21"/>
                <w:u w:val="single"/>
                <w:lang w:eastAsia="zh-CN"/>
              </w:rPr>
            </w:pP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3</w:t>
            </w:r>
            <w:r>
              <w:rPr>
                <w:rFonts w:hint="eastAsia" w:ascii="宋体" w:hAnsi="宋体" w:eastAsia="宋体" w:cs="宋体"/>
                <w:sz w:val="21"/>
                <w:szCs w:val="21"/>
                <w:u w:val="single"/>
                <w:lang w:eastAsia="zh-CN"/>
              </w:rPr>
              <w:t>）中标人（或拟中标人）拒不提供或者不按时提供低价风险担保（适用于经评审的最低投标价法）；</w:t>
            </w:r>
          </w:p>
          <w:p w14:paraId="6FC3521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u w:val="single"/>
                <w:lang w:eastAsia="zh-CN"/>
              </w:rPr>
              <w:t>（</w:t>
            </w:r>
            <w:r>
              <w:rPr>
                <w:rFonts w:hint="eastAsia" w:ascii="宋体" w:hAnsi="宋体" w:eastAsia="宋体" w:cs="宋体"/>
                <w:sz w:val="21"/>
                <w:szCs w:val="21"/>
                <w:u w:val="single"/>
                <w:lang w:val="en-US" w:eastAsia="zh-CN"/>
              </w:rPr>
              <w:t>4</w:t>
            </w:r>
            <w:r>
              <w:rPr>
                <w:rFonts w:hint="eastAsia" w:ascii="宋体" w:hAnsi="宋体" w:eastAsia="宋体" w:cs="宋体"/>
                <w:sz w:val="21"/>
                <w:szCs w:val="21"/>
                <w:u w:val="single"/>
                <w:lang w:eastAsia="zh-CN"/>
              </w:rPr>
              <w:t>）投标人</w:t>
            </w:r>
            <w:r>
              <w:rPr>
                <w:rFonts w:ascii="宋体" w:hAnsi="宋体" w:eastAsia="宋体" w:cs="宋体"/>
                <w:sz w:val="21"/>
                <w:szCs w:val="21"/>
                <w:u w:val="single"/>
                <w:lang w:val="en-US" w:eastAsia="zh-CN"/>
              </w:rPr>
              <w:t>被发现</w:t>
            </w:r>
            <w:r>
              <w:rPr>
                <w:rFonts w:hint="eastAsia" w:ascii="宋体" w:hAnsi="宋体" w:eastAsia="宋体" w:cs="宋体"/>
                <w:sz w:val="21"/>
                <w:szCs w:val="21"/>
                <w:u w:val="single"/>
                <w:lang w:val="en-US" w:eastAsia="zh-CN"/>
              </w:rPr>
              <w:t>本次投标</w:t>
            </w:r>
            <w:r>
              <w:rPr>
                <w:rFonts w:hint="eastAsia" w:ascii="宋体" w:hAnsi="宋体" w:eastAsia="宋体" w:cs="宋体"/>
                <w:sz w:val="21"/>
                <w:szCs w:val="21"/>
                <w:u w:val="single"/>
                <w:lang w:eastAsia="zh-CN"/>
              </w:rPr>
              <w:t>存在串通投标、弄虚造假、行贿等违法行为的；</w:t>
            </w:r>
          </w:p>
          <w:p w14:paraId="62A502D9">
            <w:pPr>
              <w:widowControl/>
              <w:spacing w:line="400" w:lineRule="exact"/>
              <w:ind w:firstLine="420" w:firstLineChars="200"/>
              <w:jc w:val="left"/>
              <w:rPr>
                <w:rFonts w:hint="eastAsia" w:ascii="宋体" w:hAnsi="宋体" w:cs="宋体"/>
                <w:kern w:val="0"/>
                <w:szCs w:val="21"/>
              </w:rPr>
            </w:pPr>
            <w:r>
              <w:rPr>
                <w:rFonts w:hint="eastAsia" w:ascii="宋体" w:hAnsi="宋体" w:cs="宋体"/>
                <w:kern w:val="0"/>
                <w:szCs w:val="21"/>
              </w:rPr>
              <w:t>（5）法律法规规定的其他情形。</w:t>
            </w:r>
          </w:p>
        </w:tc>
      </w:tr>
      <w:tr w14:paraId="6C3F68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6E0B380">
            <w:pPr>
              <w:snapToGrid w:val="0"/>
              <w:spacing w:line="400" w:lineRule="exact"/>
              <w:jc w:val="center"/>
              <w:rPr>
                <w:rFonts w:hint="eastAsia" w:ascii="宋体" w:hAnsi="宋体" w:cs="宋体"/>
                <w:kern w:val="0"/>
                <w:szCs w:val="21"/>
              </w:rPr>
            </w:pPr>
            <w:r>
              <w:rPr>
                <w:rFonts w:hint="eastAsia" w:ascii="宋体" w:hAnsi="宋体" w:cs="宋体"/>
                <w:kern w:val="0"/>
                <w:szCs w:val="21"/>
              </w:rPr>
              <w:t>3.6.1</w:t>
            </w:r>
          </w:p>
        </w:tc>
        <w:tc>
          <w:tcPr>
            <w:tcW w:w="1615" w:type="dxa"/>
            <w:vAlign w:val="center"/>
          </w:tcPr>
          <w:p w14:paraId="750CC4CD">
            <w:pPr>
              <w:snapToGrid w:val="0"/>
              <w:spacing w:line="400" w:lineRule="exact"/>
              <w:jc w:val="center"/>
              <w:rPr>
                <w:rFonts w:hint="eastAsia" w:ascii="宋体" w:hAnsi="宋体" w:cs="宋体"/>
                <w:kern w:val="0"/>
                <w:szCs w:val="21"/>
              </w:rPr>
            </w:pPr>
            <w:r>
              <w:rPr>
                <w:rFonts w:hint="eastAsia" w:ascii="宋体" w:hAnsi="宋体" w:cs="宋体"/>
                <w:kern w:val="0"/>
                <w:szCs w:val="21"/>
              </w:rPr>
              <w:t>是否允许递交</w:t>
            </w:r>
          </w:p>
          <w:p w14:paraId="3808970F">
            <w:pPr>
              <w:snapToGrid w:val="0"/>
              <w:spacing w:line="400" w:lineRule="exact"/>
              <w:jc w:val="center"/>
              <w:rPr>
                <w:rFonts w:hint="eastAsia" w:ascii="宋体" w:hAnsi="宋体" w:cs="宋体"/>
                <w:kern w:val="0"/>
                <w:szCs w:val="21"/>
              </w:rPr>
            </w:pPr>
            <w:r>
              <w:rPr>
                <w:rFonts w:hint="eastAsia" w:ascii="宋体" w:hAnsi="宋体" w:cs="宋体"/>
                <w:kern w:val="0"/>
                <w:szCs w:val="21"/>
              </w:rPr>
              <w:t>备选投标方案</w:t>
            </w:r>
          </w:p>
        </w:tc>
        <w:tc>
          <w:tcPr>
            <w:tcW w:w="6519" w:type="dxa"/>
            <w:vAlign w:val="center"/>
          </w:tcPr>
          <w:p w14:paraId="761F1567">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口不允许</w:t>
            </w:r>
          </w:p>
          <w:p w14:paraId="5B173BB5">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口允许</w:t>
            </w:r>
          </w:p>
        </w:tc>
      </w:tr>
      <w:tr w14:paraId="411124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830B1BA">
            <w:pPr>
              <w:snapToGrid w:val="0"/>
              <w:spacing w:line="400" w:lineRule="exact"/>
              <w:jc w:val="center"/>
              <w:rPr>
                <w:rFonts w:hint="eastAsia" w:ascii="宋体" w:hAnsi="宋体" w:cs="宋体"/>
                <w:kern w:val="0"/>
                <w:szCs w:val="21"/>
              </w:rPr>
            </w:pPr>
            <w:r>
              <w:rPr>
                <w:rFonts w:hint="eastAsia" w:ascii="宋体" w:hAnsi="宋体" w:cs="宋体"/>
                <w:kern w:val="0"/>
                <w:szCs w:val="21"/>
              </w:rPr>
              <w:t>3.7.1</w:t>
            </w:r>
          </w:p>
        </w:tc>
        <w:tc>
          <w:tcPr>
            <w:tcW w:w="1615" w:type="dxa"/>
            <w:vAlign w:val="center"/>
          </w:tcPr>
          <w:p w14:paraId="771825DE">
            <w:pPr>
              <w:snapToGrid w:val="0"/>
              <w:spacing w:line="400" w:lineRule="exact"/>
              <w:jc w:val="center"/>
              <w:rPr>
                <w:rFonts w:hint="eastAsia" w:ascii="宋体" w:hAnsi="宋体" w:cs="宋体"/>
                <w:kern w:val="0"/>
                <w:szCs w:val="21"/>
              </w:rPr>
            </w:pPr>
            <w:r>
              <w:rPr>
                <w:rFonts w:hint="eastAsia" w:ascii="宋体" w:hAnsi="宋体" w:cs="宋体"/>
                <w:kern w:val="0"/>
                <w:szCs w:val="21"/>
              </w:rPr>
              <w:t>投标文件格式要求</w:t>
            </w:r>
          </w:p>
        </w:tc>
        <w:tc>
          <w:tcPr>
            <w:tcW w:w="6519" w:type="dxa"/>
            <w:vAlign w:val="center"/>
          </w:tcPr>
          <w:p w14:paraId="517292D0">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编制投标文件时不得对第九章“投标文件格式”的相应要素作实质性修改，否则视为重大偏差，由评标委员会作否决投标处理。</w:t>
            </w:r>
          </w:p>
        </w:tc>
      </w:tr>
      <w:tr w14:paraId="5658E9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5E67FC6">
            <w:pPr>
              <w:snapToGrid w:val="0"/>
              <w:spacing w:line="400" w:lineRule="exact"/>
              <w:jc w:val="center"/>
              <w:rPr>
                <w:rFonts w:hint="eastAsia" w:ascii="宋体" w:hAnsi="宋体" w:cs="宋体"/>
                <w:kern w:val="0"/>
                <w:szCs w:val="21"/>
              </w:rPr>
            </w:pPr>
            <w:r>
              <w:rPr>
                <w:rFonts w:hint="eastAsia" w:ascii="宋体" w:hAnsi="宋体" w:cs="宋体"/>
                <w:kern w:val="0"/>
                <w:szCs w:val="21"/>
              </w:rPr>
              <w:t>3.7.3</w:t>
            </w:r>
          </w:p>
        </w:tc>
        <w:tc>
          <w:tcPr>
            <w:tcW w:w="1615" w:type="dxa"/>
            <w:vAlign w:val="center"/>
          </w:tcPr>
          <w:p w14:paraId="73822E5F">
            <w:pPr>
              <w:snapToGrid w:val="0"/>
              <w:spacing w:line="400" w:lineRule="exact"/>
              <w:jc w:val="center"/>
              <w:rPr>
                <w:rFonts w:hint="eastAsia" w:ascii="宋体" w:hAnsi="宋体" w:cs="宋体"/>
                <w:kern w:val="0"/>
                <w:szCs w:val="21"/>
              </w:rPr>
            </w:pPr>
            <w:r>
              <w:rPr>
                <w:rFonts w:hint="eastAsia" w:ascii="宋体" w:hAnsi="宋体" w:cs="宋体"/>
                <w:kern w:val="0"/>
                <w:szCs w:val="21"/>
              </w:rPr>
              <w:t>签名盖章要求</w:t>
            </w:r>
          </w:p>
        </w:tc>
        <w:tc>
          <w:tcPr>
            <w:tcW w:w="6519" w:type="dxa"/>
            <w:vAlign w:val="center"/>
          </w:tcPr>
          <w:p w14:paraId="66096E23">
            <w:pPr>
              <w:snapToGrid w:val="0"/>
              <w:spacing w:line="400" w:lineRule="exact"/>
              <w:ind w:firstLine="420" w:firstLineChars="200"/>
              <w:rPr>
                <w:rFonts w:hint="eastAsia" w:ascii="宋体" w:hAnsi="宋体" w:cs="宋体"/>
                <w:szCs w:val="21"/>
              </w:rPr>
            </w:pPr>
            <w:r>
              <w:rPr>
                <w:rFonts w:hint="eastAsia" w:ascii="宋体" w:hAnsi="宋体" w:cs="宋体"/>
                <w:szCs w:val="21"/>
              </w:rPr>
              <w:t>投标文件应使用专用的“新点投标文件制作软件（重庆版）”编制而成。第九章 投标文件格式要求法定代表人或其委托代理人签名（或盖章）的须齐全</w:t>
            </w:r>
            <w:r>
              <w:rPr>
                <w:rFonts w:hint="eastAsia" w:ascii="宋体" w:hAnsi="宋体"/>
                <w:szCs w:val="21"/>
              </w:rPr>
              <w:t>。要求签名的，签名采用手写签名或签章或加盖CA数字证书均可。</w:t>
            </w:r>
            <w:r>
              <w:rPr>
                <w:rFonts w:hint="eastAsia" w:ascii="宋体" w:hAnsi="宋体" w:cs="宋体"/>
                <w:szCs w:val="21"/>
              </w:rPr>
              <w:t>要求加盖单位法人章的，应使用 CA 数字证书加盖投标人的单位电子印章。</w:t>
            </w:r>
          </w:p>
          <w:p w14:paraId="40459D6D">
            <w:pPr>
              <w:snapToGrid w:val="0"/>
              <w:spacing w:line="400" w:lineRule="exact"/>
              <w:ind w:firstLine="420" w:firstLineChars="200"/>
              <w:rPr>
                <w:rFonts w:hint="eastAsia" w:ascii="宋体" w:hAnsi="宋体" w:cs="宋体"/>
                <w:szCs w:val="21"/>
              </w:rPr>
            </w:pPr>
            <w:r>
              <w:rPr>
                <w:rFonts w:hint="eastAsia" w:ascii="宋体" w:hAnsi="宋体" w:cs="宋体"/>
                <w:szCs w:val="21"/>
              </w:rPr>
              <w:t>若投标单位为联合体，则联合体协议书中各联合体成员单位签名（或盖章）须齐全，要求各联合体成员盖单位法人章的，各联合体成员盖章须齐全；联合体协议书以外的投标文件格式中，要求法定代表人或其委托代理人签名（或盖章）的均由联合体牵头人法定代表人或其委托代理人签名（或盖章），要求投标人加盖单位法人章的，均由联合体牵头人使用 CA 数字证书加盖其单位电子印章。</w:t>
            </w:r>
          </w:p>
          <w:p w14:paraId="2DAC3DA3">
            <w:pPr>
              <w:snapToGrid w:val="0"/>
              <w:spacing w:line="400" w:lineRule="exact"/>
              <w:ind w:firstLine="420" w:firstLineChars="200"/>
              <w:rPr>
                <w:rFonts w:hint="eastAsia" w:ascii="宋体" w:hAnsi="宋体" w:cs="宋体"/>
                <w:szCs w:val="21"/>
              </w:rPr>
            </w:pPr>
            <w:r>
              <w:rPr>
                <w:rFonts w:hint="eastAsia" w:ascii="宋体" w:hAnsi="宋体" w:cs="宋体"/>
                <w:szCs w:val="21"/>
              </w:rPr>
              <w:t>未按上述规定执行的，交由评标委员会作否决投标处理。</w:t>
            </w:r>
          </w:p>
        </w:tc>
      </w:tr>
      <w:tr w14:paraId="08BBF0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6DEE1E4">
            <w:pPr>
              <w:snapToGrid w:val="0"/>
              <w:spacing w:line="400" w:lineRule="exact"/>
              <w:jc w:val="center"/>
              <w:rPr>
                <w:rFonts w:hint="eastAsia" w:ascii="宋体" w:hAnsi="宋体" w:cs="宋体"/>
                <w:kern w:val="0"/>
                <w:szCs w:val="21"/>
              </w:rPr>
            </w:pPr>
            <w:r>
              <w:rPr>
                <w:rFonts w:hint="eastAsia" w:ascii="宋体" w:hAnsi="宋体" w:cs="宋体"/>
                <w:kern w:val="0"/>
                <w:szCs w:val="21"/>
              </w:rPr>
              <w:t>3.7.4</w:t>
            </w:r>
          </w:p>
        </w:tc>
        <w:tc>
          <w:tcPr>
            <w:tcW w:w="1615" w:type="dxa"/>
            <w:vAlign w:val="center"/>
          </w:tcPr>
          <w:p w14:paraId="5B10A187">
            <w:pPr>
              <w:snapToGrid w:val="0"/>
              <w:spacing w:line="400" w:lineRule="exact"/>
              <w:rPr>
                <w:rFonts w:hint="eastAsia" w:ascii="宋体" w:hAnsi="宋体" w:cs="宋体"/>
                <w:spacing w:val="-6"/>
                <w:kern w:val="0"/>
                <w:szCs w:val="21"/>
              </w:rPr>
            </w:pPr>
            <w:r>
              <w:rPr>
                <w:rFonts w:hint="eastAsia" w:ascii="宋体" w:hAnsi="宋体" w:cs="宋体"/>
                <w:spacing w:val="-6"/>
                <w:kern w:val="0"/>
                <w:szCs w:val="21"/>
              </w:rPr>
              <w:t>投标文件的份数</w:t>
            </w:r>
          </w:p>
        </w:tc>
        <w:tc>
          <w:tcPr>
            <w:tcW w:w="6519" w:type="dxa"/>
            <w:vAlign w:val="center"/>
          </w:tcPr>
          <w:p w14:paraId="5FF5458A">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本工程采用全流程电子招标投标，投标人提供的投标文件为：加密电子投标文件（网上递交）一份。</w:t>
            </w:r>
          </w:p>
        </w:tc>
      </w:tr>
      <w:tr w14:paraId="549F33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BC704C8">
            <w:pPr>
              <w:snapToGrid w:val="0"/>
              <w:spacing w:line="400" w:lineRule="exact"/>
              <w:jc w:val="center"/>
              <w:rPr>
                <w:rFonts w:hint="eastAsia" w:ascii="宋体" w:hAnsi="宋体" w:cs="宋体"/>
                <w:kern w:val="0"/>
                <w:szCs w:val="21"/>
              </w:rPr>
            </w:pPr>
            <w:r>
              <w:rPr>
                <w:rFonts w:hint="eastAsia" w:ascii="宋体" w:hAnsi="宋体" w:cs="宋体"/>
                <w:kern w:val="0"/>
                <w:szCs w:val="21"/>
              </w:rPr>
              <w:t>3.7.5</w:t>
            </w:r>
          </w:p>
        </w:tc>
        <w:tc>
          <w:tcPr>
            <w:tcW w:w="1615" w:type="dxa"/>
            <w:vAlign w:val="center"/>
          </w:tcPr>
          <w:p w14:paraId="0A4E898D">
            <w:pPr>
              <w:snapToGrid w:val="0"/>
              <w:spacing w:line="400" w:lineRule="exact"/>
              <w:jc w:val="center"/>
              <w:rPr>
                <w:rFonts w:hint="eastAsia" w:ascii="宋体" w:hAnsi="宋体" w:cs="宋体"/>
                <w:kern w:val="0"/>
                <w:szCs w:val="21"/>
              </w:rPr>
            </w:pPr>
            <w:r>
              <w:rPr>
                <w:rFonts w:hint="eastAsia" w:ascii="宋体" w:hAnsi="宋体" w:cs="宋体"/>
                <w:kern w:val="0"/>
                <w:szCs w:val="21"/>
              </w:rPr>
              <w:t>编制要求</w:t>
            </w:r>
          </w:p>
        </w:tc>
        <w:tc>
          <w:tcPr>
            <w:tcW w:w="6519" w:type="dxa"/>
            <w:vAlign w:val="center"/>
          </w:tcPr>
          <w:p w14:paraId="57436800">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具体要求：</w:t>
            </w:r>
          </w:p>
          <w:p w14:paraId="230F05C6">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（1）投标函部分</w:t>
            </w:r>
          </w:p>
          <w:p w14:paraId="76B0C740">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应按照第九章规定格式排版，</w:t>
            </w:r>
            <w:r>
              <w:rPr>
                <w:rFonts w:hint="eastAsia"/>
              </w:rPr>
              <w:t>原则上</w:t>
            </w:r>
            <w:r>
              <w:rPr>
                <w:rFonts w:hint="eastAsia" w:ascii="宋体" w:hAnsi="宋体" w:cs="宋体"/>
                <w:szCs w:val="21"/>
              </w:rPr>
              <w:t>应编制目录，</w:t>
            </w:r>
            <w:r>
              <w:rPr>
                <w:rFonts w:hint="eastAsia"/>
              </w:rPr>
              <w:t>但不得将目录编制作为评审因素</w:t>
            </w:r>
            <w:r>
              <w:rPr>
                <w:rFonts w:hint="eastAsia" w:ascii="宋体" w:hAnsi="宋体" w:cs="宋体"/>
                <w:szCs w:val="21"/>
              </w:rPr>
              <w:t>。</w:t>
            </w:r>
          </w:p>
          <w:p w14:paraId="3708EDA9">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（2）经济部分</w:t>
            </w:r>
          </w:p>
          <w:p w14:paraId="28517197">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应按照第九章规定格式排版，</w:t>
            </w:r>
            <w:r>
              <w:rPr>
                <w:rFonts w:hint="eastAsia"/>
              </w:rPr>
              <w:t>原则上</w:t>
            </w:r>
            <w:r>
              <w:rPr>
                <w:rFonts w:hint="eastAsia" w:ascii="宋体" w:hAnsi="宋体" w:cs="宋体"/>
                <w:szCs w:val="21"/>
              </w:rPr>
              <w:t>应编制目录，</w:t>
            </w:r>
            <w:r>
              <w:rPr>
                <w:rFonts w:hint="eastAsia"/>
              </w:rPr>
              <w:t>但不得将目录编制作为评审因素</w:t>
            </w:r>
            <w:r>
              <w:rPr>
                <w:rFonts w:hint="eastAsia" w:ascii="宋体" w:hAnsi="宋体" w:cs="宋体"/>
                <w:szCs w:val="21"/>
              </w:rPr>
              <w:t>。</w:t>
            </w:r>
          </w:p>
          <w:p w14:paraId="6E15F20A">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（3）商务部分</w:t>
            </w:r>
            <w:r>
              <w:rPr>
                <w:rFonts w:hint="eastAsia" w:ascii="宋体" w:hAnsi="宋体"/>
                <w:iCs/>
                <w:szCs w:val="21"/>
              </w:rPr>
              <w:t>（如有）</w:t>
            </w:r>
          </w:p>
          <w:p w14:paraId="25034585">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应按照第九章规定格式排版，</w:t>
            </w:r>
            <w:r>
              <w:rPr>
                <w:rFonts w:hint="eastAsia"/>
              </w:rPr>
              <w:t>原则上</w:t>
            </w:r>
            <w:r>
              <w:rPr>
                <w:rFonts w:hint="eastAsia" w:ascii="宋体" w:hAnsi="宋体" w:cs="宋体"/>
                <w:szCs w:val="21"/>
              </w:rPr>
              <w:t>应编制目录，</w:t>
            </w:r>
            <w:r>
              <w:rPr>
                <w:rFonts w:hint="eastAsia"/>
              </w:rPr>
              <w:t>但不得将目录编制作为评审因素</w:t>
            </w:r>
            <w:r>
              <w:rPr>
                <w:rFonts w:hint="eastAsia" w:ascii="宋体" w:hAnsi="宋体" w:cs="宋体"/>
                <w:szCs w:val="21"/>
              </w:rPr>
              <w:t>。</w:t>
            </w:r>
          </w:p>
          <w:p w14:paraId="3E39EED9">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（4）技术部分</w:t>
            </w:r>
            <w:r>
              <w:rPr>
                <w:rFonts w:hint="eastAsia" w:ascii="宋体" w:hAnsi="宋体"/>
                <w:iCs/>
                <w:szCs w:val="21"/>
              </w:rPr>
              <w:t>（如有）</w:t>
            </w:r>
          </w:p>
          <w:p w14:paraId="5BF805B5">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电子投标文件技术明标不设封面，应按照第九章规定格式排版，</w:t>
            </w:r>
            <w:r>
              <w:rPr>
                <w:rFonts w:hint="eastAsia"/>
              </w:rPr>
              <w:t>原则上</w:t>
            </w:r>
            <w:r>
              <w:rPr>
                <w:rFonts w:hint="eastAsia" w:ascii="宋体" w:hAnsi="宋体" w:cs="宋体"/>
                <w:szCs w:val="21"/>
              </w:rPr>
              <w:t>应编制目录，</w:t>
            </w:r>
            <w:r>
              <w:rPr>
                <w:rFonts w:hint="eastAsia" w:ascii="宋体" w:hAnsi="宋体"/>
                <w:szCs w:val="21"/>
              </w:rPr>
              <w:t>但不得将封面设置、目录编制作为评审因素</w:t>
            </w:r>
            <w:r>
              <w:rPr>
                <w:rFonts w:hint="eastAsia" w:ascii="宋体" w:hAnsi="宋体" w:cs="宋体"/>
                <w:szCs w:val="21"/>
              </w:rPr>
              <w:t>。</w:t>
            </w:r>
            <w:r>
              <w:rPr>
                <w:rFonts w:hint="eastAsia" w:ascii="宋体" w:hAnsi="宋体"/>
                <w:szCs w:val="21"/>
              </w:rPr>
              <w:t>注：技术部分不因形式评审的问题（包括但不限于封面、页码、目录、字体、格式等）而被否决投标。</w:t>
            </w:r>
          </w:p>
          <w:p w14:paraId="431A6BA7">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（技术方案原则上不超过</w:t>
            </w:r>
            <w:r>
              <w:rPr>
                <w:rFonts w:hint="eastAsia" w:ascii="宋体" w:hAnsi="宋体" w:cs="宋体"/>
                <w:szCs w:val="21"/>
                <w:u w:val="single"/>
              </w:rPr>
              <w:t xml:space="preserve">    </w:t>
            </w:r>
            <w:r>
              <w:rPr>
                <w:rFonts w:hint="eastAsia" w:ascii="宋体" w:hAnsi="宋体" w:cs="宋体"/>
                <w:szCs w:val="21"/>
              </w:rPr>
              <w:t>页</w:t>
            </w:r>
            <w:r>
              <w:rPr>
                <w:rFonts w:hint="eastAsia" w:ascii="宋体" w:hAnsi="宋体"/>
                <w:szCs w:val="21"/>
              </w:rPr>
              <w:t>，但不得将页数作为评审因素</w:t>
            </w:r>
            <w:r>
              <w:rPr>
                <w:rFonts w:hint="eastAsia" w:ascii="宋体" w:hAnsi="宋体" w:cs="宋体"/>
                <w:szCs w:val="21"/>
              </w:rPr>
              <w:t>。）</w:t>
            </w:r>
          </w:p>
          <w:p w14:paraId="24CA33DF">
            <w:pPr>
              <w:adjustRightInd w:val="0"/>
              <w:snapToGrid w:val="0"/>
              <w:spacing w:line="400" w:lineRule="exact"/>
              <w:ind w:firstLine="420" w:firstLineChars="200"/>
              <w:rPr>
                <w:rFonts w:hint="eastAsia"/>
              </w:rPr>
            </w:pPr>
            <w:r>
              <w:rPr>
                <w:rFonts w:hint="eastAsia"/>
              </w:rPr>
              <w:t>（5）资格审查部分</w:t>
            </w:r>
          </w:p>
          <w:p w14:paraId="324BFEC0">
            <w:pPr>
              <w:adjustRightInd w:val="0"/>
              <w:snapToGrid w:val="0"/>
              <w:spacing w:line="400" w:lineRule="exact"/>
              <w:ind w:firstLine="420" w:firstLineChars="200"/>
              <w:rPr>
                <w:rFonts w:hint="eastAsia" w:ascii="宋体" w:hAnsi="宋体" w:cs="宋体"/>
                <w:szCs w:val="21"/>
              </w:rPr>
            </w:pPr>
            <w:r>
              <w:rPr>
                <w:rFonts w:hint="eastAsia"/>
              </w:rPr>
              <w:t>应按照第九章规定格式排版，原则上应编制目录</w:t>
            </w:r>
            <w:r>
              <w:rPr>
                <w:rFonts w:hint="eastAsia" w:ascii="宋体" w:hAnsi="宋体" w:cs="宋体"/>
                <w:szCs w:val="21"/>
              </w:rPr>
              <w:t>，</w:t>
            </w:r>
            <w:r>
              <w:rPr>
                <w:rFonts w:hint="eastAsia"/>
              </w:rPr>
              <w:t>但不得将目录编制作为评审因素。</w:t>
            </w:r>
          </w:p>
        </w:tc>
      </w:tr>
      <w:tr w14:paraId="7440F3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92F3933">
            <w:pPr>
              <w:snapToGrid w:val="0"/>
              <w:spacing w:line="400" w:lineRule="exact"/>
              <w:jc w:val="center"/>
              <w:rPr>
                <w:rFonts w:ascii="宋体" w:hAnsi="宋体" w:cs="宋体"/>
                <w:kern w:val="0"/>
                <w:szCs w:val="21"/>
              </w:rPr>
            </w:pPr>
            <w:r>
              <w:rPr>
                <w:rFonts w:hint="eastAsia" w:ascii="宋体" w:hAnsi="宋体" w:cs="宋体"/>
                <w:kern w:val="0"/>
                <w:szCs w:val="21"/>
              </w:rPr>
              <w:t>4.1.1</w:t>
            </w:r>
          </w:p>
        </w:tc>
        <w:tc>
          <w:tcPr>
            <w:tcW w:w="1615" w:type="dxa"/>
            <w:vAlign w:val="center"/>
          </w:tcPr>
          <w:p w14:paraId="3DC73F10">
            <w:pPr>
              <w:snapToGrid w:val="0"/>
              <w:spacing w:line="400" w:lineRule="exact"/>
              <w:jc w:val="center"/>
              <w:rPr>
                <w:rFonts w:hint="eastAsia" w:ascii="宋体" w:hAnsi="宋体" w:cs="宋体"/>
                <w:kern w:val="0"/>
                <w:szCs w:val="21"/>
              </w:rPr>
            </w:pPr>
            <w:r>
              <w:rPr>
                <w:rFonts w:ascii="宋体" w:hAnsi="宋体"/>
                <w:spacing w:val="-6"/>
                <w:kern w:val="0"/>
                <w:szCs w:val="21"/>
              </w:rPr>
              <w:t>投标文件的密封</w:t>
            </w:r>
          </w:p>
        </w:tc>
        <w:tc>
          <w:tcPr>
            <w:tcW w:w="6519" w:type="dxa"/>
            <w:vAlign w:val="center"/>
          </w:tcPr>
          <w:p w14:paraId="691895FF">
            <w:pPr>
              <w:spacing w:line="400" w:lineRule="exact"/>
              <w:ind w:firstLine="420" w:firstLineChars="200"/>
              <w:rPr>
                <w:rFonts w:hint="eastAsia" w:ascii="宋体" w:hAnsi="宋体" w:cs="宋体"/>
                <w:szCs w:val="21"/>
              </w:rPr>
            </w:pPr>
            <w:r>
              <w:rPr>
                <w:rFonts w:hint="eastAsia" w:ascii="宋体" w:hAnsi="宋体" w:cs="宋体"/>
                <w:szCs w:val="21"/>
              </w:rPr>
              <w:t>电子投标文件的加密</w:t>
            </w:r>
          </w:p>
          <w:p w14:paraId="0B17DA4E">
            <w:pPr>
              <w:spacing w:line="400" w:lineRule="exact"/>
              <w:ind w:firstLine="420" w:firstLineChars="200"/>
              <w:rPr>
                <w:rFonts w:hint="eastAsia" w:ascii="宋体" w:hAnsi="宋体" w:cs="宋体"/>
                <w:szCs w:val="21"/>
              </w:rPr>
            </w:pPr>
            <w:r>
              <w:rPr>
                <w:rFonts w:hint="eastAsia" w:ascii="宋体" w:hAnsi="宋体" w:cs="宋体"/>
                <w:szCs w:val="21"/>
              </w:rPr>
              <w:t>加密的电子投标文件应按照本章第4.1.3项要求制作并加密，未按要求加密的电子投标文件，将无法上传至重庆市电子招投标系统，逾期未完成上传投标文件的，视为撤回投标文件。</w:t>
            </w:r>
          </w:p>
          <w:p w14:paraId="543C000D">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71FC76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90C3BF3">
            <w:pPr>
              <w:snapToGrid w:val="0"/>
              <w:spacing w:line="400" w:lineRule="exact"/>
              <w:jc w:val="center"/>
              <w:rPr>
                <w:rFonts w:hint="eastAsia" w:ascii="宋体" w:hAnsi="宋体" w:cs="宋体"/>
                <w:kern w:val="0"/>
                <w:szCs w:val="21"/>
              </w:rPr>
            </w:pPr>
            <w:r>
              <w:rPr>
                <w:rFonts w:hint="eastAsia" w:ascii="宋体" w:hAnsi="宋体" w:cs="宋体"/>
                <w:kern w:val="0"/>
                <w:szCs w:val="21"/>
              </w:rPr>
              <w:t>4.1.2</w:t>
            </w:r>
          </w:p>
        </w:tc>
        <w:tc>
          <w:tcPr>
            <w:tcW w:w="1615" w:type="dxa"/>
            <w:vAlign w:val="center"/>
          </w:tcPr>
          <w:p w14:paraId="409C14AA">
            <w:pPr>
              <w:snapToGrid w:val="0"/>
              <w:spacing w:line="400" w:lineRule="exact"/>
              <w:jc w:val="center"/>
              <w:rPr>
                <w:rFonts w:hint="eastAsia" w:ascii="宋体" w:hAnsi="宋体" w:cs="宋体"/>
                <w:kern w:val="0"/>
                <w:szCs w:val="21"/>
              </w:rPr>
            </w:pPr>
            <w:r>
              <w:rPr>
                <w:rFonts w:hint="eastAsia" w:ascii="宋体" w:hAnsi="宋体" w:cs="宋体"/>
                <w:kern w:val="0"/>
                <w:szCs w:val="21"/>
              </w:rPr>
              <w:t>封套上写明</w:t>
            </w:r>
          </w:p>
        </w:tc>
        <w:tc>
          <w:tcPr>
            <w:tcW w:w="6519" w:type="dxa"/>
            <w:vAlign w:val="center"/>
          </w:tcPr>
          <w:p w14:paraId="2B7AFF96">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应在</w:t>
            </w:r>
            <w:r>
              <w:rPr>
                <w:rFonts w:hint="eastAsia" w:ascii="宋体" w:hAnsi="宋体" w:cs="宋体"/>
                <w:szCs w:val="21"/>
              </w:rPr>
              <w:t xml:space="preserve"> </w:t>
            </w:r>
            <w:r>
              <w:rPr>
                <w:rFonts w:hint="eastAsia" w:ascii="宋体" w:hAnsi="宋体" w:cs="宋体"/>
                <w:kern w:val="0"/>
                <w:szCs w:val="21"/>
              </w:rPr>
              <w:t>“投标文件”袋封套上写明如下内容：</w:t>
            </w:r>
          </w:p>
          <w:p w14:paraId="4B71C84E">
            <w:pPr>
              <w:snapToGrid w:val="0"/>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招标人名称：</w:t>
            </w:r>
            <w:r>
              <w:rPr>
                <w:rFonts w:hint="eastAsia" w:ascii="宋体" w:hAnsi="宋体" w:cs="宋体"/>
                <w:kern w:val="0"/>
                <w:szCs w:val="21"/>
                <w:u w:val="single"/>
              </w:rPr>
              <w:t xml:space="preserve">            </w:t>
            </w:r>
          </w:p>
          <w:p w14:paraId="75B9D110">
            <w:pPr>
              <w:snapToGrid w:val="0"/>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投标人名称：</w:t>
            </w:r>
            <w:r>
              <w:rPr>
                <w:rFonts w:hint="eastAsia" w:ascii="宋体" w:hAnsi="宋体" w:cs="宋体"/>
                <w:kern w:val="0"/>
                <w:szCs w:val="21"/>
                <w:u w:val="single"/>
              </w:rPr>
              <w:t xml:space="preserve">            </w:t>
            </w:r>
          </w:p>
          <w:p w14:paraId="3CDE2B6C">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u w:val="single"/>
              </w:rPr>
              <w:t xml:space="preserve">                （项目名称）</w:t>
            </w:r>
            <w:r>
              <w:rPr>
                <w:rFonts w:hint="eastAsia" w:ascii="宋体" w:hAnsi="宋体" w:cs="宋体"/>
                <w:kern w:val="0"/>
                <w:szCs w:val="21"/>
              </w:rPr>
              <w:t>投标文件</w:t>
            </w:r>
          </w:p>
          <w:p w14:paraId="42D82E1C">
            <w:pPr>
              <w:adjustRightInd w:val="0"/>
              <w:snapToGrid w:val="0"/>
              <w:spacing w:line="400" w:lineRule="exact"/>
              <w:ind w:firstLine="420" w:firstLineChars="200"/>
              <w:rPr>
                <w:rFonts w:hint="eastAsia" w:ascii="宋体" w:hAnsi="宋体" w:cs="宋体"/>
                <w:szCs w:val="21"/>
              </w:rPr>
            </w:pPr>
            <w:r>
              <w:rPr>
                <w:rFonts w:hint="eastAsia" w:ascii="宋体" w:hAnsi="宋体" w:cs="宋体"/>
                <w:kern w:val="0"/>
                <w:szCs w:val="21"/>
              </w:rPr>
              <w:t>在</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r>
              <w:rPr>
                <w:rFonts w:hint="eastAsia" w:ascii="宋体" w:hAnsi="宋体" w:cs="宋体"/>
                <w:kern w:val="0"/>
                <w:szCs w:val="21"/>
                <w:u w:val="single"/>
              </w:rPr>
              <w:t xml:space="preserve">    </w:t>
            </w:r>
            <w:r>
              <w:rPr>
                <w:rFonts w:hint="eastAsia" w:ascii="宋体" w:hAnsi="宋体" w:cs="宋体"/>
                <w:kern w:val="0"/>
                <w:szCs w:val="21"/>
              </w:rPr>
              <w:t>时</w:t>
            </w:r>
            <w:r>
              <w:rPr>
                <w:rFonts w:hint="eastAsia" w:ascii="宋体" w:hAnsi="宋体" w:cs="宋体"/>
                <w:kern w:val="0"/>
                <w:szCs w:val="21"/>
                <w:u w:val="single"/>
              </w:rPr>
              <w:t xml:space="preserve">    </w:t>
            </w:r>
            <w:r>
              <w:rPr>
                <w:rFonts w:hint="eastAsia" w:ascii="宋体" w:hAnsi="宋体" w:cs="宋体"/>
                <w:kern w:val="0"/>
                <w:szCs w:val="21"/>
              </w:rPr>
              <w:t>分前不得开启</w:t>
            </w:r>
          </w:p>
        </w:tc>
      </w:tr>
      <w:tr w14:paraId="137C1B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C62EED3">
            <w:pPr>
              <w:snapToGrid w:val="0"/>
              <w:spacing w:line="400" w:lineRule="exact"/>
              <w:jc w:val="center"/>
              <w:rPr>
                <w:rFonts w:hint="eastAsia" w:ascii="宋体" w:hAnsi="宋体" w:cs="宋体"/>
                <w:kern w:val="0"/>
                <w:szCs w:val="21"/>
              </w:rPr>
            </w:pPr>
            <w:r>
              <w:rPr>
                <w:rFonts w:hint="eastAsia" w:ascii="宋体" w:hAnsi="宋体" w:cs="宋体"/>
                <w:kern w:val="0"/>
                <w:szCs w:val="21"/>
              </w:rPr>
              <w:t>4.2.2</w:t>
            </w:r>
          </w:p>
        </w:tc>
        <w:tc>
          <w:tcPr>
            <w:tcW w:w="1615" w:type="dxa"/>
            <w:vAlign w:val="center"/>
          </w:tcPr>
          <w:p w14:paraId="103B8F38">
            <w:pPr>
              <w:snapToGrid w:val="0"/>
              <w:spacing w:line="400" w:lineRule="exact"/>
              <w:jc w:val="center"/>
              <w:rPr>
                <w:rFonts w:hint="eastAsia" w:ascii="宋体" w:hAnsi="宋体" w:cs="宋体"/>
                <w:kern w:val="0"/>
                <w:szCs w:val="21"/>
              </w:rPr>
            </w:pPr>
            <w:r>
              <w:rPr>
                <w:rFonts w:hint="eastAsia" w:ascii="宋体" w:hAnsi="宋体" w:cs="宋体"/>
                <w:snapToGrid w:val="0"/>
                <w:kern w:val="0"/>
                <w:szCs w:val="21"/>
              </w:rPr>
              <w:t>投标人递交投标文件的地点</w:t>
            </w:r>
          </w:p>
        </w:tc>
        <w:tc>
          <w:tcPr>
            <w:tcW w:w="6519" w:type="dxa"/>
            <w:vAlign w:val="center"/>
          </w:tcPr>
          <w:p w14:paraId="0F9E7979">
            <w:pPr>
              <w:snapToGrid w:val="0"/>
              <w:spacing w:line="400" w:lineRule="exact"/>
              <w:ind w:firstLine="420" w:firstLineChars="200"/>
              <w:rPr>
                <w:rFonts w:hint="eastAsia" w:ascii="宋体" w:hAnsi="宋体" w:cs="宋体"/>
                <w:bCs/>
                <w:szCs w:val="21"/>
              </w:rPr>
            </w:pPr>
            <w:r>
              <w:rPr>
                <w:rFonts w:hint="eastAsia" w:ascii="宋体" w:hAnsi="宋体" w:cs="宋体"/>
                <w:bCs/>
                <w:szCs w:val="21"/>
              </w:rPr>
              <w:t>投标人应当在投标截止时间前，通过互联网使用CA数字证书登录重庆市电子招投标系统，将加密的电子投标文件上传。</w:t>
            </w:r>
          </w:p>
          <w:p w14:paraId="0F7C8BA8">
            <w:pPr>
              <w:snapToGrid w:val="0"/>
              <w:spacing w:line="400" w:lineRule="exact"/>
              <w:ind w:firstLine="420" w:firstLineChars="200"/>
              <w:rPr>
                <w:rFonts w:hint="eastAsia" w:ascii="宋体" w:hAnsi="宋体" w:cs="宋体"/>
                <w:szCs w:val="21"/>
              </w:rPr>
            </w:pPr>
            <w:r>
              <w:rPr>
                <w:rFonts w:hint="eastAsia" w:ascii="宋体" w:hAnsi="宋体" w:cs="宋体"/>
                <w:bCs/>
                <w:szCs w:val="21"/>
              </w:rPr>
              <w:t>特别注意：投标人如需现场递交不加密电子投标文件（光盘备份）等备用资料，则须在投标截止时间前递交，递交地点为</w:t>
            </w:r>
            <w:r>
              <w:rPr>
                <w:rFonts w:hint="eastAsia" w:ascii="宋体" w:hAnsi="宋体" w:cs="宋体"/>
                <w:bCs/>
                <w:szCs w:val="21"/>
                <w:u w:val="single"/>
              </w:rPr>
              <w:t>重庆市公共资源交易中心</w:t>
            </w:r>
            <w:r>
              <w:rPr>
                <w:rFonts w:hint="eastAsia" w:ascii="宋体" w:hAnsi="宋体" w:cs="宋体"/>
                <w:bCs/>
                <w:szCs w:val="21"/>
              </w:rPr>
              <w:t>开标区（具体</w:t>
            </w:r>
            <w:r>
              <w:rPr>
                <w:rFonts w:hint="eastAsia" w:ascii="宋体" w:hAnsi="宋体" w:cs="宋体"/>
                <w:bCs/>
                <w:szCs w:val="21"/>
                <w:lang w:eastAsia="zh-CN"/>
              </w:rPr>
              <w:t>请登录</w:t>
            </w:r>
            <w:r>
              <w:rPr>
                <w:rFonts w:hint="eastAsia" w:ascii="宋体" w:hAnsi="宋体" w:cs="宋体"/>
                <w:bCs/>
                <w:szCs w:val="21"/>
                <w:u w:val="single"/>
              </w:rPr>
              <w:t>重庆市公共资源交易网</w:t>
            </w:r>
            <w:r>
              <w:rPr>
                <w:rFonts w:hint="eastAsia" w:ascii="宋体" w:hAnsi="宋体" w:cs="宋体"/>
                <w:bCs/>
                <w:szCs w:val="21"/>
              </w:rPr>
              <w:t>查询或递交文件当日见交易中心大厅电子显示屏）。</w:t>
            </w:r>
          </w:p>
        </w:tc>
      </w:tr>
      <w:tr w14:paraId="387B04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4846C22">
            <w:pPr>
              <w:snapToGrid w:val="0"/>
              <w:spacing w:line="400" w:lineRule="exact"/>
              <w:jc w:val="center"/>
              <w:rPr>
                <w:rFonts w:hint="eastAsia" w:ascii="宋体" w:hAnsi="宋体" w:cs="宋体"/>
                <w:kern w:val="0"/>
                <w:szCs w:val="21"/>
              </w:rPr>
            </w:pPr>
            <w:r>
              <w:rPr>
                <w:rFonts w:hint="eastAsia" w:ascii="宋体" w:hAnsi="宋体" w:cs="宋体"/>
                <w:kern w:val="0"/>
                <w:szCs w:val="21"/>
              </w:rPr>
              <w:t>4.2.3</w:t>
            </w:r>
          </w:p>
        </w:tc>
        <w:tc>
          <w:tcPr>
            <w:tcW w:w="1615" w:type="dxa"/>
            <w:vAlign w:val="center"/>
          </w:tcPr>
          <w:p w14:paraId="0E6E6697">
            <w:pPr>
              <w:snapToGrid w:val="0"/>
              <w:spacing w:line="400" w:lineRule="exact"/>
              <w:jc w:val="center"/>
              <w:rPr>
                <w:rFonts w:hint="eastAsia" w:ascii="宋体" w:hAnsi="宋体" w:cs="宋体"/>
                <w:kern w:val="0"/>
                <w:szCs w:val="21"/>
              </w:rPr>
            </w:pPr>
            <w:r>
              <w:rPr>
                <w:rFonts w:hint="eastAsia" w:ascii="宋体" w:hAnsi="宋体" w:cs="宋体"/>
                <w:kern w:val="0"/>
                <w:szCs w:val="21"/>
              </w:rPr>
              <w:t>是否退还投标文件</w:t>
            </w:r>
          </w:p>
        </w:tc>
        <w:tc>
          <w:tcPr>
            <w:tcW w:w="6519" w:type="dxa"/>
            <w:vAlign w:val="center"/>
          </w:tcPr>
          <w:p w14:paraId="1C74A189">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否</w:t>
            </w:r>
          </w:p>
        </w:tc>
      </w:tr>
      <w:tr w14:paraId="13F22A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4D5F233">
            <w:pPr>
              <w:snapToGrid w:val="0"/>
              <w:spacing w:line="400" w:lineRule="exact"/>
              <w:jc w:val="center"/>
              <w:rPr>
                <w:rFonts w:ascii="宋体" w:hAnsi="宋体" w:cs="宋体"/>
                <w:kern w:val="0"/>
                <w:szCs w:val="21"/>
              </w:rPr>
            </w:pPr>
            <w:r>
              <w:rPr>
                <w:rFonts w:hint="eastAsia" w:ascii="宋体" w:hAnsi="宋体" w:cs="宋体"/>
                <w:kern w:val="0"/>
                <w:szCs w:val="21"/>
              </w:rPr>
              <w:t>5.1.1</w:t>
            </w:r>
          </w:p>
        </w:tc>
        <w:tc>
          <w:tcPr>
            <w:tcW w:w="1615" w:type="dxa"/>
            <w:vAlign w:val="center"/>
          </w:tcPr>
          <w:p w14:paraId="49791894">
            <w:pPr>
              <w:snapToGrid w:val="0"/>
              <w:spacing w:line="400" w:lineRule="exact"/>
              <w:jc w:val="center"/>
              <w:rPr>
                <w:rFonts w:hint="eastAsia" w:ascii="宋体" w:hAnsi="宋体" w:cs="宋体"/>
                <w:kern w:val="0"/>
                <w:szCs w:val="21"/>
              </w:rPr>
            </w:pPr>
            <w:r>
              <w:rPr>
                <w:rFonts w:hint="eastAsia" w:ascii="宋体" w:hAnsi="宋体" w:cs="宋体"/>
                <w:kern w:val="0"/>
                <w:szCs w:val="21"/>
              </w:rPr>
              <w:t>开标时间和</w:t>
            </w:r>
          </w:p>
          <w:p w14:paraId="2E4B907F">
            <w:pPr>
              <w:snapToGrid w:val="0"/>
              <w:spacing w:line="400" w:lineRule="exact"/>
              <w:jc w:val="center"/>
              <w:rPr>
                <w:rFonts w:hint="eastAsia" w:ascii="宋体" w:hAnsi="宋体" w:cs="宋体"/>
                <w:kern w:val="0"/>
                <w:szCs w:val="21"/>
              </w:rPr>
            </w:pPr>
            <w:r>
              <w:rPr>
                <w:rFonts w:hint="eastAsia" w:ascii="宋体" w:hAnsi="宋体" w:cs="宋体"/>
                <w:kern w:val="0"/>
                <w:szCs w:val="21"/>
              </w:rPr>
              <w:t>地点</w:t>
            </w:r>
          </w:p>
        </w:tc>
        <w:tc>
          <w:tcPr>
            <w:tcW w:w="6519" w:type="dxa"/>
            <w:vAlign w:val="center"/>
          </w:tcPr>
          <w:p w14:paraId="24C66173">
            <w:pPr>
              <w:snapToGrid w:val="0"/>
              <w:spacing w:line="400" w:lineRule="exact"/>
              <w:ind w:firstLine="420" w:firstLineChars="200"/>
              <w:rPr>
                <w:rFonts w:hint="eastAsia"/>
              </w:rPr>
            </w:pPr>
            <w:r>
              <w:rPr>
                <w:rFonts w:hint="eastAsia"/>
              </w:rPr>
              <w:t>开标时间：同投标截止时间</w:t>
            </w:r>
          </w:p>
          <w:p w14:paraId="1EA09112">
            <w:pPr>
              <w:snapToGrid w:val="0"/>
              <w:spacing w:line="400" w:lineRule="exact"/>
              <w:ind w:firstLine="420" w:firstLineChars="200"/>
              <w:rPr>
                <w:rFonts w:hint="eastAsia"/>
              </w:rPr>
            </w:pPr>
            <w:r>
              <w:rPr>
                <w:rFonts w:hint="eastAsia"/>
              </w:rPr>
              <w:t>开标地点：</w:t>
            </w:r>
            <w:r>
              <w:rPr>
                <w:rFonts w:hint="eastAsia"/>
                <w:u w:val="single"/>
              </w:rPr>
              <w:t>重庆市公共资源交易中心</w:t>
            </w:r>
            <w:r>
              <w:rPr>
                <w:rFonts w:hint="eastAsia"/>
              </w:rPr>
              <w:t>开标室（具体</w:t>
            </w:r>
            <w:r>
              <w:rPr>
                <w:rFonts w:hint="eastAsia"/>
                <w:lang w:eastAsia="zh-CN"/>
              </w:rPr>
              <w:t>请登录</w:t>
            </w:r>
            <w:r>
              <w:rPr>
                <w:rFonts w:hint="eastAsia"/>
                <w:u w:val="single"/>
              </w:rPr>
              <w:t>重庆市公共资源交易网</w:t>
            </w:r>
            <w:r>
              <w:rPr>
                <w:rFonts w:hint="eastAsia"/>
              </w:rPr>
              <w:t>查询或递交文件当日见交易中心大厅电子显示屏）。</w:t>
            </w:r>
          </w:p>
          <w:p w14:paraId="56D7ECCE">
            <w:pPr>
              <w:adjustRightInd w:val="0"/>
              <w:snapToGrid w:val="0"/>
              <w:spacing w:line="400" w:lineRule="exact"/>
              <w:ind w:firstLine="420" w:firstLineChars="200"/>
              <w:rPr>
                <w:rFonts w:hint="eastAsia"/>
              </w:rPr>
            </w:pPr>
            <w:r>
              <w:rPr>
                <w:rFonts w:hint="eastAsia"/>
              </w:rPr>
              <w:t>特别注意：1、解密投标文件需使用加密电子投标文件的CA数字证书。投标人代表可携带该CA数字证书到开标现场完成投标文件解密工作，或通过互联网使用该CA数字证书登录重庆市电子招投标系统，采用远程解密的方式在投标须知前附表规定的时间内完成投标文件解密工作。</w:t>
            </w:r>
          </w:p>
          <w:p w14:paraId="2884691A">
            <w:pPr>
              <w:adjustRightInd w:val="0"/>
              <w:snapToGrid w:val="0"/>
              <w:spacing w:line="400" w:lineRule="exact"/>
              <w:ind w:firstLine="420" w:firstLineChars="200"/>
              <w:rPr>
                <w:rFonts w:hint="eastAsia"/>
              </w:rPr>
            </w:pPr>
            <w:r>
              <w:rPr>
                <w:rFonts w:hint="eastAsia" w:ascii="宋体" w:hAnsi="宋体" w:cs="宋体"/>
                <w:kern w:val="0"/>
                <w:szCs w:val="21"/>
                <w:lang w:bidi="ar"/>
              </w:rPr>
              <w:t>2、本项目开标将采用“重庆市工程建设项目不见面开标系统”（https://bjm.jszx.cqggzy.com/BidOpeningHall/bidhall/dqcq/login，以下简称：不见面开标系统）。不出席现场开标的投标人也可登录不见面开标系统参与全过程开标活动。开标活动信息以开标现场或不见面开标系统收到并展示的信息为准。</w:t>
            </w:r>
          </w:p>
        </w:tc>
      </w:tr>
      <w:tr w14:paraId="49694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208DF96">
            <w:pPr>
              <w:snapToGrid w:val="0"/>
              <w:spacing w:line="400" w:lineRule="exact"/>
              <w:jc w:val="center"/>
              <w:rPr>
                <w:rFonts w:ascii="宋体" w:hAnsi="宋体" w:cs="宋体"/>
                <w:kern w:val="0"/>
                <w:szCs w:val="21"/>
              </w:rPr>
            </w:pPr>
            <w:r>
              <w:rPr>
                <w:rFonts w:hint="eastAsia" w:ascii="宋体" w:hAnsi="宋体" w:cs="宋体"/>
                <w:kern w:val="0"/>
                <w:szCs w:val="21"/>
              </w:rPr>
              <w:t>5.1.2</w:t>
            </w:r>
          </w:p>
        </w:tc>
        <w:tc>
          <w:tcPr>
            <w:tcW w:w="1615" w:type="dxa"/>
            <w:vAlign w:val="center"/>
          </w:tcPr>
          <w:p w14:paraId="1C3401F3">
            <w:pPr>
              <w:snapToGrid w:val="0"/>
              <w:spacing w:line="400" w:lineRule="exact"/>
              <w:jc w:val="center"/>
              <w:rPr>
                <w:rFonts w:hint="eastAsia" w:ascii="宋体" w:hAnsi="宋体" w:cs="宋体"/>
                <w:kern w:val="0"/>
                <w:szCs w:val="21"/>
              </w:rPr>
            </w:pPr>
            <w:r>
              <w:rPr>
                <w:rFonts w:hint="eastAsia" w:ascii="宋体" w:hAnsi="宋体" w:cs="宋体"/>
                <w:kern w:val="0"/>
                <w:szCs w:val="21"/>
              </w:rPr>
              <w:t>解密时间</w:t>
            </w:r>
          </w:p>
        </w:tc>
        <w:tc>
          <w:tcPr>
            <w:tcW w:w="6519" w:type="dxa"/>
            <w:vAlign w:val="center"/>
          </w:tcPr>
          <w:p w14:paraId="3B5DE355">
            <w:pPr>
              <w:snapToGrid w:val="0"/>
              <w:spacing w:line="400" w:lineRule="exact"/>
              <w:ind w:firstLine="420" w:firstLineChars="200"/>
              <w:rPr>
                <w:rFonts w:hint="eastAsia" w:ascii="宋体" w:hAnsi="宋体"/>
                <w:kern w:val="0"/>
                <w:szCs w:val="21"/>
              </w:rPr>
            </w:pPr>
            <w:r>
              <w:rPr>
                <w:rFonts w:hint="eastAsia" w:ascii="宋体" w:hAnsi="宋体"/>
                <w:kern w:val="0"/>
                <w:szCs w:val="21"/>
              </w:rPr>
              <w:t>解密时长为 30 分钟。</w:t>
            </w:r>
          </w:p>
          <w:p w14:paraId="3C42D012">
            <w:pPr>
              <w:adjustRightInd w:val="0"/>
              <w:snapToGrid w:val="0"/>
              <w:spacing w:line="400" w:lineRule="exact"/>
              <w:ind w:firstLine="420" w:firstLineChars="200"/>
              <w:rPr>
                <w:rFonts w:hint="eastAsia" w:ascii="宋体" w:hAnsi="宋体" w:cs="宋体"/>
                <w:bCs/>
                <w:szCs w:val="21"/>
              </w:rPr>
            </w:pPr>
            <w:r>
              <w:rPr>
                <w:rFonts w:hint="eastAsia" w:ascii="宋体" w:hAnsi="宋体"/>
                <w:kern w:val="0"/>
                <w:szCs w:val="21"/>
              </w:rPr>
              <w:t>特别注意：因电子招标投标系统原因影响解密时间的，招标人可根据现场实际情况</w:t>
            </w:r>
            <w:r>
              <w:rPr>
                <w:rFonts w:hint="eastAsia" w:ascii="宋体" w:hAnsi="宋体"/>
                <w:bCs/>
                <w:kern w:val="0"/>
                <w:szCs w:val="21"/>
              </w:rPr>
              <w:t>延长解密时间；</w:t>
            </w:r>
            <w:r>
              <w:rPr>
                <w:rFonts w:hint="eastAsia" w:ascii="宋体" w:hAnsi="宋体"/>
                <w:kern w:val="0"/>
                <w:szCs w:val="21"/>
              </w:rPr>
              <w:t>因投标人原因未完成解密工作的，视为撤销其投标文件，其投标保证金</w:t>
            </w:r>
            <w:r>
              <w:rPr>
                <w:rFonts w:hint="eastAsia" w:ascii="宋体" w:hAnsi="宋体" w:cs="宋体"/>
                <w:szCs w:val="21"/>
              </w:rPr>
              <w:t>以现金形式交纳的不予退还，以保函形式交纳的由保函开立人支付保函担保的与投标保证金等额的款项</w:t>
            </w:r>
            <w:r>
              <w:rPr>
                <w:rFonts w:hint="eastAsia" w:ascii="宋体" w:hAnsi="宋体"/>
                <w:kern w:val="0"/>
                <w:szCs w:val="21"/>
              </w:rPr>
              <w:t>。</w:t>
            </w:r>
          </w:p>
        </w:tc>
      </w:tr>
      <w:tr w14:paraId="4475D6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A7CF211">
            <w:pPr>
              <w:snapToGrid w:val="0"/>
              <w:spacing w:line="400" w:lineRule="exact"/>
              <w:jc w:val="center"/>
              <w:rPr>
                <w:rFonts w:hint="eastAsia" w:ascii="宋体" w:hAnsi="宋体" w:cs="宋体"/>
                <w:szCs w:val="21"/>
              </w:rPr>
            </w:pPr>
            <w:r>
              <w:rPr>
                <w:rFonts w:hint="eastAsia" w:ascii="宋体" w:hAnsi="宋体" w:cs="宋体"/>
                <w:szCs w:val="21"/>
              </w:rPr>
              <w:t>5.2</w:t>
            </w:r>
          </w:p>
        </w:tc>
        <w:tc>
          <w:tcPr>
            <w:tcW w:w="1615" w:type="dxa"/>
            <w:vAlign w:val="center"/>
          </w:tcPr>
          <w:p w14:paraId="051380CF">
            <w:pPr>
              <w:snapToGrid w:val="0"/>
              <w:spacing w:line="400" w:lineRule="exact"/>
              <w:jc w:val="center"/>
              <w:rPr>
                <w:rFonts w:hint="eastAsia" w:ascii="宋体" w:hAnsi="宋体" w:cs="宋体"/>
                <w:szCs w:val="21"/>
              </w:rPr>
            </w:pPr>
            <w:r>
              <w:rPr>
                <w:rFonts w:hint="eastAsia" w:ascii="宋体" w:hAnsi="宋体" w:cs="宋体"/>
                <w:szCs w:val="21"/>
              </w:rPr>
              <w:t>开标程序</w:t>
            </w:r>
          </w:p>
        </w:tc>
        <w:tc>
          <w:tcPr>
            <w:tcW w:w="6519" w:type="dxa"/>
            <w:vAlign w:val="center"/>
          </w:tcPr>
          <w:p w14:paraId="0C7C1E2F">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主持人按下列程序进行开标：</w:t>
            </w:r>
          </w:p>
          <w:p w14:paraId="1F36A597">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 开标时间（应与投标截止时间一致），交易系统自动提取所有在投标截止时间前成功递交的投标文件，系统自动展示投标人数量是否大于（等于）3家，经招标人或代理机构确认达到法定开标条件的，系统进入开标环节。</w:t>
            </w:r>
          </w:p>
          <w:p w14:paraId="623FC9CE">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2. 投标文件提取完成，经招标人或代理机构确认开始解密环节，系统提示投标人在招标文件规定的时间内自行解密其经加密的电子投标文件。</w:t>
            </w:r>
          </w:p>
          <w:p w14:paraId="36679A3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在规定的时间内投标人未成功解密投标文件的处理方式：①对因故不能解密的，经投标人申请，可以采取导入由相应投标人提供的不加密的电子投标文件（光盘备份）作为补救措施；②对因电子招投标系统原因造成的未解密情况，投标人又未提供不加密的电子投标文件（光盘备份）作为补救措施的，视为投标人撤回投标文件；③对因投标人原因造成的未解密情况，视为投标人撤销投标文件。</w:t>
            </w:r>
          </w:p>
          <w:p w14:paraId="4E928DAF">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3. 解密全部完成或招标文件规定的解密时间截止后，经招标人或代理机构确认，进入唱标环节。交易系统展示最终解密结果，主持人公布所有投标人名称和成功解密投标人名单，并备注投标人未成功解密投标文件的原因（若有）。</w:t>
            </w:r>
          </w:p>
          <w:p w14:paraId="15F8F37D">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 汇总投标保证金交纳情况</w:t>
            </w:r>
          </w:p>
          <w:p w14:paraId="3D78AD0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4.1 展示以电子投标保函方式递交投标保证金的情况，展示内容应至少包含投标人名称、金额、投标保函提交时间、保函有效期及是否具有不可撤销且见索即付属性等。电子投标保函应在投标截止时间前提交至指定系统，异常情况在开标记录表“异常情况”栏中记录并交由评标委员会评审。</w:t>
            </w:r>
          </w:p>
          <w:p w14:paraId="0126F1D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4.2 展示以电子转账方式递交投标保证金的情况，展示内容应至少包含投标人名称、金额、投标保证金打入指定账户的时间等，异常情况在开标记录表“异常情况”栏中记录并交由评标委员会评审。</w:t>
            </w:r>
          </w:p>
          <w:p w14:paraId="20BB71E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4.3 展示以纸质投标保函方式递交投标保证金的情况，并记录在“纸质投标保函递交情况一览表”中，异常情况在开标记录表“异常情况”栏中记录。</w:t>
            </w:r>
          </w:p>
          <w:p w14:paraId="405A78B5">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4.4 打印所有投标人的投标保证金交纳情况，并由招标人代表、监标人、记录人签名确认。</w:t>
            </w:r>
          </w:p>
          <w:p w14:paraId="73A31F18">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5. 公布最高限价，采用经评审最低投标价法的系统自动计算最高限价的85%数值，以便评标委员会评审。</w:t>
            </w:r>
          </w:p>
          <w:p w14:paraId="4157367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6. 公布投标人名称、投标报价、质量目标、工期及其他内容。</w:t>
            </w:r>
          </w:p>
          <w:p w14:paraId="1A1FCFE0">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□7. 对经招投标监督部门同意采用综合评估法的项目，需要抽取评标基准价浮动值的，在开标现场完成抽取，抽取结果记入开标记录表。相关系数抽取方式如下：</w:t>
            </w:r>
          </w:p>
          <w:p w14:paraId="15FD335A">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①</w:t>
            </w:r>
            <w:r>
              <w:rPr>
                <w:rFonts w:hint="eastAsia" w:ascii="宋体" w:hAnsi="宋体"/>
                <w:szCs w:val="21"/>
                <w:u w:val="single"/>
              </w:rPr>
              <w:t xml:space="preserve">                         </w:t>
            </w:r>
            <w:r>
              <w:rPr>
                <w:rFonts w:hint="eastAsia" w:ascii="宋体" w:hAnsi="宋体"/>
                <w:szCs w:val="21"/>
              </w:rPr>
              <w:t>。</w:t>
            </w:r>
          </w:p>
          <w:p w14:paraId="228BA127">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②</w:t>
            </w:r>
            <w:r>
              <w:rPr>
                <w:rFonts w:hint="eastAsia" w:ascii="宋体" w:hAnsi="宋体"/>
                <w:szCs w:val="21"/>
                <w:u w:val="single"/>
              </w:rPr>
              <w:t xml:space="preserve">                         </w:t>
            </w:r>
            <w:r>
              <w:rPr>
                <w:rFonts w:hint="eastAsia" w:ascii="宋体" w:hAnsi="宋体"/>
                <w:szCs w:val="21"/>
              </w:rPr>
              <w:t>。</w:t>
            </w:r>
          </w:p>
          <w:p w14:paraId="7910071B">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③……</w:t>
            </w:r>
          </w:p>
          <w:p w14:paraId="376AF62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8.在重庆市工程建设领域招标投标信用平台上查询、公布所有投标人（含联合体成员单位）信用状况（若遇特殊情况，可在开标现场或开标当日，采用人工方式在“重庆市公共资源交易监督网”的“信用信息”栏目查询、核实），汇总并打印所有投标人的信用查询结果，并由招标人代表、监标人、记录人签名确认。</w:t>
            </w:r>
          </w:p>
          <w:p w14:paraId="2DF1E9C3">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9.投标人对开标有异议的，应当场或在线提出，由招标人或代理机构当场或在线答复，并记录到开标记录表中。异议处理完毕后，汇总开标情况，打印开标记录表。</w:t>
            </w:r>
          </w:p>
          <w:p w14:paraId="5449BE89">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10. 投标人代表、招标人代表、监标人、主持人、记录人等有关人员在开标记录上签名确认。因其他原因未能签名的，视为默认开标结果。</w:t>
            </w:r>
          </w:p>
          <w:p w14:paraId="265DE4A6">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纸质投标保函原件、投标保证金缴纳情况表、开标记录表、投标人信用情况汇总表一并交由评标委员会评审。</w:t>
            </w:r>
          </w:p>
          <w:p w14:paraId="43863898">
            <w:pPr>
              <w:autoSpaceDE w:val="0"/>
              <w:autoSpaceDN w:val="0"/>
              <w:adjustRightInd w:val="0"/>
              <w:snapToGrid w:val="0"/>
              <w:spacing w:line="400" w:lineRule="exact"/>
              <w:ind w:firstLine="420" w:firstLineChars="200"/>
              <w:rPr>
                <w:rFonts w:hint="eastAsia" w:ascii="宋体" w:hAnsi="宋体" w:cs="宋体"/>
                <w:szCs w:val="21"/>
              </w:rPr>
            </w:pPr>
            <w:r>
              <w:rPr>
                <w:rFonts w:hint="eastAsia" w:ascii="宋体" w:hAnsi="宋体"/>
                <w:szCs w:val="21"/>
              </w:rPr>
              <w:t>11.主持人宣布开标结束。</w:t>
            </w:r>
          </w:p>
        </w:tc>
      </w:tr>
      <w:tr w14:paraId="7F301A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E0A99A3">
            <w:pPr>
              <w:snapToGrid w:val="0"/>
              <w:spacing w:line="400" w:lineRule="exact"/>
              <w:jc w:val="center"/>
              <w:rPr>
                <w:rFonts w:hint="eastAsia" w:ascii="宋体" w:hAnsi="宋体" w:cs="宋体"/>
                <w:kern w:val="0"/>
                <w:szCs w:val="21"/>
              </w:rPr>
            </w:pPr>
            <w:r>
              <w:rPr>
                <w:rFonts w:hint="eastAsia" w:ascii="宋体" w:hAnsi="宋体" w:cs="宋体"/>
                <w:kern w:val="0"/>
                <w:szCs w:val="21"/>
              </w:rPr>
              <w:t>6.1.1</w:t>
            </w:r>
          </w:p>
        </w:tc>
        <w:tc>
          <w:tcPr>
            <w:tcW w:w="1615" w:type="dxa"/>
            <w:vAlign w:val="center"/>
          </w:tcPr>
          <w:p w14:paraId="687EA639">
            <w:pPr>
              <w:snapToGrid w:val="0"/>
              <w:spacing w:line="400" w:lineRule="exact"/>
              <w:jc w:val="center"/>
              <w:rPr>
                <w:rFonts w:hint="eastAsia" w:ascii="宋体" w:hAnsi="宋体" w:cs="宋体"/>
                <w:kern w:val="0"/>
                <w:szCs w:val="21"/>
              </w:rPr>
            </w:pPr>
            <w:r>
              <w:rPr>
                <w:rFonts w:hint="eastAsia" w:ascii="宋体" w:hAnsi="宋体" w:cs="宋体"/>
                <w:kern w:val="0"/>
                <w:szCs w:val="21"/>
              </w:rPr>
              <w:t>评标委员会的组建</w:t>
            </w:r>
          </w:p>
        </w:tc>
        <w:tc>
          <w:tcPr>
            <w:tcW w:w="6519" w:type="dxa"/>
            <w:vAlign w:val="center"/>
          </w:tcPr>
          <w:p w14:paraId="0B7128BB">
            <w:pPr>
              <w:snapToGrid w:val="0"/>
              <w:spacing w:line="400" w:lineRule="exact"/>
              <w:ind w:firstLine="436" w:firstLineChars="200"/>
              <w:rPr>
                <w:rFonts w:hint="eastAsia" w:ascii="宋体" w:hAnsi="宋体" w:cs="宋体"/>
                <w:kern w:val="0"/>
                <w:szCs w:val="21"/>
              </w:rPr>
            </w:pPr>
            <w:r>
              <w:rPr>
                <w:rFonts w:hint="eastAsia" w:ascii="宋体" w:hAnsi="宋体" w:cs="宋体"/>
                <w:spacing w:val="4"/>
                <w:kern w:val="0"/>
                <w:szCs w:val="21"/>
              </w:rPr>
              <w:t>由招标人按法律法规及相关规定依法组建评标委员会</w:t>
            </w:r>
            <w:r>
              <w:rPr>
                <w:rFonts w:hint="eastAsia" w:ascii="宋体" w:hAnsi="宋体" w:cs="宋体"/>
                <w:kern w:val="0"/>
                <w:szCs w:val="21"/>
              </w:rPr>
              <w:t>。</w:t>
            </w:r>
          </w:p>
        </w:tc>
      </w:tr>
      <w:tr w14:paraId="2EB1F8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DD320CC">
            <w:pPr>
              <w:snapToGrid w:val="0"/>
              <w:spacing w:line="400" w:lineRule="exact"/>
              <w:jc w:val="center"/>
              <w:rPr>
                <w:rFonts w:hint="eastAsia" w:ascii="宋体" w:hAnsi="宋体" w:cs="宋体"/>
                <w:kern w:val="0"/>
                <w:szCs w:val="21"/>
              </w:rPr>
            </w:pPr>
            <w:r>
              <w:rPr>
                <w:rFonts w:hint="eastAsia" w:ascii="宋体" w:hAnsi="宋体" w:cs="宋体"/>
                <w:kern w:val="0"/>
                <w:szCs w:val="21"/>
              </w:rPr>
              <w:t>6.3.2</w:t>
            </w:r>
          </w:p>
        </w:tc>
        <w:tc>
          <w:tcPr>
            <w:tcW w:w="1615" w:type="dxa"/>
            <w:vAlign w:val="center"/>
          </w:tcPr>
          <w:p w14:paraId="649722CA">
            <w:pPr>
              <w:widowControl/>
              <w:spacing w:line="400" w:lineRule="exact"/>
              <w:jc w:val="center"/>
              <w:rPr>
                <w:rFonts w:hint="eastAsia" w:ascii="宋体" w:hAnsi="宋体" w:cs="宋体"/>
                <w:kern w:val="0"/>
                <w:szCs w:val="21"/>
              </w:rPr>
            </w:pPr>
            <w:r>
              <w:rPr>
                <w:rFonts w:hint="eastAsia" w:ascii="宋体" w:hAnsi="宋体" w:cs="宋体"/>
                <w:kern w:val="0"/>
                <w:szCs w:val="21"/>
                <w:lang w:bidi="ar"/>
              </w:rPr>
              <w:t>评标委员会推荐中标候选人的</w:t>
            </w:r>
            <w:r>
              <w:rPr>
                <w:rFonts w:hint="eastAsia" w:ascii="宋体" w:hAnsi="宋体" w:cs="宋体"/>
                <w:kern w:val="0"/>
                <w:szCs w:val="21"/>
              </w:rPr>
              <w:t>人数</w:t>
            </w:r>
          </w:p>
        </w:tc>
        <w:tc>
          <w:tcPr>
            <w:tcW w:w="6519" w:type="dxa"/>
            <w:vAlign w:val="center"/>
          </w:tcPr>
          <w:p w14:paraId="650D04DA">
            <w:pPr>
              <w:snapToGrid w:val="0"/>
              <w:spacing w:line="400" w:lineRule="exact"/>
              <w:ind w:firstLine="420" w:firstLineChars="200"/>
              <w:rPr>
                <w:rFonts w:hint="eastAsia" w:ascii="宋体" w:hAnsi="宋体" w:cs="宋体"/>
                <w:kern w:val="0"/>
                <w:szCs w:val="21"/>
              </w:rPr>
            </w:pPr>
            <w:r>
              <w:rPr>
                <w:rFonts w:hint="eastAsia"/>
              </w:rPr>
              <w:t>□</w:t>
            </w:r>
            <w:r>
              <w:rPr>
                <w:rFonts w:hint="eastAsia" w:ascii="宋体" w:hAnsi="宋体" w:cs="宋体"/>
                <w:kern w:val="0"/>
                <w:szCs w:val="21"/>
              </w:rPr>
              <w:t>推荐经评审合格的报价由低到高排名前</w:t>
            </w:r>
            <w:r>
              <w:rPr>
                <w:rFonts w:hint="eastAsia" w:ascii="宋体" w:hAnsi="宋体" w:cs="宋体"/>
                <w:kern w:val="0"/>
                <w:szCs w:val="21"/>
                <w:u w:val="single"/>
              </w:rPr>
              <w:t xml:space="preserve">  </w:t>
            </w:r>
            <w:r>
              <w:rPr>
                <w:rFonts w:hint="eastAsia" w:ascii="宋体" w:hAnsi="宋体" w:cs="宋体"/>
                <w:kern w:val="0"/>
                <w:szCs w:val="21"/>
              </w:rPr>
              <w:t>名为中标候选人</w:t>
            </w:r>
            <w:r>
              <w:rPr>
                <w:rFonts w:hint="eastAsia"/>
              </w:rPr>
              <w:t>，若有效投标人少于</w:t>
            </w:r>
            <w:r>
              <w:rPr>
                <w:rFonts w:hint="eastAsia"/>
                <w:u w:val="single"/>
              </w:rPr>
              <w:t xml:space="preserve">  </w:t>
            </w:r>
            <w:r>
              <w:rPr>
                <w:rFonts w:hint="eastAsia"/>
              </w:rPr>
              <w:t>个的则按实际数量推荐。</w:t>
            </w:r>
          </w:p>
          <w:p w14:paraId="571A3D6C">
            <w:pPr>
              <w:snapToGrid w:val="0"/>
              <w:spacing w:line="400" w:lineRule="exact"/>
              <w:ind w:firstLine="420" w:firstLineChars="200"/>
              <w:rPr>
                <w:rFonts w:hint="eastAsia" w:ascii="宋体" w:hAnsi="宋体" w:cs="宋体"/>
                <w:kern w:val="0"/>
                <w:szCs w:val="21"/>
              </w:rPr>
            </w:pPr>
            <w:r>
              <w:rPr>
                <w:rFonts w:hint="eastAsia"/>
              </w:rPr>
              <w:t>□</w:t>
            </w:r>
            <w:r>
              <w:rPr>
                <w:rFonts w:hint="eastAsia" w:ascii="宋体" w:hAnsi="宋体" w:cs="宋体"/>
                <w:kern w:val="0"/>
                <w:szCs w:val="21"/>
              </w:rPr>
              <w:t>推荐经评审综合得分由高到低排名前</w:t>
            </w:r>
            <w:r>
              <w:rPr>
                <w:rFonts w:hint="eastAsia" w:ascii="宋体" w:hAnsi="宋体" w:cs="宋体"/>
                <w:kern w:val="0"/>
                <w:szCs w:val="21"/>
                <w:u w:val="single"/>
              </w:rPr>
              <w:t xml:space="preserve">  </w:t>
            </w:r>
            <w:r>
              <w:rPr>
                <w:rFonts w:hint="eastAsia" w:ascii="宋体" w:hAnsi="宋体" w:cs="宋体"/>
                <w:kern w:val="0"/>
                <w:szCs w:val="21"/>
              </w:rPr>
              <w:t>名为中标候选人</w:t>
            </w:r>
            <w:r>
              <w:rPr>
                <w:rFonts w:hint="eastAsia"/>
              </w:rPr>
              <w:t>，若有效投标人少于</w:t>
            </w:r>
            <w:r>
              <w:rPr>
                <w:rFonts w:hint="eastAsia"/>
                <w:u w:val="single"/>
              </w:rPr>
              <w:t xml:space="preserve">  </w:t>
            </w:r>
            <w:r>
              <w:rPr>
                <w:rFonts w:hint="eastAsia"/>
              </w:rPr>
              <w:t>个的则按实际数量推荐。</w:t>
            </w:r>
          </w:p>
          <w:p w14:paraId="5B4732A0">
            <w:pPr>
              <w:tabs>
                <w:tab w:val="left" w:pos="334"/>
              </w:tabs>
              <w:snapToGrid w:val="0"/>
              <w:spacing w:line="400" w:lineRule="exact"/>
              <w:ind w:firstLine="420" w:firstLineChars="200"/>
              <w:rPr>
                <w:rFonts w:hint="eastAsia" w:ascii="宋体" w:hAnsi="宋体" w:cs="宋体"/>
                <w:spacing w:val="4"/>
                <w:kern w:val="0"/>
                <w:szCs w:val="21"/>
              </w:rPr>
            </w:pPr>
            <w:r>
              <w:rPr>
                <w:rFonts w:hint="eastAsia"/>
                <w:i/>
                <w:iCs/>
              </w:rPr>
              <w:t>[提示：中标候选人应当不超过3个，招标人根据实际需要设置中标候选人具体数量。]</w:t>
            </w:r>
          </w:p>
        </w:tc>
      </w:tr>
      <w:tr w14:paraId="6F2763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DD8287">
            <w:pPr>
              <w:snapToGrid w:val="0"/>
              <w:spacing w:line="400" w:lineRule="exact"/>
              <w:jc w:val="center"/>
              <w:rPr>
                <w:rFonts w:hint="eastAsia" w:ascii="宋体" w:hAnsi="宋体" w:cs="宋体"/>
                <w:kern w:val="0"/>
                <w:szCs w:val="21"/>
              </w:rPr>
            </w:pPr>
            <w:r>
              <w:rPr>
                <w:rFonts w:hint="eastAsia" w:ascii="宋体" w:hAnsi="宋体" w:cs="宋体"/>
                <w:kern w:val="0"/>
                <w:szCs w:val="21"/>
              </w:rPr>
              <w:t>7.1</w:t>
            </w:r>
          </w:p>
        </w:tc>
        <w:tc>
          <w:tcPr>
            <w:tcW w:w="1615" w:type="dxa"/>
            <w:vAlign w:val="center"/>
          </w:tcPr>
          <w:p w14:paraId="39D19EA8">
            <w:pPr>
              <w:widowControl/>
              <w:spacing w:line="400" w:lineRule="exact"/>
              <w:jc w:val="center"/>
              <w:rPr>
                <w:rFonts w:hint="eastAsia" w:ascii="宋体" w:hAnsi="宋体" w:cs="宋体"/>
                <w:kern w:val="0"/>
                <w:szCs w:val="21"/>
                <w:lang w:bidi="ar"/>
              </w:rPr>
            </w:pPr>
            <w:r>
              <w:rPr>
                <w:rFonts w:hint="eastAsia" w:ascii="宋体" w:hAnsi="宋体" w:cs="宋体"/>
                <w:kern w:val="0"/>
                <w:szCs w:val="21"/>
                <w:lang w:bidi="ar"/>
              </w:rPr>
              <w:t>中标候选人公示</w:t>
            </w:r>
          </w:p>
        </w:tc>
        <w:tc>
          <w:tcPr>
            <w:tcW w:w="6519" w:type="dxa"/>
            <w:vAlign w:val="center"/>
          </w:tcPr>
          <w:p w14:paraId="1A9789DE">
            <w:pPr>
              <w:snapToGrid w:val="0"/>
              <w:spacing w:line="400" w:lineRule="exact"/>
              <w:ind w:firstLine="420" w:firstLineChars="200"/>
              <w:rPr>
                <w:rFonts w:hint="eastAsia" w:ascii="宋体" w:hAnsi="宋体" w:cs="宋体"/>
                <w:spacing w:val="4"/>
                <w:kern w:val="0"/>
                <w:szCs w:val="21"/>
              </w:rPr>
            </w:pPr>
            <w:r>
              <w:rPr>
                <w:rFonts w:hint="eastAsia" w:ascii="宋体" w:hAnsi="宋体" w:cs="宋体"/>
                <w:szCs w:val="21"/>
              </w:rPr>
              <w:t>招标人在收到评标报告后3日内将评标结果在</w:t>
            </w:r>
            <w:r>
              <w:rPr>
                <w:rFonts w:hint="eastAsia" w:ascii="宋体" w:hAnsi="宋体" w:cs="宋体"/>
                <w:szCs w:val="21"/>
                <w:u w:val="single"/>
              </w:rPr>
              <w:t xml:space="preserve">    （相应网站）  </w:t>
            </w:r>
            <w:r>
              <w:rPr>
                <w:rFonts w:hint="eastAsia" w:ascii="宋体" w:hAnsi="宋体" w:cs="宋体"/>
                <w:szCs w:val="21"/>
              </w:rPr>
              <w:t>上进行公示，公示期不少于3日。为深化信息公开，接受社会监督，本项目将按照《招标公告和公示信息发布管理办法》（国家发改委令第10号）的要求，公示内容包括中标候选人名称、排序、投标报价、质量、工期；中标候选人资质、投标业绩名称，中标候选人项目经理、项目总工、设计负责人（如有）的姓名及其相关证书名称和编号、投标业绩名称；未递交投标保证金且提交了《中小微企业声明函》的中标候选人名单；否决投标情况及理由；提出异议、投诉的渠道和方式。</w:t>
            </w:r>
          </w:p>
        </w:tc>
      </w:tr>
      <w:tr w14:paraId="14C918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0E13A57">
            <w:pPr>
              <w:snapToGrid w:val="0"/>
              <w:spacing w:line="400" w:lineRule="exact"/>
              <w:jc w:val="center"/>
              <w:rPr>
                <w:rFonts w:hint="eastAsia" w:ascii="宋体" w:hAnsi="宋体" w:cs="宋体"/>
                <w:kern w:val="0"/>
                <w:szCs w:val="21"/>
              </w:rPr>
            </w:pPr>
            <w:r>
              <w:rPr>
                <w:rFonts w:hint="eastAsia" w:ascii="宋体" w:hAnsi="宋体" w:cs="宋体"/>
                <w:kern w:val="0"/>
                <w:szCs w:val="21"/>
              </w:rPr>
              <w:t>7.4</w:t>
            </w:r>
          </w:p>
        </w:tc>
        <w:tc>
          <w:tcPr>
            <w:tcW w:w="1615" w:type="dxa"/>
            <w:vAlign w:val="center"/>
          </w:tcPr>
          <w:p w14:paraId="1AD6506E">
            <w:pPr>
              <w:snapToGrid w:val="0"/>
              <w:spacing w:line="400" w:lineRule="exact"/>
              <w:jc w:val="center"/>
              <w:rPr>
                <w:rFonts w:hint="eastAsia" w:ascii="宋体" w:hAnsi="宋体" w:cs="宋体"/>
                <w:kern w:val="0"/>
                <w:szCs w:val="21"/>
              </w:rPr>
            </w:pPr>
            <w:r>
              <w:rPr>
                <w:rFonts w:hint="eastAsia" w:ascii="宋体" w:hAnsi="宋体" w:cs="宋体"/>
                <w:kern w:val="0"/>
                <w:szCs w:val="21"/>
              </w:rPr>
              <w:t>是否授权评标委员会确定中标人</w:t>
            </w:r>
          </w:p>
        </w:tc>
        <w:tc>
          <w:tcPr>
            <w:tcW w:w="6519" w:type="dxa"/>
            <w:vAlign w:val="center"/>
          </w:tcPr>
          <w:p w14:paraId="06853344">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□是</w:t>
            </w:r>
          </w:p>
          <w:p w14:paraId="31BA849E">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□否</w:t>
            </w:r>
          </w:p>
        </w:tc>
      </w:tr>
      <w:tr w14:paraId="0FCC76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9C43DE7">
            <w:pPr>
              <w:snapToGrid w:val="0"/>
              <w:spacing w:line="400" w:lineRule="exact"/>
              <w:jc w:val="center"/>
              <w:rPr>
                <w:rFonts w:hint="eastAsia" w:ascii="宋体" w:hAnsi="宋体" w:cs="宋体"/>
                <w:kern w:val="0"/>
                <w:szCs w:val="21"/>
              </w:rPr>
            </w:pPr>
            <w:r>
              <w:rPr>
                <w:rFonts w:hint="eastAsia" w:ascii="宋体" w:hAnsi="宋体" w:cs="宋体"/>
                <w:kern w:val="0"/>
                <w:szCs w:val="21"/>
              </w:rPr>
              <w:t>7.5</w:t>
            </w:r>
          </w:p>
        </w:tc>
        <w:tc>
          <w:tcPr>
            <w:tcW w:w="1615" w:type="dxa"/>
            <w:vAlign w:val="center"/>
          </w:tcPr>
          <w:p w14:paraId="1E3E0A11">
            <w:pPr>
              <w:widowControl/>
              <w:spacing w:line="400" w:lineRule="exact"/>
              <w:jc w:val="center"/>
              <w:rPr>
                <w:rFonts w:hint="eastAsia" w:ascii="宋体" w:hAnsi="宋体" w:cs="宋体"/>
                <w:kern w:val="0"/>
                <w:szCs w:val="21"/>
              </w:rPr>
            </w:pPr>
            <w:r>
              <w:rPr>
                <w:rFonts w:hint="eastAsia" w:ascii="宋体" w:hAnsi="宋体" w:cs="宋体"/>
                <w:kern w:val="0"/>
                <w:szCs w:val="21"/>
                <w:lang w:bidi="ar"/>
              </w:rPr>
              <w:t>中标通知书和中标结果通知发出的形式</w:t>
            </w:r>
          </w:p>
        </w:tc>
        <w:tc>
          <w:tcPr>
            <w:tcW w:w="6519" w:type="dxa"/>
            <w:vAlign w:val="center"/>
          </w:tcPr>
          <w:p w14:paraId="425A8100">
            <w:pPr>
              <w:snapToGrid w:val="0"/>
              <w:spacing w:line="400" w:lineRule="exact"/>
              <w:ind w:firstLine="420" w:firstLineChars="200"/>
              <w:rPr>
                <w:rFonts w:ascii="宋体" w:hAnsi="宋体" w:cs="宋体"/>
                <w:szCs w:val="21"/>
              </w:rPr>
            </w:pPr>
            <w:r>
              <w:rPr>
                <w:rFonts w:hint="eastAsia" w:ascii="宋体" w:hAnsi="宋体"/>
                <w:snapToGrid w:val="0"/>
                <w:kern w:val="0"/>
                <w:szCs w:val="21"/>
              </w:rPr>
              <w:t>中标公示期间无异议、投诉的，招标人在中标候选人公示期结束3日内确定中标人并通过重庆市电子招投标系统向中标人</w:t>
            </w:r>
            <w:r>
              <w:rPr>
                <w:rFonts w:hint="eastAsia" w:ascii="宋体" w:hAnsi="宋体" w:cs="宋体"/>
                <w:szCs w:val="21"/>
              </w:rPr>
              <w:t>发出中标通知书，向未被否决投标但未中标的投标人发出中标结果通知，告知其未中标原因。投标人收到中标通知书或中标结果通知时间以系统推送到达投标人时间为准，</w:t>
            </w:r>
            <w:r>
              <w:rPr>
                <w:rFonts w:hint="eastAsia"/>
                <w:szCs w:val="21"/>
              </w:rPr>
              <w:t>招标人相关人员推送后应通过电话确认投标人已接收。</w:t>
            </w:r>
          </w:p>
        </w:tc>
      </w:tr>
      <w:tr w14:paraId="162252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8E2B9E8">
            <w:pPr>
              <w:snapToGrid w:val="0"/>
              <w:spacing w:line="400" w:lineRule="exact"/>
              <w:jc w:val="center"/>
              <w:rPr>
                <w:rFonts w:hint="eastAsia" w:ascii="宋体" w:hAnsi="宋体" w:cs="宋体"/>
                <w:kern w:val="0"/>
                <w:szCs w:val="21"/>
              </w:rPr>
            </w:pPr>
            <w:r>
              <w:rPr>
                <w:rFonts w:hint="eastAsia" w:ascii="宋体" w:hAnsi="宋体" w:cs="宋体"/>
                <w:kern w:val="0"/>
                <w:szCs w:val="21"/>
              </w:rPr>
              <w:t>7.6</w:t>
            </w:r>
          </w:p>
        </w:tc>
        <w:tc>
          <w:tcPr>
            <w:tcW w:w="1615" w:type="dxa"/>
            <w:vAlign w:val="center"/>
          </w:tcPr>
          <w:p w14:paraId="6EEB945E">
            <w:pPr>
              <w:widowControl/>
              <w:spacing w:line="400" w:lineRule="exact"/>
              <w:jc w:val="center"/>
              <w:rPr>
                <w:rFonts w:hint="eastAsia" w:ascii="宋体" w:hAnsi="宋体" w:cs="宋体"/>
                <w:kern w:val="0"/>
                <w:szCs w:val="21"/>
                <w:lang w:bidi="ar"/>
              </w:rPr>
            </w:pPr>
            <w:r>
              <w:rPr>
                <w:rFonts w:hint="eastAsia" w:ascii="宋体" w:hAnsi="宋体" w:cs="宋体"/>
                <w:kern w:val="0"/>
                <w:szCs w:val="21"/>
                <w:lang w:bidi="ar"/>
              </w:rPr>
              <w:t>中标结果公告媒介</w:t>
            </w:r>
          </w:p>
        </w:tc>
        <w:tc>
          <w:tcPr>
            <w:tcW w:w="6519" w:type="dxa"/>
            <w:vAlign w:val="center"/>
          </w:tcPr>
          <w:p w14:paraId="533779F2">
            <w:pPr>
              <w:widowControl/>
              <w:spacing w:line="400" w:lineRule="exact"/>
              <w:ind w:firstLine="420" w:firstLineChars="200"/>
              <w:jc w:val="left"/>
              <w:rPr>
                <w:rFonts w:ascii="宋体" w:hAnsi="宋体" w:cs="宋体"/>
                <w:szCs w:val="21"/>
              </w:rPr>
            </w:pPr>
            <w:r>
              <w:rPr>
                <w:rFonts w:hint="eastAsia" w:ascii="宋体" w:hAnsi="宋体" w:cs="宋体"/>
                <w:szCs w:val="21"/>
              </w:rPr>
              <w:t>招标人将中标结果在</w:t>
            </w:r>
            <w:r>
              <w:rPr>
                <w:rFonts w:hint="eastAsia" w:ascii="宋体" w:hAnsi="宋体" w:cs="宋体"/>
                <w:szCs w:val="21"/>
                <w:u w:val="single"/>
              </w:rPr>
              <w:t xml:space="preserve"> （相应网站）</w:t>
            </w:r>
            <w:r>
              <w:rPr>
                <w:rFonts w:hint="eastAsia" w:ascii="宋体" w:hAnsi="宋体" w:cs="宋体"/>
                <w:szCs w:val="21"/>
              </w:rPr>
              <w:t>上进行公告。</w:t>
            </w:r>
          </w:p>
        </w:tc>
      </w:tr>
      <w:tr w14:paraId="5B3D1C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5C0603">
            <w:pPr>
              <w:snapToGrid w:val="0"/>
              <w:spacing w:line="400" w:lineRule="exact"/>
              <w:jc w:val="center"/>
              <w:rPr>
                <w:rFonts w:hint="eastAsia" w:ascii="宋体" w:hAnsi="宋体" w:cs="宋体"/>
                <w:kern w:val="0"/>
                <w:szCs w:val="21"/>
              </w:rPr>
            </w:pPr>
            <w:r>
              <w:rPr>
                <w:rFonts w:hint="eastAsia" w:ascii="宋体" w:hAnsi="宋体" w:cs="宋体"/>
                <w:kern w:val="0"/>
                <w:szCs w:val="21"/>
              </w:rPr>
              <w:t>7.7.1</w:t>
            </w:r>
          </w:p>
        </w:tc>
        <w:tc>
          <w:tcPr>
            <w:tcW w:w="1615" w:type="dxa"/>
            <w:vAlign w:val="center"/>
          </w:tcPr>
          <w:p w14:paraId="0C221BC4">
            <w:pPr>
              <w:snapToGrid w:val="0"/>
              <w:spacing w:line="400" w:lineRule="exact"/>
              <w:jc w:val="center"/>
              <w:rPr>
                <w:rFonts w:hint="eastAsia" w:ascii="宋体" w:hAnsi="宋体" w:cs="宋体"/>
                <w:kern w:val="0"/>
                <w:szCs w:val="21"/>
              </w:rPr>
            </w:pPr>
            <w:r>
              <w:rPr>
                <w:rFonts w:hint="eastAsia" w:ascii="宋体" w:hAnsi="宋体" w:cs="宋体"/>
                <w:kern w:val="0"/>
                <w:szCs w:val="21"/>
              </w:rPr>
              <w:t>履约保证金</w:t>
            </w:r>
          </w:p>
        </w:tc>
        <w:tc>
          <w:tcPr>
            <w:tcW w:w="6519" w:type="dxa"/>
            <w:vAlign w:val="center"/>
          </w:tcPr>
          <w:p w14:paraId="223BA8FD">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1、中标人是否提供履约保证金：</w:t>
            </w:r>
            <w:r>
              <w:rPr>
                <w:rFonts w:hint="eastAsia" w:ascii="宋体" w:hAnsi="宋体" w:cs="宋体"/>
                <w:kern w:val="0"/>
                <w:szCs w:val="21"/>
                <w:u w:val="single"/>
              </w:rPr>
              <w:t>提供</w:t>
            </w:r>
            <w:r>
              <w:rPr>
                <w:rFonts w:hint="eastAsia" w:ascii="宋体" w:hAnsi="宋体" w:cs="宋体"/>
                <w:kern w:val="0"/>
                <w:szCs w:val="21"/>
              </w:rPr>
              <w:t>。</w:t>
            </w:r>
            <w:r>
              <w:rPr>
                <w:rFonts w:hint="eastAsia" w:ascii="宋体" w:hAnsi="宋体"/>
                <w:i/>
                <w:kern w:val="0"/>
                <w:szCs w:val="21"/>
              </w:rPr>
              <w:t>[提示：招标人要求中标人提供履约保证金的，应向中标人提供相应的支付担保。]</w:t>
            </w:r>
          </w:p>
          <w:p w14:paraId="1751F572">
            <w:pPr>
              <w:snapToGrid w:val="0"/>
              <w:spacing w:line="400" w:lineRule="exact"/>
              <w:ind w:firstLine="420" w:firstLineChars="200"/>
              <w:rPr>
                <w:rFonts w:hint="eastAsia" w:ascii="宋体" w:hAnsi="宋体" w:cs="宋体"/>
                <w:kern w:val="0"/>
                <w:szCs w:val="21"/>
              </w:rPr>
            </w:pPr>
            <w:r>
              <w:rPr>
                <w:rFonts w:hint="eastAsia"/>
              </w:rPr>
              <w:t>□联合体投标的</w:t>
            </w:r>
            <w:r>
              <w:rPr>
                <w:rFonts w:hint="eastAsia" w:ascii="宋体" w:hAnsi="宋体" w:cs="宋体"/>
                <w:kern w:val="0"/>
                <w:szCs w:val="21"/>
              </w:rPr>
              <w:t>，由联合体牵头人或按照联合体协议的约定提交履约保证金。</w:t>
            </w:r>
          </w:p>
          <w:p w14:paraId="796773A7">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2、中标人提供履约保证金的形式、金额及期限：</w:t>
            </w:r>
          </w:p>
          <w:p w14:paraId="05428961">
            <w:pPr>
              <w:snapToGrid w:val="0"/>
              <w:spacing w:line="400" w:lineRule="exact"/>
              <w:ind w:firstLine="420" w:firstLineChars="200"/>
              <w:rPr>
                <w:rFonts w:hint="eastAsia" w:ascii="宋体" w:hAnsi="宋体" w:cs="宋体"/>
                <w:kern w:val="0"/>
                <w:szCs w:val="21"/>
                <w:u w:val="single"/>
              </w:rPr>
            </w:pPr>
            <w:r>
              <w:rPr>
                <w:rFonts w:hint="eastAsia" w:ascii="宋体" w:hAnsi="宋体" w:cs="宋体"/>
                <w:kern w:val="0"/>
                <w:szCs w:val="21"/>
              </w:rPr>
              <w:t>（1）履约保证金的形式：现金或履约保函或现金+履约保函的组合，履约保函包括银行保函、保证保险和担保保函，其示范文本详见第四章合同条款及格式附件。中标人提交的履约保函应严格执行其示范文本，不得对示范文本中的实质性内容进行修改。</w:t>
            </w:r>
          </w:p>
          <w:p w14:paraId="3F187BD0">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中标人应选择在渝依法设立总部或者设有分支机构的金融机构开具履约保函（包括纸质保函或电子保函）。履约保函为纸质保函的，中标人应提供该纸质保函在重庆市辖区范围内的核验地址和核验方式，并确保该纸质保函能在开立人在渝的总部或者分支机构进行核验。中标人对所提交的履约保函的真实性、合法性、有效性负责。</w:t>
            </w:r>
          </w:p>
          <w:p w14:paraId="5B67B5F9">
            <w:pPr>
              <w:snapToGrid w:val="0"/>
              <w:spacing w:line="400" w:lineRule="exact"/>
              <w:ind w:firstLine="420" w:firstLineChars="200"/>
              <w:rPr>
                <w:rFonts w:hint="eastAsia" w:ascii="宋体" w:hAnsi="宋体"/>
                <w:kern w:val="0"/>
                <w:szCs w:val="21"/>
              </w:rPr>
            </w:pPr>
            <w:r>
              <w:rPr>
                <w:rFonts w:hint="eastAsia" w:ascii="宋体" w:hAnsi="宋体" w:cs="宋体"/>
                <w:kern w:val="0"/>
                <w:szCs w:val="21"/>
              </w:rPr>
              <w:t>（3）履约保证金的金额：</w:t>
            </w:r>
            <w:r>
              <w:rPr>
                <w:rFonts w:hint="eastAsia" w:ascii="宋体" w:hAnsi="宋体" w:cs="宋体"/>
                <w:kern w:val="0"/>
                <w:szCs w:val="21"/>
                <w:u w:val="single"/>
              </w:rPr>
              <w:t xml:space="preserve">                  </w:t>
            </w:r>
            <w:r>
              <w:rPr>
                <w:rFonts w:hint="eastAsia" w:ascii="宋体" w:hAnsi="宋体"/>
                <w:kern w:val="0"/>
                <w:szCs w:val="21"/>
              </w:rPr>
              <w:t>。</w:t>
            </w:r>
            <w:r>
              <w:rPr>
                <w:rFonts w:hint="eastAsia" w:ascii="宋体" w:hAnsi="宋体"/>
                <w:i/>
                <w:iCs/>
                <w:kern w:val="0"/>
                <w:szCs w:val="21"/>
              </w:rPr>
              <w:t>[提示：不超过中标合同金额的</w:t>
            </w:r>
            <w:r>
              <w:rPr>
                <w:rFonts w:hint="eastAsia" w:ascii="宋体" w:hAnsi="宋体"/>
                <w:i/>
                <w:iCs/>
                <w:kern w:val="0"/>
                <w:szCs w:val="21"/>
                <w:lang w:val="en-US" w:eastAsia="zh-CN"/>
              </w:rPr>
              <w:t>5</w:t>
            </w:r>
            <w:r>
              <w:rPr>
                <w:rFonts w:hint="eastAsia" w:ascii="宋体" w:hAnsi="宋体"/>
                <w:i/>
                <w:iCs/>
                <w:kern w:val="0"/>
                <w:szCs w:val="21"/>
              </w:rPr>
              <w:t>%。]</w:t>
            </w:r>
          </w:p>
          <w:p w14:paraId="36D43ABB">
            <w:pPr>
              <w:snapToGrid w:val="0"/>
              <w:spacing w:line="400" w:lineRule="exact"/>
              <w:ind w:firstLine="420" w:firstLineChars="200"/>
              <w:rPr>
                <w:rFonts w:hint="eastAsia"/>
                <w:lang w:eastAsia="zh-CN"/>
              </w:rPr>
            </w:pPr>
            <w:r>
              <w:rPr>
                <w:rFonts w:hint="eastAsia" w:ascii="宋体" w:hAnsi="宋体"/>
                <w:kern w:val="0"/>
                <w:szCs w:val="21"/>
              </w:rPr>
              <w:t>①红名单优惠：红名单中的中标人履约保证金金额为应缴纳金额的</w:t>
            </w:r>
            <w:r>
              <w:rPr>
                <w:rFonts w:hint="eastAsia"/>
                <w:u w:val="single"/>
              </w:rPr>
              <w:t xml:space="preserve">      </w:t>
            </w:r>
            <w:r>
              <w:rPr>
                <w:rFonts w:hint="eastAsia"/>
              </w:rPr>
              <w:t>（50%～80%）</w:t>
            </w:r>
            <w:r>
              <w:rPr>
                <w:rFonts w:hint="eastAsia"/>
                <w:lang w:eastAsia="zh-CN"/>
              </w:rPr>
              <w:t>。</w:t>
            </w:r>
          </w:p>
          <w:p w14:paraId="39C35426">
            <w:pPr>
              <w:snapToGrid w:val="0"/>
              <w:spacing w:line="400" w:lineRule="exact"/>
              <w:ind w:firstLine="420" w:firstLineChars="200"/>
              <w:rPr>
                <w:rFonts w:hint="eastAsia"/>
              </w:rPr>
            </w:pPr>
            <w:r>
              <w:rPr>
                <w:rFonts w:hint="eastAsia"/>
              </w:rPr>
              <w:t>②红名单认定标准：</w:t>
            </w:r>
          </w:p>
          <w:p w14:paraId="015C6757">
            <w:pPr>
              <w:snapToGrid w:val="0"/>
              <w:spacing w:line="400" w:lineRule="exact"/>
              <w:ind w:firstLine="420" w:firstLineChars="200"/>
              <w:rPr>
                <w:rFonts w:hint="eastAsia" w:ascii="宋体" w:hAnsi="宋体"/>
                <w:kern w:val="0"/>
                <w:szCs w:val="21"/>
              </w:rPr>
            </w:pPr>
            <w:r>
              <w:rPr>
                <w:rFonts w:hint="eastAsia"/>
              </w:rPr>
              <w:t>□方式一：非联合体中标的，须中标人所属红名单类别包含在招标范围内</w:t>
            </w:r>
            <w:r>
              <w:rPr>
                <w:rFonts w:hint="eastAsia" w:ascii="宋体" w:hAnsi="宋体"/>
                <w:kern w:val="0"/>
                <w:szCs w:val="21"/>
              </w:rPr>
              <w:t>；联合体中标的，须联合体牵头人在红名单中，并且按照联合体协议牵头人所属红名单类别包含在其工作范围内。中标人是否属于红名单，以</w:t>
            </w:r>
            <w:r>
              <w:rPr>
                <w:rFonts w:hint="eastAsia" w:ascii="宋体" w:hAnsi="宋体"/>
                <w:kern w:val="0"/>
                <w:szCs w:val="21"/>
                <w:u w:val="single"/>
              </w:rPr>
              <w:t xml:space="preserve">    </w:t>
            </w:r>
            <w:r>
              <w:rPr>
                <w:rFonts w:hint="eastAsia" w:ascii="宋体" w:hAnsi="宋体"/>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4B3DCE2C">
            <w:pPr>
              <w:snapToGrid w:val="0"/>
              <w:spacing w:line="400" w:lineRule="exact"/>
              <w:ind w:firstLine="420" w:firstLineChars="200"/>
              <w:rPr>
                <w:rFonts w:hint="eastAsia" w:ascii="宋体" w:hAnsi="宋体" w:cs="宋体"/>
                <w:i/>
                <w:kern w:val="0"/>
                <w:szCs w:val="21"/>
              </w:rPr>
            </w:pPr>
            <w:r>
              <w:rPr>
                <w:rFonts w:hint="eastAsia" w:ascii="宋体" w:hAnsi="宋体"/>
                <w:i w:val="0"/>
                <w:iCs w:val="0"/>
                <w:kern w:val="0"/>
                <w:szCs w:val="21"/>
              </w:rPr>
              <w:t>□方式二：</w:t>
            </w:r>
            <w:r>
              <w:rPr>
                <w:rFonts w:hint="eastAsia" w:ascii="宋体" w:hAnsi="宋体"/>
                <w:i w:val="0"/>
                <w:iCs w:val="0"/>
                <w:kern w:val="0"/>
                <w:szCs w:val="21"/>
                <w:u w:val="single"/>
              </w:rPr>
              <w:t xml:space="preserve">     </w:t>
            </w:r>
            <w:r>
              <w:rPr>
                <w:rFonts w:hint="eastAsia" w:ascii="宋体" w:hAnsi="宋体"/>
                <w:i/>
                <w:iCs/>
                <w:kern w:val="0"/>
                <w:szCs w:val="21"/>
              </w:rPr>
              <w:t>[提示：由招标人自行明确认定标准]</w:t>
            </w:r>
            <w:r>
              <w:rPr>
                <w:rFonts w:hint="eastAsia" w:ascii="宋体" w:hAnsi="宋体"/>
                <w:i w:val="0"/>
                <w:iCs w:val="0"/>
                <w:kern w:val="0"/>
                <w:szCs w:val="21"/>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15415508">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（4）履约保证金的提交时间：见专用合同条款。</w:t>
            </w:r>
          </w:p>
          <w:p w14:paraId="66CAFB03">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（5）履约保证金的期限：见专用合同条款。</w:t>
            </w:r>
          </w:p>
          <w:p w14:paraId="29E6A176">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（6）履约保证金的退还时间：见专用合同条款。</w:t>
            </w:r>
          </w:p>
        </w:tc>
      </w:tr>
      <w:tr w14:paraId="757BF3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522F639">
            <w:pPr>
              <w:snapToGrid w:val="0"/>
              <w:spacing w:line="400" w:lineRule="exact"/>
              <w:jc w:val="center"/>
              <w:rPr>
                <w:rFonts w:hint="eastAsia" w:ascii="宋体" w:hAnsi="宋体" w:cs="宋体"/>
                <w:kern w:val="0"/>
                <w:szCs w:val="21"/>
              </w:rPr>
            </w:pPr>
            <w:r>
              <w:rPr>
                <w:rFonts w:hint="eastAsia" w:ascii="宋体" w:hAnsi="宋体" w:cs="宋体"/>
                <w:kern w:val="0"/>
                <w:szCs w:val="21"/>
              </w:rPr>
              <w:t>7.8.1</w:t>
            </w:r>
          </w:p>
        </w:tc>
        <w:tc>
          <w:tcPr>
            <w:tcW w:w="1615" w:type="dxa"/>
            <w:vAlign w:val="center"/>
          </w:tcPr>
          <w:p w14:paraId="607A5C19">
            <w:pPr>
              <w:snapToGrid w:val="0"/>
              <w:spacing w:line="400" w:lineRule="exact"/>
              <w:jc w:val="center"/>
              <w:rPr>
                <w:rFonts w:hint="eastAsia" w:ascii="宋体" w:hAnsi="宋体" w:cs="宋体"/>
                <w:kern w:val="0"/>
                <w:szCs w:val="21"/>
              </w:rPr>
            </w:pPr>
            <w:r>
              <w:rPr>
                <w:rFonts w:hint="eastAsia" w:ascii="宋体" w:hAnsi="宋体" w:cs="宋体"/>
                <w:kern w:val="0"/>
                <w:szCs w:val="21"/>
              </w:rPr>
              <w:t>签订合同</w:t>
            </w:r>
          </w:p>
        </w:tc>
        <w:tc>
          <w:tcPr>
            <w:tcW w:w="6519" w:type="dxa"/>
            <w:vAlign w:val="center"/>
          </w:tcPr>
          <w:p w14:paraId="044A4553">
            <w:pPr>
              <w:snapToGrid w:val="0"/>
              <w:spacing w:line="400" w:lineRule="exact"/>
              <w:ind w:firstLine="420" w:firstLineChars="200"/>
            </w:pPr>
            <w:r>
              <w:rPr>
                <w:rFonts w:hint="eastAsia"/>
                <w:szCs w:val="21"/>
              </w:rPr>
              <w:t>合同签订时间：中标通知书发出后7日内，招标人应按照招标文件和中标人的投标文件</w:t>
            </w:r>
            <w:r>
              <w:rPr>
                <w:rFonts w:hint="eastAsia" w:ascii="宋体" w:hAnsi="宋体"/>
                <w:snapToGrid w:val="0"/>
                <w:kern w:val="0"/>
                <w:szCs w:val="21"/>
              </w:rPr>
              <w:t>通过重庆市电子招投标系统</w:t>
            </w:r>
            <w:r>
              <w:rPr>
                <w:rFonts w:hint="eastAsia"/>
                <w:snapToGrid w:val="0"/>
                <w:kern w:val="0"/>
                <w:szCs w:val="21"/>
              </w:rPr>
              <w:t>签订</w:t>
            </w:r>
            <w:r>
              <w:rPr>
                <w:rFonts w:hint="eastAsia"/>
                <w:szCs w:val="21"/>
              </w:rPr>
              <w:t>合同。若合同谈判复杂，招标人和投标人应在20日内</w:t>
            </w:r>
            <w:r>
              <w:rPr>
                <w:rFonts w:hint="eastAsia"/>
                <w:snapToGrid w:val="0"/>
                <w:kern w:val="0"/>
                <w:szCs w:val="21"/>
              </w:rPr>
              <w:t>签订</w:t>
            </w:r>
            <w:r>
              <w:rPr>
                <w:rFonts w:hint="eastAsia"/>
                <w:szCs w:val="21"/>
              </w:rPr>
              <w:t>合同。</w:t>
            </w:r>
          </w:p>
          <w:p w14:paraId="59A808D5">
            <w:pPr>
              <w:snapToGrid w:val="0"/>
              <w:spacing w:line="400" w:lineRule="exact"/>
              <w:ind w:firstLine="420" w:firstLineChars="200"/>
              <w:rPr>
                <w:rFonts w:hint="eastAsia"/>
              </w:rPr>
            </w:pPr>
            <w:r>
              <w:rPr>
                <w:rFonts w:hint="eastAsia"/>
              </w:rPr>
              <w:t>依法必须进行招标的项目，中标候选人有《中华人民共和国招标投标法实施条例》第七十四条规定行为的，视为特别严重信用不良行为且情节特别严重，按信用记分上限一次性记12分，纳入黑名单管理；中标人有《中华人民共和国招标投标法实施条例》第七十四条规定行为的，按中标项目金额10‰罚款上限予以行政处罚，按信用记分上限一次性并处记12分，纳入黑名单管理。</w:t>
            </w:r>
          </w:p>
        </w:tc>
      </w:tr>
      <w:tr w14:paraId="0B8E6D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D90006A">
            <w:pPr>
              <w:snapToGrid w:val="0"/>
              <w:spacing w:line="400" w:lineRule="exact"/>
              <w:jc w:val="center"/>
              <w:rPr>
                <w:rFonts w:hint="eastAsia" w:ascii="宋体" w:hAnsi="宋体" w:cs="宋体"/>
                <w:kern w:val="0"/>
                <w:szCs w:val="21"/>
              </w:rPr>
            </w:pPr>
            <w:r>
              <w:rPr>
                <w:rFonts w:hint="eastAsia" w:ascii="宋体" w:hAnsi="宋体" w:cs="宋体"/>
                <w:kern w:val="0"/>
                <w:szCs w:val="21"/>
              </w:rPr>
              <w:t>8.5.1</w:t>
            </w:r>
          </w:p>
        </w:tc>
        <w:tc>
          <w:tcPr>
            <w:tcW w:w="1615" w:type="dxa"/>
            <w:vAlign w:val="center"/>
          </w:tcPr>
          <w:p w14:paraId="1C51A318">
            <w:pPr>
              <w:widowControl/>
              <w:spacing w:line="400" w:lineRule="exact"/>
              <w:jc w:val="center"/>
              <w:rPr>
                <w:rFonts w:hint="eastAsia" w:ascii="宋体" w:hAnsi="宋体" w:cs="宋体"/>
                <w:kern w:val="0"/>
                <w:szCs w:val="21"/>
              </w:rPr>
            </w:pPr>
            <w:r>
              <w:rPr>
                <w:rFonts w:hint="eastAsia" w:ascii="宋体" w:hAnsi="宋体" w:cs="宋体"/>
                <w:kern w:val="0"/>
                <w:szCs w:val="21"/>
                <w:lang w:bidi="ar"/>
              </w:rPr>
              <w:t>监督部门</w:t>
            </w:r>
          </w:p>
        </w:tc>
        <w:tc>
          <w:tcPr>
            <w:tcW w:w="6519" w:type="dxa"/>
            <w:vAlign w:val="center"/>
          </w:tcPr>
          <w:p w14:paraId="3C1E0AF1">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监督部门：</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14:paraId="5C39F7EA">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地 址：</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14:paraId="50B37A0B">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电 话：</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14:paraId="111D5FDF">
            <w:pPr>
              <w:widowControl/>
              <w:spacing w:line="400" w:lineRule="exact"/>
              <w:ind w:firstLine="420" w:firstLineChars="200"/>
              <w:jc w:val="left"/>
              <w:rPr>
                <w:rFonts w:hint="eastAsia" w:ascii="宋体" w:hAnsi="宋体" w:cs="宋体"/>
                <w:szCs w:val="21"/>
              </w:rPr>
            </w:pPr>
            <w:r>
              <w:rPr>
                <w:rFonts w:hint="eastAsia" w:ascii="宋体" w:hAnsi="宋体" w:cs="宋体"/>
                <w:kern w:val="0"/>
                <w:szCs w:val="21"/>
                <w:lang w:bidi="ar"/>
              </w:rPr>
              <w:t>传 真：</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p w14:paraId="4B99A8DB">
            <w:pPr>
              <w:widowControl/>
              <w:spacing w:line="400" w:lineRule="exact"/>
              <w:ind w:firstLine="420" w:firstLineChars="200"/>
              <w:jc w:val="left"/>
              <w:rPr>
                <w:rFonts w:hint="eastAsia" w:ascii="宋体" w:hAnsi="宋体" w:cs="宋体"/>
                <w:kern w:val="0"/>
                <w:szCs w:val="21"/>
              </w:rPr>
            </w:pPr>
            <w:r>
              <w:rPr>
                <w:rFonts w:hint="eastAsia" w:ascii="宋体" w:hAnsi="宋体" w:cs="宋体"/>
                <w:kern w:val="0"/>
                <w:szCs w:val="21"/>
                <w:lang w:bidi="ar"/>
              </w:rPr>
              <w:t>邮政编码：</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 </w:t>
            </w:r>
          </w:p>
        </w:tc>
      </w:tr>
      <w:tr w14:paraId="5D94A9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14475B">
            <w:pPr>
              <w:snapToGrid w:val="0"/>
              <w:spacing w:line="400" w:lineRule="exact"/>
              <w:jc w:val="center"/>
              <w:rPr>
                <w:rFonts w:hint="eastAsia" w:ascii="宋体" w:hAnsi="宋体" w:cs="宋体"/>
                <w:kern w:val="0"/>
                <w:szCs w:val="21"/>
              </w:rPr>
            </w:pPr>
            <w:r>
              <w:rPr>
                <w:rFonts w:hint="eastAsia" w:ascii="宋体" w:hAnsi="宋体" w:cs="宋体"/>
                <w:kern w:val="0"/>
                <w:szCs w:val="21"/>
              </w:rPr>
              <w:t>9</w:t>
            </w:r>
          </w:p>
        </w:tc>
        <w:tc>
          <w:tcPr>
            <w:tcW w:w="1615" w:type="dxa"/>
            <w:vAlign w:val="center"/>
          </w:tcPr>
          <w:p w14:paraId="0CB6C940">
            <w:pPr>
              <w:widowControl/>
              <w:spacing w:line="400" w:lineRule="exact"/>
              <w:jc w:val="center"/>
              <w:rPr>
                <w:rFonts w:ascii="宋体" w:hAnsi="宋体" w:cs="宋体"/>
                <w:kern w:val="0"/>
                <w:szCs w:val="21"/>
                <w:lang w:bidi="ar"/>
              </w:rPr>
            </w:pPr>
            <w:r>
              <w:rPr>
                <w:rFonts w:hint="eastAsia" w:ascii="宋体" w:hAnsi="宋体" w:cs="宋体"/>
                <w:kern w:val="0"/>
                <w:szCs w:val="21"/>
                <w:lang w:bidi="ar"/>
              </w:rPr>
              <w:t>招标投标及评标方式</w:t>
            </w:r>
          </w:p>
        </w:tc>
        <w:tc>
          <w:tcPr>
            <w:tcW w:w="6519" w:type="dxa"/>
            <w:vAlign w:val="center"/>
          </w:tcPr>
          <w:p w14:paraId="30B2EC13">
            <w:pPr>
              <w:widowControl/>
              <w:spacing w:line="400" w:lineRule="exact"/>
              <w:ind w:firstLine="420" w:firstLineChars="200"/>
              <w:jc w:val="left"/>
              <w:rPr>
                <w:rFonts w:hint="eastAsia" w:ascii="宋体" w:hAnsi="宋体" w:cs="宋体"/>
                <w:szCs w:val="21"/>
              </w:rPr>
            </w:pPr>
            <w:r>
              <w:rPr>
                <w:rFonts w:hint="eastAsia" w:ascii="宋体" w:hAnsi="宋体" w:cs="宋体"/>
                <w:szCs w:val="21"/>
              </w:rPr>
              <w:t>本招标项目采用电子招标投标、</w:t>
            </w:r>
            <w:r>
              <w:rPr>
                <w:rFonts w:hint="eastAsia" w:ascii="宋体" w:hAnsi="宋体" w:cs="宋体"/>
                <w:szCs w:val="21"/>
                <w:u w:val="single"/>
              </w:rPr>
              <w:t>远程异地评标方式</w:t>
            </w:r>
            <w:r>
              <w:rPr>
                <w:rFonts w:hint="eastAsia" w:ascii="宋体" w:hAnsi="宋体" w:cs="宋体"/>
                <w:szCs w:val="21"/>
              </w:rPr>
              <w:t>。</w:t>
            </w:r>
          </w:p>
        </w:tc>
      </w:tr>
      <w:tr w14:paraId="5B47F0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3A0F3AB">
            <w:pPr>
              <w:snapToGrid w:val="0"/>
              <w:spacing w:line="400" w:lineRule="exact"/>
              <w:jc w:val="center"/>
              <w:rPr>
                <w:rFonts w:hint="eastAsia" w:ascii="宋体" w:hAnsi="宋体" w:cs="宋体"/>
                <w:kern w:val="0"/>
                <w:szCs w:val="21"/>
              </w:rPr>
            </w:pPr>
            <w:r>
              <w:rPr>
                <w:rFonts w:hint="eastAsia" w:ascii="宋体" w:hAnsi="宋体" w:cs="宋体"/>
                <w:kern w:val="0"/>
                <w:szCs w:val="21"/>
              </w:rPr>
              <w:t>10</w:t>
            </w:r>
          </w:p>
        </w:tc>
        <w:tc>
          <w:tcPr>
            <w:tcW w:w="8134" w:type="dxa"/>
            <w:gridSpan w:val="2"/>
            <w:vAlign w:val="center"/>
          </w:tcPr>
          <w:p w14:paraId="1A89FA43">
            <w:pPr>
              <w:snapToGrid w:val="0"/>
              <w:spacing w:line="400" w:lineRule="exact"/>
              <w:jc w:val="center"/>
              <w:rPr>
                <w:rFonts w:hint="eastAsia" w:ascii="宋体" w:hAnsi="宋体" w:cs="宋体"/>
                <w:kern w:val="0"/>
                <w:szCs w:val="21"/>
              </w:rPr>
            </w:pPr>
            <w:r>
              <w:rPr>
                <w:rFonts w:hint="eastAsia" w:ascii="宋体" w:hAnsi="宋体" w:cs="宋体"/>
                <w:kern w:val="0"/>
                <w:szCs w:val="21"/>
              </w:rPr>
              <w:t>需要补充的其他内容</w:t>
            </w:r>
          </w:p>
        </w:tc>
      </w:tr>
      <w:tr w14:paraId="09DF9B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40D1E8">
            <w:pPr>
              <w:snapToGrid w:val="0"/>
              <w:spacing w:line="400" w:lineRule="exact"/>
              <w:jc w:val="center"/>
              <w:rPr>
                <w:rFonts w:ascii="宋体" w:hAnsi="宋体" w:cs="宋体"/>
                <w:kern w:val="0"/>
                <w:szCs w:val="21"/>
              </w:rPr>
            </w:pPr>
            <w:r>
              <w:rPr>
                <w:rFonts w:hint="eastAsia" w:ascii="宋体" w:hAnsi="宋体" w:cs="宋体"/>
                <w:kern w:val="0"/>
                <w:szCs w:val="21"/>
              </w:rPr>
              <w:t>10.1</w:t>
            </w:r>
          </w:p>
        </w:tc>
        <w:tc>
          <w:tcPr>
            <w:tcW w:w="1615" w:type="dxa"/>
            <w:vAlign w:val="center"/>
          </w:tcPr>
          <w:p w14:paraId="3CBAC80F">
            <w:pPr>
              <w:snapToGrid w:val="0"/>
              <w:spacing w:line="400" w:lineRule="exact"/>
              <w:jc w:val="center"/>
              <w:rPr>
                <w:rFonts w:hint="eastAsia" w:ascii="宋体" w:hAnsi="宋体" w:cs="宋体"/>
                <w:kern w:val="0"/>
                <w:szCs w:val="21"/>
              </w:rPr>
            </w:pPr>
            <w:r>
              <w:rPr>
                <w:rFonts w:hint="eastAsia" w:ascii="宋体" w:hAnsi="宋体" w:cs="宋体"/>
                <w:kern w:val="0"/>
                <w:szCs w:val="21"/>
              </w:rPr>
              <w:t>支付担保</w:t>
            </w:r>
          </w:p>
        </w:tc>
        <w:tc>
          <w:tcPr>
            <w:tcW w:w="6519" w:type="dxa"/>
            <w:vAlign w:val="center"/>
          </w:tcPr>
          <w:p w14:paraId="46F27DB2">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招标人应按第四章合同专用条款约定向中标人提供相应的支付担保。</w:t>
            </w:r>
          </w:p>
          <w:p w14:paraId="69E46C2E">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招标人将在中标人提供履约保证金后，签订合同协议书之前向中标人提交支付担保。</w:t>
            </w:r>
          </w:p>
        </w:tc>
      </w:tr>
      <w:tr w14:paraId="7D717A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1451A5E">
            <w:pPr>
              <w:snapToGrid w:val="0"/>
              <w:spacing w:line="400" w:lineRule="exact"/>
              <w:jc w:val="center"/>
              <w:rPr>
                <w:rFonts w:hint="eastAsia" w:ascii="宋体" w:hAnsi="宋体" w:cs="宋体"/>
                <w:kern w:val="0"/>
                <w:szCs w:val="21"/>
              </w:rPr>
            </w:pPr>
            <w:r>
              <w:rPr>
                <w:rFonts w:hint="eastAsia" w:ascii="宋体" w:hAnsi="宋体" w:cs="宋体"/>
                <w:kern w:val="0"/>
                <w:szCs w:val="21"/>
              </w:rPr>
              <w:t>10.2</w:t>
            </w:r>
          </w:p>
        </w:tc>
        <w:tc>
          <w:tcPr>
            <w:tcW w:w="1615" w:type="dxa"/>
            <w:vAlign w:val="center"/>
          </w:tcPr>
          <w:p w14:paraId="429F0069">
            <w:pPr>
              <w:snapToGrid w:val="0"/>
              <w:spacing w:line="400" w:lineRule="exact"/>
              <w:jc w:val="center"/>
              <w:rPr>
                <w:rFonts w:hint="eastAsia" w:ascii="宋体" w:hAnsi="宋体" w:cs="宋体"/>
                <w:kern w:val="0"/>
                <w:szCs w:val="21"/>
              </w:rPr>
            </w:pPr>
            <w:r>
              <w:rPr>
                <w:rFonts w:hint="eastAsia" w:ascii="宋体" w:hAnsi="宋体" w:cs="宋体"/>
                <w:kern w:val="0"/>
                <w:szCs w:val="21"/>
              </w:rPr>
              <w:t>项目经理答辩</w:t>
            </w:r>
          </w:p>
        </w:tc>
        <w:tc>
          <w:tcPr>
            <w:tcW w:w="6519" w:type="dxa"/>
            <w:vAlign w:val="center"/>
          </w:tcPr>
          <w:p w14:paraId="2DA293FD">
            <w:pPr>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项目经理答辩：□有；□无。</w:t>
            </w:r>
            <w:r>
              <w:rPr>
                <w:rFonts w:hint="eastAsia" w:ascii="宋体" w:hAnsi="宋体"/>
                <w:i/>
                <w:iCs/>
                <w:kern w:val="0"/>
                <w:szCs w:val="21"/>
              </w:rPr>
              <w:t>[提示：评标办法采用综合评估法时选用。]</w:t>
            </w:r>
          </w:p>
          <w:p w14:paraId="5A9F0961">
            <w:pPr>
              <w:snapToGrid w:val="0"/>
              <w:spacing w:line="400" w:lineRule="exact"/>
              <w:ind w:firstLine="420" w:firstLineChars="200"/>
              <w:rPr>
                <w:rFonts w:hint="eastAsia"/>
              </w:rPr>
            </w:pPr>
            <w:r>
              <w:rPr>
                <w:rFonts w:hint="eastAsia"/>
              </w:rPr>
              <w:t>招标人设有项目经理答辩的，则整个答辩过程均通过语音系统来完成，项目经理不得与评标委员会面对面接触。</w:t>
            </w:r>
          </w:p>
        </w:tc>
      </w:tr>
      <w:tr w14:paraId="4F61D2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22C631E">
            <w:pPr>
              <w:snapToGrid w:val="0"/>
              <w:spacing w:line="400" w:lineRule="exact"/>
              <w:jc w:val="center"/>
              <w:rPr>
                <w:rFonts w:hint="eastAsia" w:ascii="宋体" w:hAnsi="宋体" w:cs="宋体"/>
                <w:kern w:val="0"/>
                <w:szCs w:val="21"/>
              </w:rPr>
            </w:pPr>
            <w:r>
              <w:rPr>
                <w:rFonts w:hint="eastAsia" w:ascii="宋体" w:hAnsi="宋体" w:cs="宋体"/>
                <w:kern w:val="0"/>
                <w:szCs w:val="21"/>
              </w:rPr>
              <w:t>10.3</w:t>
            </w:r>
          </w:p>
        </w:tc>
        <w:tc>
          <w:tcPr>
            <w:tcW w:w="1615" w:type="dxa"/>
            <w:vAlign w:val="center"/>
          </w:tcPr>
          <w:p w14:paraId="4564C579">
            <w:pPr>
              <w:snapToGrid w:val="0"/>
              <w:spacing w:line="400" w:lineRule="exact"/>
              <w:jc w:val="center"/>
              <w:rPr>
                <w:rFonts w:hint="eastAsia" w:ascii="宋体" w:hAnsi="宋体" w:cs="宋体"/>
                <w:kern w:val="0"/>
                <w:szCs w:val="21"/>
              </w:rPr>
            </w:pPr>
            <w:r>
              <w:rPr>
                <w:rFonts w:hint="eastAsia" w:ascii="宋体" w:hAnsi="宋体" w:cs="宋体"/>
                <w:kern w:val="0"/>
                <w:szCs w:val="21"/>
              </w:rPr>
              <w:t>异议、投诉处理</w:t>
            </w:r>
          </w:p>
        </w:tc>
        <w:tc>
          <w:tcPr>
            <w:tcW w:w="6519" w:type="dxa"/>
            <w:vAlign w:val="center"/>
          </w:tcPr>
          <w:p w14:paraId="1A9ED196">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1. 投标人或者其他利害关系人就本项目的招标文件（含澄清修改）、开标情况、评标结果等事项提出投诉的，应当先向招标人提出异议；招标人应当在规定时间内答复；对招标人的答复不满意，可向行政监督部门投诉。</w:t>
            </w:r>
          </w:p>
          <w:p w14:paraId="178FE7AF">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提出异议或投诉时应当包括下列内容：</w:t>
            </w:r>
          </w:p>
          <w:p w14:paraId="020B0315">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（1）异议人或投诉人的姓名/名称、地址及有效联系方式；</w:t>
            </w:r>
          </w:p>
          <w:p w14:paraId="1CAEF907">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（2）被异议人或被投诉人的名称、地址及有效联系方式；</w:t>
            </w:r>
          </w:p>
          <w:p w14:paraId="3263A2D9">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（3）异议或投诉事项的基本事实；</w:t>
            </w:r>
          </w:p>
          <w:p w14:paraId="71A63745">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（4）请求及主张；</w:t>
            </w:r>
          </w:p>
          <w:p w14:paraId="5DADC6E7">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（5）涉及事项的证据、证明材料。</w:t>
            </w:r>
          </w:p>
          <w:p w14:paraId="1AD71B1E">
            <w:pPr>
              <w:widowControl/>
              <w:spacing w:line="400" w:lineRule="exact"/>
              <w:ind w:firstLine="420" w:firstLineChars="200"/>
              <w:rPr>
                <w:rFonts w:hint="eastAsia" w:ascii="宋体" w:hAnsi="宋体" w:cs="宋体"/>
                <w:kern w:val="0"/>
                <w:szCs w:val="21"/>
              </w:rPr>
            </w:pPr>
            <w:r>
              <w:rPr>
                <w:rFonts w:hint="eastAsia" w:ascii="宋体" w:hAnsi="宋体"/>
                <w:kern w:val="0"/>
                <w:szCs w:val="21"/>
              </w:rPr>
              <w:t>异议人或投诉人是法人的，异议书或投诉书必须由其法定代表人或者委托代理人签名并加盖单位公章；异议人或投诉人是其他组织或者自然人的，异议书或投诉书必须由其主要负责人签名或者异议人（或投诉人）本人签名，并附有效身份证明</w:t>
            </w:r>
            <w:r>
              <w:rPr>
                <w:rFonts w:hint="eastAsia" w:ascii="宋体" w:hAnsi="宋体" w:cs="宋体"/>
                <w:kern w:val="0"/>
                <w:szCs w:val="21"/>
              </w:rPr>
              <w:t>。如有关材料是外文，应当同时提供中文译本。</w:t>
            </w:r>
            <w:r>
              <w:rPr>
                <w:szCs w:val="21"/>
              </w:rPr>
              <w:t>异议</w:t>
            </w:r>
            <w:r>
              <w:rPr>
                <w:rFonts w:hint="eastAsia"/>
                <w:szCs w:val="21"/>
              </w:rPr>
              <w:t>投诉</w:t>
            </w:r>
            <w:r>
              <w:rPr>
                <w:szCs w:val="21"/>
              </w:rPr>
              <w:t>的提出和答复</w:t>
            </w:r>
            <w:r>
              <w:rPr>
                <w:rFonts w:hint="eastAsia"/>
                <w:szCs w:val="21"/>
              </w:rPr>
              <w:t>（处理）</w:t>
            </w:r>
            <w:r>
              <w:rPr>
                <w:szCs w:val="21"/>
              </w:rPr>
              <w:t>均应以书面形式进行，并通过</w:t>
            </w:r>
            <w:r>
              <w:rPr>
                <w:rFonts w:hint="eastAsia"/>
                <w:szCs w:val="21"/>
              </w:rPr>
              <w:t>重庆市</w:t>
            </w:r>
            <w:r>
              <w:rPr>
                <w:szCs w:val="21"/>
              </w:rPr>
              <w:t>电子招投标系统在线送达</w:t>
            </w:r>
            <w:r>
              <w:rPr>
                <w:rFonts w:hint="eastAsia"/>
                <w:szCs w:val="21"/>
              </w:rPr>
              <w:t>（在开标现场提出的异议由招标人代表当场答复），送达时间以系统推送到达接收方时间为准，相应人员推送后应通过电话确认对方已接收。</w:t>
            </w:r>
          </w:p>
          <w:p w14:paraId="3B4863DB">
            <w:pPr>
              <w:widowControl/>
              <w:spacing w:line="400" w:lineRule="exact"/>
              <w:ind w:firstLine="420" w:firstLineChars="200"/>
              <w:rPr>
                <w:rFonts w:hint="eastAsia" w:ascii="宋体" w:hAnsi="宋体" w:cs="宋体"/>
                <w:kern w:val="0"/>
                <w:szCs w:val="21"/>
              </w:rPr>
            </w:pPr>
            <w:r>
              <w:rPr>
                <w:rFonts w:hint="eastAsia" w:ascii="宋体" w:hAnsi="宋体" w:cs="宋体"/>
                <w:kern w:val="0"/>
                <w:szCs w:val="21"/>
              </w:rPr>
              <w:t>2. 行政监督部门依照《中华人民共和国招标投标法》、《中华人民共和国招标投标法实施条例》、《公路工程建设项目招标投标管理办法》、《重庆市招标投标条例》、《工程建设项目招标投标活动投诉处理办法》（七部委令第11号（根据九部门2013年第23号令修正））、</w:t>
            </w:r>
            <w:r>
              <w:rPr>
                <w:rFonts w:hint="eastAsia" w:ascii="宋体" w:hAnsi="宋体"/>
                <w:kern w:val="0"/>
                <w:szCs w:val="21"/>
              </w:rPr>
              <w:t>《关于印发&lt;重庆市招标投标活动投诉处理实施细则（修订）&gt;的通知》（渝公管发〔2021〕54号）</w:t>
            </w:r>
            <w:r>
              <w:rPr>
                <w:rFonts w:hint="eastAsia" w:ascii="宋体" w:hAnsi="宋体" w:cs="宋体"/>
                <w:kern w:val="0"/>
                <w:szCs w:val="21"/>
              </w:rPr>
              <w:t>等法律法规文件处理投诉。</w:t>
            </w:r>
          </w:p>
          <w:p w14:paraId="583F7551">
            <w:pPr>
              <w:widowControl/>
              <w:spacing w:line="400" w:lineRule="exact"/>
              <w:ind w:firstLine="420" w:firstLineChars="200"/>
              <w:rPr>
                <w:rFonts w:ascii="宋体" w:hAnsi="宋体"/>
                <w:kern w:val="0"/>
                <w:szCs w:val="21"/>
              </w:rPr>
            </w:pPr>
            <w:r>
              <w:rPr>
                <w:rFonts w:hint="eastAsia" w:ascii="宋体" w:hAnsi="宋体" w:cs="宋体"/>
                <w:kern w:val="0"/>
                <w:szCs w:val="21"/>
              </w:rPr>
              <w:t>3. 根据《重庆市工程建设领域招标投标信用管理暂行办法》的规定，投标人捏造事实、伪造材料，或者以非法手段获取证明材料进行质疑或者投诉的，将被列入黑名单管理；给他人造成损失的，依法承担</w:t>
            </w:r>
            <w:r>
              <w:rPr>
                <w:rFonts w:ascii="宋体" w:hAnsi="宋体"/>
                <w:kern w:val="0"/>
                <w:szCs w:val="21"/>
              </w:rPr>
              <w:t>赔偿责任。</w:t>
            </w:r>
          </w:p>
          <w:p w14:paraId="75E7D7B8">
            <w:pPr>
              <w:widowControl/>
              <w:spacing w:line="400" w:lineRule="exact"/>
              <w:ind w:firstLine="420" w:firstLineChars="200"/>
              <w:rPr>
                <w:rFonts w:ascii="宋体" w:hAnsi="宋体"/>
                <w:kern w:val="0"/>
                <w:szCs w:val="21"/>
              </w:rPr>
            </w:pPr>
            <w:r>
              <w:rPr>
                <w:rFonts w:hint="eastAsia" w:ascii="宋体" w:hAnsi="宋体"/>
                <w:kern w:val="0"/>
                <w:szCs w:val="21"/>
              </w:rPr>
              <w:t>4</w:t>
            </w:r>
            <w:r>
              <w:rPr>
                <w:rFonts w:ascii="宋体" w:hAnsi="宋体"/>
                <w:kern w:val="0"/>
                <w:szCs w:val="21"/>
              </w:rPr>
              <w:t xml:space="preserve">. </w:t>
            </w:r>
            <w:r>
              <w:rPr>
                <w:rFonts w:hint="eastAsia" w:ascii="宋体" w:hAnsi="宋体"/>
                <w:kern w:val="0"/>
                <w:szCs w:val="21"/>
              </w:rPr>
              <w:t>异议受理单位：</w:t>
            </w:r>
            <w:r>
              <w:rPr>
                <w:rFonts w:hint="eastAsia" w:ascii="宋体" w:hAnsi="宋体" w:cs="宋体"/>
                <w:kern w:val="0"/>
                <w:szCs w:val="21"/>
                <w:u w:val="single"/>
                <w:lang w:bidi="ar"/>
              </w:rPr>
              <w:t xml:space="preserve">             </w:t>
            </w:r>
          </w:p>
          <w:p w14:paraId="56F63BC0">
            <w:pPr>
              <w:widowControl/>
              <w:spacing w:line="400" w:lineRule="exact"/>
              <w:ind w:firstLine="420" w:firstLineChars="200"/>
              <w:rPr>
                <w:rFonts w:ascii="宋体" w:hAnsi="宋体"/>
                <w:kern w:val="0"/>
                <w:szCs w:val="21"/>
              </w:rPr>
            </w:pPr>
            <w:r>
              <w:rPr>
                <w:rFonts w:hint="eastAsia" w:ascii="宋体" w:hAnsi="宋体"/>
                <w:kern w:val="0"/>
                <w:szCs w:val="21"/>
              </w:rPr>
              <w:t>联系电话：</w:t>
            </w:r>
            <w:r>
              <w:rPr>
                <w:rFonts w:hint="eastAsia" w:ascii="宋体" w:hAnsi="宋体" w:cs="宋体"/>
                <w:kern w:val="0"/>
                <w:szCs w:val="21"/>
                <w:u w:val="single"/>
                <w:lang w:bidi="ar"/>
              </w:rPr>
              <w:t xml:space="preserve">             </w:t>
            </w:r>
          </w:p>
          <w:p w14:paraId="469806FB">
            <w:pPr>
              <w:widowControl/>
              <w:spacing w:line="400" w:lineRule="exact"/>
              <w:ind w:firstLine="420" w:firstLineChars="200"/>
              <w:rPr>
                <w:rFonts w:ascii="宋体" w:hAnsi="宋体"/>
                <w:kern w:val="0"/>
                <w:szCs w:val="21"/>
              </w:rPr>
            </w:pPr>
            <w:r>
              <w:rPr>
                <w:rFonts w:hint="eastAsia" w:ascii="宋体" w:hAnsi="宋体"/>
                <w:kern w:val="0"/>
                <w:szCs w:val="21"/>
              </w:rPr>
              <w:t>投诉受理部门：</w:t>
            </w:r>
            <w:r>
              <w:rPr>
                <w:rFonts w:hint="eastAsia" w:ascii="宋体" w:hAnsi="宋体" w:cs="宋体"/>
                <w:kern w:val="0"/>
                <w:szCs w:val="21"/>
                <w:u w:val="single"/>
                <w:lang w:bidi="ar"/>
              </w:rPr>
              <w:t xml:space="preserve">             </w:t>
            </w:r>
          </w:p>
          <w:p w14:paraId="4E5F7643">
            <w:pPr>
              <w:snapToGrid w:val="0"/>
              <w:spacing w:line="400" w:lineRule="exact"/>
              <w:ind w:firstLine="420" w:firstLineChars="200"/>
              <w:rPr>
                <w:rFonts w:hint="eastAsia" w:ascii="宋体" w:hAnsi="宋体" w:cs="宋体"/>
                <w:kern w:val="0"/>
                <w:szCs w:val="21"/>
              </w:rPr>
            </w:pPr>
            <w:r>
              <w:rPr>
                <w:rFonts w:hint="eastAsia" w:ascii="宋体" w:hAnsi="宋体"/>
                <w:kern w:val="0"/>
                <w:szCs w:val="21"/>
              </w:rPr>
              <w:t>联系电话：</w:t>
            </w:r>
            <w:r>
              <w:rPr>
                <w:rFonts w:hint="eastAsia" w:ascii="宋体" w:hAnsi="宋体" w:cs="宋体"/>
                <w:kern w:val="0"/>
                <w:szCs w:val="21"/>
                <w:u w:val="single"/>
                <w:lang w:bidi="ar"/>
              </w:rPr>
              <w:t xml:space="preserve">             </w:t>
            </w:r>
          </w:p>
        </w:tc>
      </w:tr>
      <w:tr w14:paraId="7388D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75481DA">
            <w:pPr>
              <w:snapToGrid w:val="0"/>
              <w:spacing w:line="400" w:lineRule="exact"/>
              <w:jc w:val="center"/>
              <w:rPr>
                <w:rFonts w:hint="eastAsia" w:ascii="宋体" w:hAnsi="宋体" w:cs="宋体"/>
                <w:kern w:val="0"/>
                <w:szCs w:val="21"/>
              </w:rPr>
            </w:pPr>
            <w:r>
              <w:rPr>
                <w:rFonts w:hint="eastAsia" w:ascii="宋体" w:hAnsi="宋体" w:cs="宋体"/>
                <w:kern w:val="0"/>
                <w:szCs w:val="21"/>
              </w:rPr>
              <w:t>10.4</w:t>
            </w:r>
          </w:p>
        </w:tc>
        <w:tc>
          <w:tcPr>
            <w:tcW w:w="1615" w:type="dxa"/>
            <w:vAlign w:val="center"/>
          </w:tcPr>
          <w:p w14:paraId="2B4D0F17">
            <w:pPr>
              <w:snapToGrid w:val="0"/>
              <w:spacing w:line="400" w:lineRule="exact"/>
              <w:jc w:val="center"/>
              <w:rPr>
                <w:rFonts w:hint="eastAsia" w:ascii="宋体" w:hAnsi="宋体" w:cs="宋体"/>
                <w:kern w:val="0"/>
                <w:szCs w:val="21"/>
              </w:rPr>
            </w:pPr>
            <w:r>
              <w:rPr>
                <w:rFonts w:hint="eastAsia" w:ascii="宋体" w:hAnsi="宋体" w:cs="宋体"/>
                <w:kern w:val="0"/>
                <w:szCs w:val="21"/>
              </w:rPr>
              <w:t>工程量清单</w:t>
            </w:r>
          </w:p>
          <w:p w14:paraId="765D7906">
            <w:pPr>
              <w:snapToGrid w:val="0"/>
              <w:spacing w:line="400" w:lineRule="exact"/>
              <w:jc w:val="center"/>
              <w:rPr>
                <w:rFonts w:hint="eastAsia" w:ascii="宋体" w:hAnsi="宋体" w:cs="宋体"/>
                <w:kern w:val="0"/>
                <w:szCs w:val="21"/>
              </w:rPr>
            </w:pPr>
            <w:r>
              <w:rPr>
                <w:rFonts w:hint="eastAsia" w:ascii="宋体" w:hAnsi="宋体" w:cs="宋体"/>
                <w:kern w:val="0"/>
                <w:szCs w:val="21"/>
              </w:rPr>
              <w:t>编制说明</w:t>
            </w:r>
          </w:p>
        </w:tc>
        <w:tc>
          <w:tcPr>
            <w:tcW w:w="6519" w:type="dxa"/>
            <w:vAlign w:val="center"/>
          </w:tcPr>
          <w:p w14:paraId="51FF1265">
            <w:pPr>
              <w:widowControl/>
              <w:spacing w:line="400" w:lineRule="exact"/>
              <w:ind w:firstLine="420" w:firstLineChars="200"/>
              <w:rPr>
                <w:rFonts w:hint="eastAsia" w:ascii="宋体" w:hAnsi="宋体" w:cs="宋体"/>
                <w:kern w:val="0"/>
                <w:szCs w:val="21"/>
              </w:rPr>
            </w:pPr>
            <w:r>
              <w:rPr>
                <w:rFonts w:hint="eastAsia" w:ascii="宋体" w:hAnsi="宋体" w:cs="宋体"/>
                <w:i/>
                <w:kern w:val="0"/>
                <w:szCs w:val="21"/>
              </w:rPr>
              <w:t>[提示：由招标人根据项目实际情况，自行编制。若内容过多，可将此项内容放置在招标文件第五章工程量清单中，工程量清单编制说明中不得有违背相关法律法规及规范性文件规定的内容，若有涉及否决投标的规定必须集中在后文“否决投标情况一览表”中，否则以“否决投标情况一览表”为准。]</w:t>
            </w:r>
          </w:p>
        </w:tc>
      </w:tr>
      <w:tr w14:paraId="7DF0D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03E9126">
            <w:pPr>
              <w:snapToGrid w:val="0"/>
              <w:spacing w:line="400" w:lineRule="exact"/>
              <w:jc w:val="center"/>
              <w:rPr>
                <w:rFonts w:hint="eastAsia" w:ascii="宋体" w:hAnsi="宋体" w:cs="宋体"/>
                <w:kern w:val="0"/>
                <w:szCs w:val="21"/>
              </w:rPr>
            </w:pPr>
            <w:r>
              <w:rPr>
                <w:rFonts w:hint="eastAsia" w:ascii="宋体" w:hAnsi="宋体" w:cs="宋体"/>
                <w:kern w:val="0"/>
                <w:szCs w:val="21"/>
              </w:rPr>
              <w:t>10.5</w:t>
            </w:r>
          </w:p>
        </w:tc>
        <w:tc>
          <w:tcPr>
            <w:tcW w:w="1615" w:type="dxa"/>
            <w:vAlign w:val="center"/>
          </w:tcPr>
          <w:p w14:paraId="45915C7D">
            <w:pPr>
              <w:snapToGrid w:val="0"/>
              <w:spacing w:line="400" w:lineRule="exact"/>
              <w:jc w:val="center"/>
              <w:rPr>
                <w:rFonts w:hint="eastAsia" w:ascii="宋体" w:hAnsi="宋体" w:cs="宋体"/>
                <w:kern w:val="0"/>
                <w:szCs w:val="21"/>
              </w:rPr>
            </w:pPr>
            <w:r>
              <w:rPr>
                <w:rFonts w:hint="eastAsia" w:ascii="宋体" w:hAnsi="宋体" w:cs="宋体"/>
                <w:kern w:val="0"/>
                <w:szCs w:val="21"/>
              </w:rPr>
              <w:t>建筑领域实施农民工工资专用账户相关要求</w:t>
            </w:r>
          </w:p>
        </w:tc>
        <w:tc>
          <w:tcPr>
            <w:tcW w:w="6519" w:type="dxa"/>
            <w:vAlign w:val="center"/>
          </w:tcPr>
          <w:p w14:paraId="045FFF9F">
            <w:pPr>
              <w:widowControl/>
              <w:spacing w:line="400" w:lineRule="exact"/>
              <w:ind w:firstLine="420" w:firstLineChars="200"/>
              <w:rPr>
                <w:rFonts w:ascii="宋体" w:hAnsi="宋体"/>
                <w:kern w:val="0"/>
                <w:szCs w:val="21"/>
              </w:rPr>
            </w:pPr>
            <w:r>
              <w:rPr>
                <w:rFonts w:hint="eastAsia" w:ascii="宋体" w:hAnsi="宋体"/>
                <w:kern w:val="0"/>
                <w:szCs w:val="21"/>
              </w:rPr>
              <w:t>本项目在</w:t>
            </w:r>
            <w:r>
              <w:rPr>
                <w:rFonts w:ascii="宋体" w:hAnsi="宋体"/>
                <w:kern w:val="0"/>
                <w:szCs w:val="21"/>
              </w:rPr>
              <w:t>实施过程中</w:t>
            </w:r>
            <w:r>
              <w:rPr>
                <w:rFonts w:hint="eastAsia" w:ascii="宋体" w:hAnsi="宋体"/>
                <w:kern w:val="0"/>
                <w:szCs w:val="21"/>
              </w:rPr>
              <w:t>，中标人</w:t>
            </w:r>
            <w:r>
              <w:rPr>
                <w:rFonts w:ascii="宋体" w:hAnsi="宋体"/>
                <w:kern w:val="0"/>
                <w:szCs w:val="21"/>
              </w:rPr>
              <w:t>必须执行</w:t>
            </w:r>
            <w:r>
              <w:rPr>
                <w:rFonts w:hint="eastAsia" w:ascii="宋体" w:hAnsi="宋体"/>
                <w:kern w:val="0"/>
                <w:szCs w:val="21"/>
                <w:u w:val="single"/>
              </w:rPr>
              <w:t>《保障农民工工资支付条例》（中华人民共和国国务院令第724号）、《交通运输部关于公路水运工程建设领域保障农民工工资支付的意见》（交公路规〔2020〕5号）、《重庆市人民政府办公厅关于全面治理拖欠农民工工资问题的实施意见》（渝府办发〔2016〕101号）</w:t>
            </w:r>
            <w:r>
              <w:rPr>
                <w:rFonts w:hint="eastAsia" w:ascii="宋体" w:hAnsi="宋体"/>
                <w:kern w:val="0"/>
                <w:szCs w:val="21"/>
              </w:rPr>
              <w:t>。</w:t>
            </w:r>
          </w:p>
          <w:p w14:paraId="3971B318">
            <w:pPr>
              <w:widowControl/>
              <w:spacing w:line="400" w:lineRule="exact"/>
              <w:ind w:firstLine="420" w:firstLineChars="200"/>
              <w:rPr>
                <w:rFonts w:hint="eastAsia" w:ascii="宋体" w:hAnsi="宋体" w:cs="宋体"/>
                <w:i/>
                <w:kern w:val="0"/>
                <w:szCs w:val="21"/>
              </w:rPr>
            </w:pPr>
            <w:r>
              <w:rPr>
                <w:rFonts w:hint="eastAsia" w:ascii="宋体" w:hAnsi="宋体"/>
                <w:kern w:val="0"/>
                <w:szCs w:val="21"/>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kern w:val="0"/>
                <w:szCs w:val="21"/>
              </w:rPr>
              <w:t>。</w:t>
            </w:r>
          </w:p>
        </w:tc>
      </w:tr>
      <w:tr w14:paraId="74AA63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3D98496">
            <w:pPr>
              <w:snapToGrid w:val="0"/>
              <w:spacing w:line="400" w:lineRule="exact"/>
              <w:jc w:val="center"/>
              <w:rPr>
                <w:rFonts w:hint="eastAsia" w:ascii="宋体" w:hAnsi="宋体" w:cs="宋体"/>
                <w:kern w:val="0"/>
                <w:szCs w:val="21"/>
              </w:rPr>
            </w:pPr>
            <w:r>
              <w:rPr>
                <w:rFonts w:hint="eastAsia" w:ascii="宋体" w:hAnsi="宋体" w:cs="宋体"/>
                <w:kern w:val="0"/>
                <w:szCs w:val="21"/>
              </w:rPr>
              <w:t>10.6</w:t>
            </w:r>
          </w:p>
        </w:tc>
        <w:tc>
          <w:tcPr>
            <w:tcW w:w="1615" w:type="dxa"/>
            <w:vAlign w:val="center"/>
          </w:tcPr>
          <w:p w14:paraId="4897A3E8">
            <w:pPr>
              <w:snapToGrid w:val="0"/>
              <w:spacing w:line="400" w:lineRule="exact"/>
              <w:jc w:val="center"/>
              <w:rPr>
                <w:rFonts w:hint="eastAsia" w:ascii="宋体" w:hAnsi="宋体" w:cs="宋体"/>
                <w:kern w:val="0"/>
                <w:szCs w:val="21"/>
              </w:rPr>
            </w:pPr>
            <w:r>
              <w:rPr>
                <w:rFonts w:hint="eastAsia" w:ascii="宋体" w:hAnsi="宋体" w:cs="宋体"/>
                <w:kern w:val="0"/>
                <w:szCs w:val="21"/>
              </w:rPr>
              <w:t>低价风险担保</w:t>
            </w:r>
          </w:p>
          <w:p w14:paraId="5C6334EB">
            <w:pPr>
              <w:snapToGrid w:val="0"/>
              <w:spacing w:line="400" w:lineRule="exact"/>
              <w:jc w:val="center"/>
              <w:rPr>
                <w:rFonts w:hint="eastAsia" w:ascii="宋体" w:hAnsi="宋体" w:cs="宋体"/>
                <w:kern w:val="0"/>
                <w:szCs w:val="21"/>
              </w:rPr>
            </w:pPr>
            <w:r>
              <w:rPr>
                <w:rFonts w:hint="eastAsia" w:ascii="宋体" w:hAnsi="宋体" w:cs="宋体"/>
                <w:kern w:val="0"/>
                <w:szCs w:val="21"/>
              </w:rPr>
              <w:t>（仅</w:t>
            </w:r>
            <w:r>
              <w:rPr>
                <w:rFonts w:ascii="宋体" w:hAnsi="宋体" w:cs="宋体"/>
                <w:kern w:val="0"/>
                <w:szCs w:val="21"/>
              </w:rPr>
              <w:t>适用于</w:t>
            </w:r>
            <w:r>
              <w:rPr>
                <w:rFonts w:hint="eastAsia" w:ascii="宋体" w:hAnsi="宋体" w:cs="宋体"/>
                <w:kern w:val="0"/>
                <w:szCs w:val="21"/>
              </w:rPr>
              <w:t>采用经评审的最低投标价法的项目）</w:t>
            </w:r>
          </w:p>
        </w:tc>
        <w:tc>
          <w:tcPr>
            <w:tcW w:w="6519" w:type="dxa"/>
            <w:vAlign w:val="center"/>
          </w:tcPr>
          <w:p w14:paraId="7373D5D5">
            <w:pPr>
              <w:widowControl/>
              <w:spacing w:line="400" w:lineRule="exact"/>
              <w:ind w:firstLine="420" w:firstLineChars="200"/>
              <w:rPr>
                <w:rFonts w:hint="eastAsia"/>
                <w:i/>
                <w:iCs/>
              </w:rPr>
            </w:pPr>
            <w:r>
              <w:rPr>
                <w:rFonts w:hint="eastAsia"/>
                <w:i/>
                <w:iCs/>
              </w:rPr>
              <w:t>[提示：采用经评审的最低投标价法的招标项目，招标人应当在招标文件中要求</w:t>
            </w:r>
            <w:r>
              <w:rPr>
                <w:rFonts w:hint="eastAsia" w:ascii="宋体" w:hAnsi="宋体"/>
                <w:i/>
                <w:kern w:val="0"/>
                <w:szCs w:val="21"/>
              </w:rPr>
              <w:t>中标人（或</w:t>
            </w:r>
            <w:r>
              <w:rPr>
                <w:rFonts w:hint="eastAsia"/>
                <w:i/>
                <w:iCs/>
              </w:rPr>
              <w:t>拟中标人）提交低价风险担保，并明确担保方式和扣减担保金额的情形。</w:t>
            </w:r>
            <w:r>
              <w:rPr>
                <w:rFonts w:hint="eastAsia" w:ascii="宋体" w:hAnsi="宋体"/>
                <w:i/>
                <w:kern w:val="0"/>
                <w:szCs w:val="21"/>
              </w:rPr>
              <w:t>低价风险担保提交标准为最高限价的85%与中标价格差额的1-3倍(即低价风险担保差额倍数），且最高不超过最高限价的85%</w:t>
            </w:r>
            <w:r>
              <w:rPr>
                <w:rFonts w:hint="eastAsia"/>
                <w:i/>
                <w:iCs/>
              </w:rPr>
              <w:t>。担保方式可以采用现金、银行保函</w:t>
            </w:r>
            <w:r>
              <w:rPr>
                <w:rFonts w:hint="eastAsia" w:ascii="宋体" w:hAnsi="宋体"/>
                <w:i/>
                <w:kern w:val="0"/>
                <w:szCs w:val="21"/>
              </w:rPr>
              <w:t>、现金与银行保函组合形式，任何单位或个人不得只限定其中一种方式提交低价风险担保。对采用现金提交低价风险担保的，招标人应允许中标人（或拟中标人）用符合要求的银行保函置换</w:t>
            </w:r>
            <w:r>
              <w:rPr>
                <w:rFonts w:hint="eastAsia"/>
                <w:i/>
                <w:iCs/>
              </w:rPr>
              <w:t>。</w:t>
            </w:r>
          </w:p>
          <w:p w14:paraId="1909B319">
            <w:pPr>
              <w:widowControl/>
              <w:spacing w:line="400" w:lineRule="exact"/>
              <w:ind w:firstLine="420" w:firstLineChars="200"/>
              <w:rPr>
                <w:rFonts w:hint="eastAsia"/>
                <w:i/>
                <w:iCs/>
              </w:rPr>
            </w:pPr>
            <w:r>
              <w:rPr>
                <w:rFonts w:hint="eastAsia" w:ascii="宋体" w:hAnsi="宋体"/>
                <w:i/>
                <w:kern w:val="0"/>
                <w:szCs w:val="21"/>
              </w:rPr>
              <w:t>招标人在发出中标通知书之前(或同时)，应当将拟中标人提交低价风险担保的书面通知送达拟中标人。书面通知中应明确提交金额，提交截止时间，其中提交低价风险担保期限的起始时间从中标通知书送达拟中标人开始计算</w:t>
            </w:r>
            <w:r>
              <w:rPr>
                <w:rFonts w:hint="eastAsia"/>
                <w:i/>
                <w:iCs/>
              </w:rPr>
              <w:t>。招标人应当充分考虑拟中标人低价风险担保提交、手续办理时间等因素，从招标人</w:t>
            </w:r>
            <w:r>
              <w:rPr>
                <w:rFonts w:hint="eastAsia" w:ascii="宋体" w:hAnsi="宋体"/>
                <w:i/>
                <w:kern w:val="0"/>
                <w:szCs w:val="21"/>
              </w:rPr>
              <w:t>中标通知书</w:t>
            </w:r>
            <w:r>
              <w:rPr>
                <w:rFonts w:hint="eastAsia"/>
                <w:i/>
                <w:iCs/>
              </w:rPr>
              <w:t>送达拟中标人之日起到拟中标人将低价风险担保提交送达至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r>
              <w:rPr>
                <w:rFonts w:hint="eastAsia" w:ascii="宋体" w:hAnsi="宋体"/>
                <w:i/>
                <w:kern w:val="0"/>
                <w:szCs w:val="21"/>
              </w:rPr>
              <w:t>确实属于可以延长提交期限的特殊情形的，经招标人同意，可适当延长低价风险担保的提交期限。</w:t>
            </w:r>
            <w:r>
              <w:rPr>
                <w:rFonts w:hint="eastAsia"/>
                <w:i/>
                <w:iCs/>
              </w:rPr>
              <w:t>]</w:t>
            </w:r>
          </w:p>
          <w:p w14:paraId="5CD65191">
            <w:pPr>
              <w:widowControl/>
              <w:spacing w:line="400" w:lineRule="exact"/>
              <w:ind w:firstLine="420" w:firstLineChars="200"/>
              <w:rPr>
                <w:rFonts w:hint="eastAsia"/>
              </w:rPr>
            </w:pPr>
            <w:r>
              <w:rPr>
                <w:rFonts w:hint="eastAsia"/>
              </w:rPr>
              <w:t>1、低价风险担保：中标价低于最高限价的85%时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6C1F7C19">
            <w:pPr>
              <w:widowControl/>
              <w:spacing w:line="400" w:lineRule="exact"/>
              <w:ind w:firstLine="420" w:firstLineChars="200"/>
              <w:rPr>
                <w:rFonts w:hint="eastAsia"/>
              </w:rPr>
            </w:pPr>
            <w:r>
              <w:rPr>
                <w:rFonts w:hint="eastAsia"/>
              </w:rPr>
              <w:t>2、中标人提供低价风险担保的形式、金额及期限：</w:t>
            </w:r>
          </w:p>
          <w:p w14:paraId="102A73BA">
            <w:pPr>
              <w:widowControl/>
              <w:spacing w:line="400" w:lineRule="exact"/>
              <w:ind w:firstLine="420" w:firstLineChars="200"/>
              <w:rPr>
                <w:rFonts w:hint="eastAsia"/>
                <w:u w:val="single"/>
              </w:rPr>
            </w:pPr>
            <w:r>
              <w:rPr>
                <w:rFonts w:hint="eastAsia"/>
              </w:rPr>
              <w:t>（1）低价风险担保的形式：现金或银行保函或现金+银行保函的组合；采用银行保函形式的，保函必须为不可撤销、不可转让且见索即付的独立保函，保函格式详见第四章合同条款及格式附件，中标人出具保函时，</w:t>
            </w:r>
            <w:r>
              <w:rPr>
                <w:rFonts w:hint="eastAsia" w:ascii="宋体" w:hAnsi="宋体"/>
                <w:szCs w:val="21"/>
              </w:rPr>
              <w:t>不得修改“低价风险担保保函”名称，也不得对低价风险担保保函示范文本中付款条件等实质性内容进行修改，否则视为不符合招标文件规定</w:t>
            </w:r>
            <w:r>
              <w:rPr>
                <w:rFonts w:hint="eastAsia"/>
              </w:rPr>
              <w:t>。</w:t>
            </w:r>
          </w:p>
          <w:p w14:paraId="37C9BF28">
            <w:pPr>
              <w:autoSpaceDE w:val="0"/>
              <w:autoSpaceDN w:val="0"/>
              <w:adjustRightInd w:val="0"/>
              <w:snapToGrid w:val="0"/>
              <w:spacing w:line="400" w:lineRule="exact"/>
              <w:ind w:firstLine="420" w:firstLineChars="200"/>
              <w:rPr>
                <w:rFonts w:hint="eastAsia"/>
                <w:lang w:eastAsia="zh-CN"/>
              </w:rPr>
            </w:pPr>
            <w:r>
              <w:rPr>
                <w:rFonts w:hint="eastAsia"/>
              </w:rPr>
              <w:t>（2）低价风险担保的金额：（最高限价×85%-中标价）×□1□2□3，</w:t>
            </w:r>
            <w:r>
              <w:t>且最高不超过最高限价的85%</w:t>
            </w:r>
            <w:r>
              <w:rPr>
                <w:rFonts w:hint="eastAsia"/>
                <w:lang w:eastAsia="zh-CN"/>
              </w:rPr>
              <w:t>。</w:t>
            </w:r>
            <w:r>
              <w:rPr>
                <w:rFonts w:hint="eastAsia" w:ascii="宋体" w:hAnsi="宋体"/>
                <w:i/>
                <w:iCs/>
                <w:kern w:val="0"/>
                <w:szCs w:val="21"/>
              </w:rPr>
              <w:t>[提示：招标项目最高限价超过10亿元（含）的，低价风险担保差额倍数设置为1倍；招标项目最高限价在1亿元（含）至10亿元（不含）之间的，低价风险担保差额倍数设置为1-2倍；招标项目最高限价低于1亿元（不含）的，低价风险担保差额倍数设置为1-3倍。]</w:t>
            </w:r>
          </w:p>
          <w:p w14:paraId="1D0CC35D">
            <w:pPr>
              <w:autoSpaceDE w:val="0"/>
              <w:autoSpaceDN w:val="0"/>
              <w:adjustRightInd w:val="0"/>
              <w:snapToGrid w:val="0"/>
              <w:spacing w:line="400" w:lineRule="exact"/>
              <w:ind w:firstLine="420" w:firstLineChars="200"/>
              <w:rPr>
                <w:rFonts w:hint="eastAsia"/>
                <w:lang w:eastAsia="zh-CN"/>
              </w:rPr>
            </w:pPr>
            <w:r>
              <w:rPr>
                <w:rFonts w:hint="eastAsia"/>
              </w:rPr>
              <w:t>①红名单优惠：红名单中的中标人低价风险担保金额为应提交金额</w:t>
            </w:r>
            <w:r>
              <w:rPr>
                <w:rFonts w:hint="eastAsia"/>
                <w:u w:val="single"/>
              </w:rPr>
              <w:t xml:space="preserve">    </w:t>
            </w:r>
            <w:r>
              <w:rPr>
                <w:rFonts w:hint="eastAsia"/>
              </w:rPr>
              <w:t>（50%～80%）</w:t>
            </w:r>
            <w:r>
              <w:rPr>
                <w:rFonts w:hint="eastAsia"/>
                <w:lang w:eastAsia="zh-CN"/>
              </w:rPr>
              <w:t>。</w:t>
            </w:r>
          </w:p>
          <w:p w14:paraId="68928517">
            <w:pPr>
              <w:autoSpaceDE w:val="0"/>
              <w:autoSpaceDN w:val="0"/>
              <w:adjustRightInd w:val="0"/>
              <w:snapToGrid w:val="0"/>
              <w:spacing w:line="400" w:lineRule="exact"/>
              <w:ind w:firstLine="420" w:firstLineChars="200"/>
              <w:rPr>
                <w:rFonts w:hint="eastAsia"/>
              </w:rPr>
            </w:pPr>
            <w:r>
              <w:rPr>
                <w:rFonts w:hint="eastAsia"/>
              </w:rPr>
              <w:t>②红名单认定标准：</w:t>
            </w:r>
          </w:p>
          <w:p w14:paraId="1B71C097">
            <w:pPr>
              <w:autoSpaceDE w:val="0"/>
              <w:autoSpaceDN w:val="0"/>
              <w:adjustRightInd w:val="0"/>
              <w:snapToGrid w:val="0"/>
              <w:spacing w:line="400" w:lineRule="exact"/>
              <w:ind w:firstLine="420" w:firstLineChars="200"/>
              <w:rPr>
                <w:rFonts w:hint="eastAsia"/>
              </w:rPr>
            </w:pPr>
            <w:r>
              <w:rPr>
                <w:rFonts w:hint="eastAsia"/>
              </w:rPr>
              <w:t>□方式一：非联合体中标的，须中标人所属红名单类别包含在招标范围内；联合体中标的，须联合体牵头人在红名单中，并且按照联合体协议牵头人所属红名单类别包含在其工作范围内。中标人是否属于红名单，以</w:t>
            </w:r>
            <w:r>
              <w:rPr>
                <w:rFonts w:hint="eastAsia"/>
                <w:u w:val="single"/>
              </w:rPr>
              <w:t xml:space="preserve">    </w:t>
            </w:r>
            <w:r>
              <w:rPr>
                <w:rFonts w:hint="eastAsia"/>
              </w:rPr>
              <w:t>为准。</w:t>
            </w:r>
            <w:r>
              <w:rPr>
                <w:rFonts w:hint="eastAsia"/>
                <w:i/>
                <w:iCs/>
              </w:rPr>
              <w:t>[提示：以开标环节信用状况查询结果为准或者以中标通知书落款时间当日信用状况查询结果为准或者由招标人自行明确其他方式。]</w:t>
            </w:r>
          </w:p>
          <w:p w14:paraId="3C89E399">
            <w:pPr>
              <w:autoSpaceDE w:val="0"/>
              <w:autoSpaceDN w:val="0"/>
              <w:adjustRightInd w:val="0"/>
              <w:snapToGrid w:val="0"/>
              <w:spacing w:line="400" w:lineRule="exact"/>
              <w:ind w:firstLine="420" w:firstLineChars="200"/>
              <w:rPr>
                <w:rFonts w:hint="eastAsia"/>
              </w:rPr>
            </w:pPr>
            <w:r>
              <w:rPr>
                <w:rFonts w:hint="eastAsia" w:ascii="宋体" w:hAnsi="宋体"/>
                <w:i w:val="0"/>
                <w:iCs w:val="0"/>
                <w:kern w:val="0"/>
                <w:szCs w:val="21"/>
              </w:rPr>
              <w:t>□方式二：</w:t>
            </w:r>
            <w:r>
              <w:rPr>
                <w:rFonts w:hint="eastAsia" w:ascii="宋体" w:hAnsi="宋体"/>
                <w:i w:val="0"/>
                <w:iCs w:val="0"/>
                <w:kern w:val="0"/>
                <w:szCs w:val="21"/>
                <w:u w:val="single"/>
              </w:rPr>
              <w:t xml:space="preserve">     </w:t>
            </w:r>
            <w:r>
              <w:rPr>
                <w:rFonts w:hint="eastAsia" w:ascii="宋体" w:hAnsi="宋体"/>
                <w:i/>
                <w:iCs/>
                <w:kern w:val="0"/>
                <w:szCs w:val="21"/>
              </w:rPr>
              <w:t>[提示：由招标人自行明确认定标准]</w:t>
            </w:r>
            <w:r>
              <w:rPr>
                <w:rFonts w:hint="eastAsia" w:ascii="宋体" w:hAnsi="宋体"/>
                <w:i w:val="0"/>
                <w:iCs w:val="0"/>
                <w:kern w:val="0"/>
                <w:szCs w:val="21"/>
              </w:rPr>
              <w:t>。中标人是否属于红名单，以</w:t>
            </w:r>
            <w:r>
              <w:rPr>
                <w:rFonts w:hint="eastAsia" w:ascii="宋体" w:hAnsi="宋体"/>
                <w:i w:val="0"/>
                <w:iCs w:val="0"/>
                <w:kern w:val="0"/>
                <w:szCs w:val="21"/>
                <w:u w:val="single"/>
              </w:rPr>
              <w:t xml:space="preserve">    </w:t>
            </w:r>
            <w:r>
              <w:rPr>
                <w:rFonts w:hint="eastAsia" w:ascii="宋体" w:hAnsi="宋体"/>
                <w:i w:val="0"/>
                <w:iCs w:val="0"/>
                <w:kern w:val="0"/>
                <w:szCs w:val="21"/>
              </w:rPr>
              <w:t>为准。</w:t>
            </w:r>
            <w:r>
              <w:rPr>
                <w:rFonts w:hint="eastAsia" w:ascii="宋体" w:hAnsi="宋体"/>
                <w:i/>
                <w:iCs/>
                <w:kern w:val="0"/>
                <w:szCs w:val="21"/>
              </w:rPr>
              <w:t>[提示：以开标环节信用状况查询结果为准或者以中标通知书落款时间当日信用状况查询结果为准或者由招标人自行明确其他方式。]</w:t>
            </w:r>
          </w:p>
          <w:p w14:paraId="7E5B416D">
            <w:pPr>
              <w:widowControl/>
              <w:spacing w:line="400" w:lineRule="exact"/>
              <w:ind w:firstLine="420" w:firstLineChars="200"/>
              <w:rPr>
                <w:rFonts w:hint="eastAsia"/>
              </w:rPr>
            </w:pPr>
            <w:r>
              <w:rPr>
                <w:rFonts w:hint="eastAsia"/>
              </w:rPr>
              <w:t>（3）低价风险担保送达招标人的时间：从招标人</w:t>
            </w:r>
            <w:r>
              <w:rPr>
                <w:rFonts w:hint="eastAsia"/>
                <w:szCs w:val="21"/>
              </w:rPr>
              <w:t>中标通知书</w:t>
            </w:r>
            <w:r>
              <w:rPr>
                <w:rFonts w:hint="eastAsia"/>
              </w:rPr>
              <w:t>送达拟中标人之日起</w:t>
            </w:r>
            <w:r>
              <w:rPr>
                <w:rFonts w:hint="eastAsia"/>
                <w:u w:val="single"/>
              </w:rPr>
              <w:t xml:space="preserve">    </w:t>
            </w:r>
            <w:r>
              <w:rPr>
                <w:rFonts w:hint="eastAsia"/>
              </w:rPr>
              <w:t>工作日内；</w:t>
            </w:r>
          </w:p>
          <w:p w14:paraId="5B398BDF">
            <w:pPr>
              <w:widowControl/>
              <w:spacing w:line="400" w:lineRule="exact"/>
              <w:ind w:firstLine="420" w:firstLineChars="200"/>
              <w:rPr>
                <w:rFonts w:hint="eastAsia"/>
              </w:rPr>
            </w:pPr>
            <w:r>
              <w:rPr>
                <w:rFonts w:hint="eastAsia"/>
              </w:rPr>
              <w:t>（4）中标人因自身原因未按中标通知书规定的时限与招标人签订合同的，其以现金形式提交低价风险担保的，招标人有权扣除其低价风险担保金并取消其中标资格；以保函形式提交低价风险担保的，招标人有权要求保函开立人支付保函担保的与低价风险担保金额等额的款项并取消中标人中标资格；中标人因自身原因未按中标通知书规定的时限与招标人签订合同，</w:t>
            </w:r>
            <w:r>
              <w:t>且</w:t>
            </w:r>
            <w:r>
              <w:rPr>
                <w:rFonts w:hint="eastAsia"/>
              </w:rPr>
              <w:t>未提交低价风险担保金或低价风险保函的，招标人有权要求中标人承担低价风险担保金等额的损失并取消中标人资格。</w:t>
            </w:r>
          </w:p>
          <w:p w14:paraId="6929AB6C">
            <w:pPr>
              <w:widowControl/>
              <w:spacing w:line="400" w:lineRule="exact"/>
              <w:ind w:firstLine="420" w:firstLineChars="200"/>
              <w:rPr>
                <w:rFonts w:hint="eastAsia"/>
              </w:rPr>
            </w:pPr>
            <w:r>
              <w:rPr>
                <w:rFonts w:hint="eastAsia"/>
              </w:rPr>
              <w:t>（5）低价风险担保的期限：</w:t>
            </w:r>
            <w:r>
              <w:rPr>
                <w:rFonts w:hint="eastAsia"/>
                <w:u w:val="single"/>
              </w:rPr>
              <w:t>自低价风险担保生效之日起至工程竣（交）工验收合格之日止</w:t>
            </w:r>
            <w:r>
              <w:rPr>
                <w:rFonts w:hint="eastAsia"/>
              </w:rPr>
              <w:t>。</w:t>
            </w:r>
          </w:p>
          <w:p w14:paraId="41BF0001">
            <w:pPr>
              <w:widowControl/>
              <w:spacing w:line="400" w:lineRule="exact"/>
              <w:ind w:firstLine="420" w:firstLineChars="200"/>
              <w:rPr>
                <w:rFonts w:hint="eastAsia"/>
              </w:rPr>
            </w:pPr>
            <w:r>
              <w:rPr>
                <w:rFonts w:hint="eastAsia"/>
              </w:rPr>
              <w:t>3、低价风险担保的退还时间：见专用合同条款。</w:t>
            </w:r>
          </w:p>
          <w:p w14:paraId="163FEC08">
            <w:pPr>
              <w:widowControl/>
              <w:spacing w:line="400" w:lineRule="exact"/>
              <w:ind w:firstLine="420" w:firstLineChars="200"/>
              <w:rPr>
                <w:rFonts w:hint="eastAsia"/>
              </w:rPr>
            </w:pPr>
            <w:r>
              <w:rPr>
                <w:rFonts w:hint="eastAsia"/>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保证金的，取消其中标资格，投标保证金</w:t>
            </w:r>
            <w:r>
              <w:rPr>
                <w:rFonts w:hint="eastAsia" w:ascii="宋体" w:hAnsi="宋体" w:cs="宋体"/>
                <w:szCs w:val="21"/>
              </w:rPr>
              <w:t>以现金形式交纳的不予退还，以保函形式交纳的由保函开立人支付保函担保的与投标保证金等额的款项</w:t>
            </w:r>
            <w:r>
              <w:rPr>
                <w:rFonts w:hint="eastAsia"/>
              </w:rPr>
              <w:t>，给招标人造成的损失超过投标保证金数额的，拟中标人或中标人应对超过部分予以赔偿。</w:t>
            </w:r>
          </w:p>
          <w:p w14:paraId="56EA1F6C">
            <w:pPr>
              <w:widowControl/>
              <w:spacing w:line="400" w:lineRule="exact"/>
              <w:ind w:firstLine="420" w:firstLineChars="200"/>
              <w:rPr>
                <w:rFonts w:hint="eastAsia"/>
              </w:rPr>
            </w:pPr>
            <w:r>
              <w:rPr>
                <w:rFonts w:hint="eastAsia"/>
              </w:rPr>
              <w:t>备注：当中标人或拟中标人未按时提交低价风险担保，且属于可以延长低价风险担保提交期限的特殊情形时，经招标人同意，可适当延长低价风险担保的提交期限。</w:t>
            </w:r>
          </w:p>
          <w:p w14:paraId="7B55D79E">
            <w:pPr>
              <w:widowControl/>
              <w:spacing w:line="400" w:lineRule="exact"/>
              <w:ind w:firstLine="420" w:firstLineChars="200"/>
              <w:rPr>
                <w:rFonts w:hint="eastAsia"/>
              </w:rPr>
            </w:pPr>
            <w:r>
              <w:rPr>
                <w:rFonts w:hint="eastAsia"/>
              </w:rPr>
              <w:t>5、投标总报价低于最高限价85%的，投标人应在编制投标文件时，在投标函部分中递交低价风险担保提交承诺书。承诺书格式详见第九章投标文件格式。</w:t>
            </w:r>
          </w:p>
        </w:tc>
      </w:tr>
      <w:tr w14:paraId="292737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159CF1F">
            <w:pPr>
              <w:snapToGrid w:val="0"/>
              <w:spacing w:line="400" w:lineRule="exact"/>
              <w:jc w:val="center"/>
              <w:rPr>
                <w:rFonts w:hint="eastAsia" w:ascii="宋体" w:hAnsi="宋体" w:cs="宋体"/>
                <w:kern w:val="0"/>
                <w:szCs w:val="21"/>
              </w:rPr>
            </w:pPr>
            <w:r>
              <w:rPr>
                <w:rFonts w:hint="eastAsia" w:ascii="宋体" w:hAnsi="宋体" w:cs="宋体"/>
                <w:kern w:val="0"/>
                <w:szCs w:val="21"/>
              </w:rPr>
              <w:t>10.7</w:t>
            </w:r>
          </w:p>
        </w:tc>
        <w:tc>
          <w:tcPr>
            <w:tcW w:w="1615" w:type="dxa"/>
            <w:vAlign w:val="center"/>
          </w:tcPr>
          <w:p w14:paraId="4C127813">
            <w:pPr>
              <w:snapToGrid w:val="0"/>
              <w:spacing w:line="400" w:lineRule="exact"/>
              <w:jc w:val="center"/>
              <w:rPr>
                <w:rFonts w:hint="eastAsia" w:ascii="宋体" w:hAnsi="宋体" w:cs="宋体"/>
                <w:kern w:val="0"/>
                <w:szCs w:val="21"/>
              </w:rPr>
            </w:pPr>
            <w:r>
              <w:rPr>
                <w:rFonts w:hint="eastAsia" w:ascii="宋体" w:hAnsi="宋体" w:cs="宋体"/>
                <w:kern w:val="0"/>
                <w:szCs w:val="21"/>
              </w:rPr>
              <w:t>关于对招标文件及投标争议的解释</w:t>
            </w:r>
          </w:p>
        </w:tc>
        <w:tc>
          <w:tcPr>
            <w:tcW w:w="6519" w:type="dxa"/>
            <w:vAlign w:val="center"/>
          </w:tcPr>
          <w:p w14:paraId="6B591195">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对招标文件的评标标准和方法，以及资格审查和否决投标条款理解有争议的，应当作出不利于招标人的解释，但违背国家利益、社会公共利益的除外。</w:t>
            </w:r>
          </w:p>
          <w:p w14:paraId="698ED0AF">
            <w:pPr>
              <w:autoSpaceDE w:val="0"/>
              <w:autoSpaceDN w:val="0"/>
              <w:adjustRightInd w:val="0"/>
              <w:snapToGrid w:val="0"/>
              <w:spacing w:line="400" w:lineRule="exact"/>
              <w:ind w:firstLine="420" w:firstLineChars="200"/>
              <w:rPr>
                <w:rFonts w:hint="eastAsia" w:ascii="宋体" w:hAnsi="宋体" w:cs="宋体"/>
                <w:kern w:val="0"/>
                <w:szCs w:val="21"/>
              </w:rPr>
            </w:pPr>
            <w:r>
              <w:rPr>
                <w:rFonts w:hint="eastAsia" w:ascii="宋体" w:hAnsi="宋体" w:cs="宋体"/>
                <w:kern w:val="0"/>
                <w:szCs w:val="21"/>
              </w:rPr>
              <w:t>对投标文件理解有争议的，应当作出不利于提交该投标文件的投标人的解释。</w:t>
            </w:r>
          </w:p>
        </w:tc>
      </w:tr>
      <w:tr w14:paraId="03C691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9F4477E">
            <w:pPr>
              <w:snapToGrid w:val="0"/>
              <w:spacing w:line="400" w:lineRule="exact"/>
              <w:jc w:val="center"/>
              <w:rPr>
                <w:rFonts w:hint="eastAsia" w:ascii="宋体" w:hAnsi="宋体" w:cs="宋体"/>
                <w:kern w:val="0"/>
                <w:szCs w:val="21"/>
              </w:rPr>
            </w:pPr>
            <w:r>
              <w:rPr>
                <w:rFonts w:hint="eastAsia" w:ascii="宋体" w:hAnsi="宋体" w:cs="宋体"/>
                <w:kern w:val="0"/>
                <w:szCs w:val="21"/>
              </w:rPr>
              <w:t>10.8</w:t>
            </w:r>
          </w:p>
        </w:tc>
        <w:tc>
          <w:tcPr>
            <w:tcW w:w="1615" w:type="dxa"/>
            <w:vAlign w:val="center"/>
          </w:tcPr>
          <w:p w14:paraId="4555C3CA">
            <w:pPr>
              <w:snapToGrid w:val="0"/>
              <w:spacing w:line="400" w:lineRule="exact"/>
              <w:jc w:val="center"/>
              <w:rPr>
                <w:rFonts w:hint="eastAsia" w:ascii="宋体" w:hAnsi="宋体" w:cs="宋体"/>
                <w:kern w:val="0"/>
                <w:szCs w:val="21"/>
              </w:rPr>
            </w:pPr>
            <w:r>
              <w:rPr>
                <w:rFonts w:hint="eastAsia" w:ascii="宋体" w:hAnsi="宋体" w:cs="宋体"/>
                <w:kern w:val="0"/>
                <w:szCs w:val="21"/>
              </w:rPr>
              <w:t>投标人注意事项</w:t>
            </w:r>
          </w:p>
        </w:tc>
        <w:tc>
          <w:tcPr>
            <w:tcW w:w="6519" w:type="dxa"/>
            <w:vAlign w:val="center"/>
          </w:tcPr>
          <w:p w14:paraId="41DC5294">
            <w:pPr>
              <w:autoSpaceDE w:val="0"/>
              <w:autoSpaceDN w:val="0"/>
              <w:adjustRightInd w:val="0"/>
              <w:snapToGrid w:val="0"/>
              <w:spacing w:line="400" w:lineRule="exact"/>
              <w:ind w:firstLine="420" w:firstLineChars="200"/>
              <w:rPr>
                <w:rFonts w:hint="eastAsia"/>
              </w:rPr>
            </w:pPr>
            <w:r>
              <w:rPr>
                <w:rFonts w:hint="eastAsia"/>
              </w:rPr>
              <w:t>1. 本次投标采用全流程电子开评标模式，第一次参与投标的单位务必在重庆市公共资源交易网完成市场主体信息登记以及 CA 数字证书办理，并且下载新点投标文件制作软件（重庆版）制作投标文件。</w:t>
            </w:r>
          </w:p>
          <w:p w14:paraId="4A7F7799">
            <w:pPr>
              <w:adjustRightInd w:val="0"/>
              <w:snapToGrid w:val="0"/>
              <w:spacing w:line="400" w:lineRule="exact"/>
              <w:ind w:firstLine="420" w:firstLineChars="200"/>
              <w:jc w:val="left"/>
              <w:rPr>
                <w:rFonts w:hint="eastAsia"/>
              </w:rPr>
            </w:pPr>
            <w:r>
              <w:rPr>
                <w:rFonts w:hint="eastAsia"/>
              </w:rPr>
              <w:t>2. 制作投标文件需要使用CA 数字证书加密，并且加盖电子印章，CA 数字证书购买及办理方式请参见重庆市公共资源交易网导航栏“主体信息”页面中“市场主体信息登记”“CA数字证书办理”。</w:t>
            </w:r>
          </w:p>
          <w:p w14:paraId="4E047BE3">
            <w:pPr>
              <w:autoSpaceDE w:val="0"/>
              <w:autoSpaceDN w:val="0"/>
              <w:adjustRightInd w:val="0"/>
              <w:snapToGrid w:val="0"/>
              <w:spacing w:line="400" w:lineRule="exact"/>
              <w:ind w:firstLine="420" w:firstLineChars="200"/>
              <w:rPr>
                <w:rFonts w:hint="eastAsia"/>
              </w:rPr>
            </w:pPr>
            <w:r>
              <w:rPr>
                <w:rFonts w:hint="eastAsia"/>
              </w:rPr>
              <w:t>3. 投标人应当在投标截止时间前，通过互联网使用CA数字证书登录重庆市电子招投标系统，将加密的电子投标文件上传，未按规定加密将无法上传。投标人应充分考虑上传文件时的不可预见因素，逾期未完成上传投标文件的，视为撤回投标文件。</w:t>
            </w:r>
          </w:p>
          <w:p w14:paraId="4FFB2113">
            <w:pPr>
              <w:autoSpaceDE w:val="0"/>
              <w:autoSpaceDN w:val="0"/>
              <w:adjustRightInd w:val="0"/>
              <w:snapToGrid w:val="0"/>
              <w:spacing w:line="400" w:lineRule="exact"/>
              <w:ind w:firstLine="420" w:firstLineChars="200"/>
            </w:pPr>
            <w:r>
              <w:rPr>
                <w:rFonts w:hint="eastAsia"/>
              </w:rPr>
              <w:t>4. 开标活动由招标人主持，邀请所有投标人参加。投标人未在开标现场提出异议，或者不见面开标系统未收到投标人异议的，视为投标人默认开标结果。</w:t>
            </w:r>
          </w:p>
          <w:p w14:paraId="6BC8FEBE">
            <w:pPr>
              <w:autoSpaceDE w:val="0"/>
              <w:autoSpaceDN w:val="0"/>
              <w:adjustRightInd w:val="0"/>
              <w:snapToGrid w:val="0"/>
              <w:spacing w:line="400" w:lineRule="exact"/>
              <w:ind w:firstLine="420" w:firstLineChars="200"/>
              <w:rPr>
                <w:rFonts w:hint="eastAsia"/>
              </w:rPr>
            </w:pPr>
            <w:r>
              <w:rPr>
                <w:rFonts w:hint="eastAsia"/>
              </w:rPr>
              <w:t>5. 投标人应按时解密，在评标结束前应在线或在现场关注项目进展情况，确保通讯联系正常。如评标委员会要求投标人澄清的，投标人应确保及时回复，否则视为拒绝按评标委员会要求澄清、说明或补正。</w:t>
            </w:r>
          </w:p>
          <w:p w14:paraId="03884D4D">
            <w:pPr>
              <w:adjustRightInd w:val="0"/>
              <w:snapToGrid w:val="0"/>
              <w:spacing w:line="400" w:lineRule="exact"/>
              <w:ind w:firstLine="420" w:firstLineChars="200"/>
            </w:pPr>
            <w:r>
              <w:rPr>
                <w:rFonts w:hint="eastAsia"/>
              </w:rPr>
              <w:t xml:space="preserve">6. </w:t>
            </w:r>
            <w:r>
              <w:rPr>
                <w:rFonts w:hint="eastAsia" w:ascii="宋体" w:hAnsi="宋体"/>
                <w:kern w:val="0"/>
                <w:szCs w:val="21"/>
              </w:rPr>
              <w:t>电子投标文件编制要求</w:t>
            </w:r>
          </w:p>
          <w:p w14:paraId="4A99B78D">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（1）电子投标文件由投标人使用专用的“新点投标文件制作软件（重庆版）”制作生成。</w:t>
            </w:r>
          </w:p>
          <w:p w14:paraId="78A7B523">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（2）投标人在编制电子投标文件时应当建立分级目录，并按照标签提示导入相关内容。</w:t>
            </w:r>
          </w:p>
          <w:p w14:paraId="6A7DCEE1">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（3）按本章前附表第3.7.3项签名盖章要求进行投标文件的签署。</w:t>
            </w:r>
          </w:p>
          <w:p w14:paraId="28A15273">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（4）电子投标文件制作完成后，将生成一份加密的电子投标文件（后缀名为. CQTF）和一份不加密的电子投标文件（后缀名为. nCQTF）。</w:t>
            </w:r>
          </w:p>
          <w:p w14:paraId="70F10B21">
            <w:pPr>
              <w:adjustRightInd w:val="0"/>
              <w:snapToGrid w:val="0"/>
              <w:spacing w:line="400" w:lineRule="exact"/>
              <w:ind w:firstLine="420" w:firstLineChars="200"/>
              <w:rPr>
                <w:rFonts w:hint="eastAsia" w:ascii="宋体" w:hAnsi="宋体" w:cs="宋体"/>
                <w:szCs w:val="21"/>
              </w:rPr>
            </w:pPr>
            <w:r>
              <w:rPr>
                <w:rFonts w:hint="eastAsia" w:ascii="宋体" w:hAnsi="宋体" w:cs="宋体"/>
                <w:szCs w:val="21"/>
              </w:rPr>
              <w:t>（5）投标人如需递交不加密电子投标文件的，应将不加密的电子投标文件复制到一张光盘中（光盘备份），光盘表面粘贴标签贴，并将招标项目名称、投标人名称等信息填写在标签贴上。</w:t>
            </w:r>
          </w:p>
          <w:p w14:paraId="49804703">
            <w:pPr>
              <w:adjustRightInd w:val="0"/>
              <w:snapToGrid w:val="0"/>
              <w:spacing w:line="400" w:lineRule="exact"/>
              <w:ind w:firstLine="420" w:firstLineChars="200"/>
              <w:rPr>
                <w:rFonts w:hint="eastAsia"/>
              </w:rPr>
            </w:pPr>
            <w:r>
              <w:rPr>
                <w:rFonts w:hint="eastAsia" w:ascii="宋体" w:hAnsi="宋体" w:cs="宋体"/>
                <w:szCs w:val="21"/>
              </w:rPr>
              <w:t>（6）电子投标文件制作的具体方法详见“新点投标文件制作软件（重庆版）”中的帮助文档。</w:t>
            </w:r>
          </w:p>
        </w:tc>
      </w:tr>
      <w:tr w14:paraId="0BD0D9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7C634FC">
            <w:pPr>
              <w:snapToGrid w:val="0"/>
              <w:spacing w:line="400" w:lineRule="exact"/>
              <w:jc w:val="center"/>
              <w:rPr>
                <w:rFonts w:hint="eastAsia" w:ascii="宋体" w:hAnsi="宋体" w:cs="宋体"/>
                <w:kern w:val="0"/>
                <w:szCs w:val="21"/>
              </w:rPr>
            </w:pPr>
            <w:r>
              <w:rPr>
                <w:rFonts w:hint="eastAsia" w:ascii="宋体" w:hAnsi="宋体" w:cs="宋体"/>
                <w:kern w:val="0"/>
                <w:szCs w:val="21"/>
              </w:rPr>
              <w:t>10.9</w:t>
            </w:r>
          </w:p>
        </w:tc>
        <w:tc>
          <w:tcPr>
            <w:tcW w:w="1615" w:type="dxa"/>
            <w:vAlign w:val="center"/>
          </w:tcPr>
          <w:p w14:paraId="3454AD3A">
            <w:pPr>
              <w:snapToGrid w:val="0"/>
              <w:spacing w:line="400" w:lineRule="exact"/>
              <w:jc w:val="center"/>
              <w:rPr>
                <w:rFonts w:ascii="宋体" w:hAnsi="宋体" w:cs="宋体"/>
                <w:kern w:val="0"/>
                <w:szCs w:val="21"/>
              </w:rPr>
            </w:pPr>
            <w:r>
              <w:rPr>
                <w:rFonts w:hint="eastAsia" w:ascii="宋体" w:hAnsi="宋体" w:cs="宋体"/>
                <w:kern w:val="0"/>
                <w:szCs w:val="21"/>
              </w:rPr>
              <w:t>重新招标的情形</w:t>
            </w:r>
          </w:p>
        </w:tc>
        <w:tc>
          <w:tcPr>
            <w:tcW w:w="6519" w:type="dxa"/>
            <w:vAlign w:val="center"/>
          </w:tcPr>
          <w:p w14:paraId="10449687">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有下列情形之一的，招标人将重新招标：</w:t>
            </w:r>
          </w:p>
          <w:p w14:paraId="38B04AAF">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（1）投标截止时间止，投标人少于 3 个的；</w:t>
            </w:r>
          </w:p>
          <w:p w14:paraId="0E9D0A62">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（2）经评标委员会评审后否决所有投标的；</w:t>
            </w:r>
          </w:p>
          <w:p w14:paraId="7C12E5DE">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3）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p>
          <w:p w14:paraId="5E757D1E">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（4）法律法规规定的其他情形。</w:t>
            </w:r>
          </w:p>
          <w:p w14:paraId="12B0971B">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注：本款只适用于首次招标。</w:t>
            </w:r>
          </w:p>
        </w:tc>
      </w:tr>
      <w:tr w14:paraId="10DC56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F0D309">
            <w:pPr>
              <w:snapToGrid w:val="0"/>
              <w:spacing w:line="400" w:lineRule="exact"/>
              <w:jc w:val="center"/>
              <w:rPr>
                <w:rFonts w:hint="eastAsia" w:ascii="宋体" w:hAnsi="宋体" w:cs="宋体"/>
                <w:kern w:val="0"/>
                <w:szCs w:val="21"/>
              </w:rPr>
            </w:pPr>
            <w:r>
              <w:rPr>
                <w:rFonts w:hint="eastAsia" w:ascii="宋体" w:hAnsi="宋体" w:cs="宋体"/>
                <w:kern w:val="0"/>
                <w:szCs w:val="21"/>
              </w:rPr>
              <w:t>10.10</w:t>
            </w:r>
          </w:p>
        </w:tc>
        <w:tc>
          <w:tcPr>
            <w:tcW w:w="1615" w:type="dxa"/>
            <w:vAlign w:val="center"/>
          </w:tcPr>
          <w:p w14:paraId="058ADD10">
            <w:pPr>
              <w:snapToGrid w:val="0"/>
              <w:spacing w:line="400" w:lineRule="exact"/>
              <w:jc w:val="center"/>
              <w:rPr>
                <w:rFonts w:hint="eastAsia" w:ascii="宋体" w:hAnsi="宋体" w:cs="宋体"/>
                <w:szCs w:val="21"/>
              </w:rPr>
            </w:pPr>
            <w:bookmarkStart w:id="179" w:name="_Toc13210670"/>
            <w:bookmarkStart w:id="180" w:name="_Toc430530434"/>
            <w:bookmarkStart w:id="181" w:name="_Toc536628250"/>
            <w:bookmarkStart w:id="182" w:name="_Toc16930431"/>
            <w:bookmarkStart w:id="183" w:name="_Toc509218709"/>
            <w:r>
              <w:rPr>
                <w:rFonts w:hint="eastAsia" w:ascii="宋体" w:hAnsi="宋体" w:cs="宋体"/>
                <w:kern w:val="0"/>
                <w:szCs w:val="21"/>
              </w:rPr>
              <w:t>重新招标和不再招标</w:t>
            </w:r>
            <w:bookmarkEnd w:id="179"/>
            <w:bookmarkEnd w:id="180"/>
            <w:bookmarkEnd w:id="181"/>
            <w:bookmarkEnd w:id="182"/>
            <w:bookmarkEnd w:id="183"/>
          </w:p>
        </w:tc>
        <w:tc>
          <w:tcPr>
            <w:tcW w:w="6519" w:type="dxa"/>
            <w:vAlign w:val="center"/>
          </w:tcPr>
          <w:p w14:paraId="071D85EF">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717AED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C486F96">
            <w:pPr>
              <w:snapToGrid w:val="0"/>
              <w:spacing w:line="400" w:lineRule="exact"/>
              <w:jc w:val="center"/>
              <w:rPr>
                <w:rFonts w:ascii="宋体" w:hAnsi="宋体" w:cs="宋体"/>
                <w:kern w:val="0"/>
                <w:szCs w:val="21"/>
              </w:rPr>
            </w:pPr>
            <w:r>
              <w:rPr>
                <w:rFonts w:hint="eastAsia" w:ascii="宋体" w:hAnsi="宋体" w:cs="宋体"/>
                <w:kern w:val="0"/>
                <w:szCs w:val="21"/>
              </w:rPr>
              <w:t>10.11</w:t>
            </w:r>
          </w:p>
        </w:tc>
        <w:tc>
          <w:tcPr>
            <w:tcW w:w="1615" w:type="dxa"/>
            <w:vAlign w:val="center"/>
          </w:tcPr>
          <w:p w14:paraId="4DFD8DB0">
            <w:pPr>
              <w:snapToGrid w:val="0"/>
              <w:spacing w:line="400" w:lineRule="exact"/>
              <w:jc w:val="center"/>
              <w:rPr>
                <w:rFonts w:ascii="宋体" w:hAnsi="宋体" w:cs="宋体"/>
                <w:kern w:val="0"/>
                <w:szCs w:val="21"/>
              </w:rPr>
            </w:pPr>
            <w:r>
              <w:rPr>
                <w:rFonts w:hint="eastAsia" w:ascii="宋体" w:hAnsi="宋体" w:cs="宋体"/>
                <w:kern w:val="0"/>
                <w:szCs w:val="21"/>
              </w:rPr>
              <w:t>招标代理服务费和招标投标交易服务费</w:t>
            </w:r>
          </w:p>
        </w:tc>
        <w:tc>
          <w:tcPr>
            <w:tcW w:w="6519" w:type="dxa"/>
            <w:vAlign w:val="center"/>
          </w:tcPr>
          <w:p w14:paraId="68EFABAD">
            <w:pPr>
              <w:autoSpaceDE w:val="0"/>
              <w:autoSpaceDN w:val="0"/>
              <w:adjustRightInd w:val="0"/>
              <w:snapToGrid w:val="0"/>
              <w:spacing w:line="400" w:lineRule="exact"/>
              <w:ind w:firstLine="420" w:firstLineChars="200"/>
              <w:rPr>
                <w:rFonts w:ascii="宋体" w:hAnsi="宋体" w:cs="宋体"/>
                <w:snapToGrid w:val="0"/>
                <w:kern w:val="0"/>
                <w:szCs w:val="21"/>
              </w:rPr>
            </w:pPr>
            <w:r>
              <w:rPr>
                <w:rFonts w:hint="eastAsia" w:ascii="宋体" w:hAnsi="宋体" w:cs="宋体"/>
                <w:snapToGrid w:val="0"/>
                <w:kern w:val="0"/>
                <w:szCs w:val="21"/>
              </w:rPr>
              <w:t>依法必须招标的公路养护工程建设项目的招标代理服务费和招标投标交易服务费均由招标人承担。</w:t>
            </w:r>
          </w:p>
        </w:tc>
      </w:tr>
      <w:tr w14:paraId="1E9AED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10D06C7">
            <w:pPr>
              <w:snapToGrid w:val="0"/>
              <w:spacing w:line="400" w:lineRule="exact"/>
              <w:jc w:val="center"/>
              <w:rPr>
                <w:rFonts w:hint="eastAsia" w:ascii="宋体" w:hAnsi="宋体" w:cs="宋体"/>
                <w:kern w:val="0"/>
                <w:szCs w:val="21"/>
              </w:rPr>
            </w:pPr>
            <w:r>
              <w:rPr>
                <w:rFonts w:hint="eastAsia" w:ascii="宋体" w:hAnsi="宋体"/>
                <w:kern w:val="0"/>
                <w:szCs w:val="21"/>
              </w:rPr>
              <w:t>□</w:t>
            </w:r>
            <w:r>
              <w:rPr>
                <w:rFonts w:hint="eastAsia" w:ascii="宋体" w:hAnsi="宋体" w:cs="宋体"/>
                <w:kern w:val="0"/>
                <w:szCs w:val="21"/>
              </w:rPr>
              <w:t>10.12</w:t>
            </w:r>
          </w:p>
        </w:tc>
        <w:tc>
          <w:tcPr>
            <w:tcW w:w="1615" w:type="dxa"/>
            <w:vAlign w:val="center"/>
          </w:tcPr>
          <w:p w14:paraId="2258EAA8">
            <w:pPr>
              <w:snapToGrid w:val="0"/>
              <w:spacing w:line="400" w:lineRule="exact"/>
              <w:jc w:val="center"/>
              <w:rPr>
                <w:rFonts w:hint="eastAsia" w:ascii="宋体" w:hAnsi="宋体" w:cs="宋体"/>
                <w:kern w:val="0"/>
                <w:szCs w:val="21"/>
              </w:rPr>
            </w:pPr>
            <w:r>
              <w:rPr>
                <w:rFonts w:hint="eastAsia" w:ascii="宋体" w:hAnsi="宋体" w:cs="宋体"/>
                <w:kern w:val="0"/>
                <w:szCs w:val="21"/>
              </w:rPr>
              <w:t>不平衡报价</w:t>
            </w:r>
          </w:p>
        </w:tc>
        <w:tc>
          <w:tcPr>
            <w:tcW w:w="6519" w:type="dxa"/>
            <w:vAlign w:val="center"/>
          </w:tcPr>
          <w:p w14:paraId="2FE072DD">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ascii="宋体" w:hAnsi="宋体"/>
                <w:kern w:val="0"/>
                <w:szCs w:val="21"/>
                <w:u w:val="single"/>
              </w:rPr>
              <w:t>关于不平衡报价的约定，详见第四章 专用合同条款第</w:t>
            </w:r>
            <w:r>
              <w:rPr>
                <w:rFonts w:hint="eastAsia" w:ascii="宋体" w:hAnsi="宋体"/>
                <w:kern w:val="0"/>
                <w:szCs w:val="21"/>
                <w:u w:val="single"/>
              </w:rPr>
              <w:t>25.3</w:t>
            </w:r>
            <w:r>
              <w:rPr>
                <w:rFonts w:ascii="宋体" w:hAnsi="宋体"/>
                <w:kern w:val="0"/>
                <w:szCs w:val="21"/>
                <w:u w:val="single"/>
              </w:rPr>
              <w:t>款</w:t>
            </w:r>
            <w:r>
              <w:rPr>
                <w:rFonts w:ascii="宋体" w:hAnsi="宋体"/>
                <w:kern w:val="0"/>
                <w:szCs w:val="21"/>
              </w:rPr>
              <w:t>。</w:t>
            </w:r>
          </w:p>
        </w:tc>
      </w:tr>
      <w:tr w14:paraId="5769BC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47C32FC">
            <w:pPr>
              <w:snapToGrid w:val="0"/>
              <w:spacing w:line="400" w:lineRule="exact"/>
              <w:jc w:val="center"/>
              <w:rPr>
                <w:rFonts w:hint="eastAsia" w:ascii="宋体" w:hAnsi="宋体" w:cs="宋体"/>
                <w:kern w:val="0"/>
                <w:szCs w:val="21"/>
              </w:rPr>
            </w:pPr>
            <w:r>
              <w:rPr>
                <w:rFonts w:hint="eastAsia" w:ascii="宋体" w:hAnsi="宋体"/>
                <w:kern w:val="0"/>
                <w:szCs w:val="21"/>
              </w:rPr>
              <w:t>□</w:t>
            </w:r>
            <w:r>
              <w:rPr>
                <w:rFonts w:hint="eastAsia" w:ascii="宋体" w:hAnsi="宋体" w:cs="宋体"/>
                <w:kern w:val="0"/>
                <w:szCs w:val="21"/>
              </w:rPr>
              <w:t>10.13</w:t>
            </w:r>
          </w:p>
        </w:tc>
        <w:tc>
          <w:tcPr>
            <w:tcW w:w="1615" w:type="dxa"/>
            <w:vAlign w:val="center"/>
          </w:tcPr>
          <w:p w14:paraId="5EE9F8AD">
            <w:pPr>
              <w:snapToGrid w:val="0"/>
              <w:spacing w:line="400" w:lineRule="exact"/>
              <w:jc w:val="center"/>
              <w:rPr>
                <w:rFonts w:hint="eastAsia" w:ascii="宋体" w:hAnsi="宋体" w:cs="宋体"/>
                <w:kern w:val="0"/>
                <w:szCs w:val="21"/>
              </w:rPr>
            </w:pPr>
            <w:r>
              <w:rPr>
                <w:rFonts w:hint="eastAsia" w:ascii="宋体" w:hAnsi="宋体"/>
                <w:kern w:val="0"/>
                <w:szCs w:val="21"/>
              </w:rPr>
              <w:t>不允许负数报价</w:t>
            </w:r>
          </w:p>
        </w:tc>
        <w:tc>
          <w:tcPr>
            <w:tcW w:w="6519" w:type="dxa"/>
            <w:vAlign w:val="center"/>
          </w:tcPr>
          <w:p w14:paraId="51C2E1C0">
            <w:pPr>
              <w:autoSpaceDE w:val="0"/>
              <w:autoSpaceDN w:val="0"/>
              <w:adjustRightInd w:val="0"/>
              <w:snapToGrid w:val="0"/>
              <w:spacing w:line="400" w:lineRule="exact"/>
              <w:ind w:firstLine="420" w:firstLineChars="200"/>
              <w:rPr>
                <w:rFonts w:hint="eastAsia" w:ascii="宋体" w:hAnsi="宋体" w:cs="宋体"/>
                <w:snapToGrid w:val="0"/>
                <w:kern w:val="0"/>
                <w:szCs w:val="21"/>
              </w:rPr>
            </w:pPr>
            <w:r>
              <w:rPr>
                <w:rFonts w:ascii="宋体" w:hAnsi="宋体"/>
                <w:kern w:val="0"/>
                <w:szCs w:val="21"/>
                <w:u w:val="single"/>
              </w:rPr>
              <w:t>投标人的</w:t>
            </w:r>
            <w:r>
              <w:rPr>
                <w:rFonts w:hint="eastAsia" w:ascii="宋体" w:hAnsi="宋体"/>
                <w:kern w:val="0"/>
                <w:szCs w:val="21"/>
                <w:u w:val="single"/>
              </w:rPr>
              <w:t>各项</w:t>
            </w:r>
            <w:r>
              <w:rPr>
                <w:rFonts w:ascii="宋体" w:hAnsi="宋体"/>
                <w:kern w:val="0"/>
                <w:szCs w:val="21"/>
                <w:u w:val="single"/>
              </w:rPr>
              <w:t>报价不得</w:t>
            </w:r>
            <w:r>
              <w:rPr>
                <w:rFonts w:hint="eastAsia" w:ascii="宋体" w:hAnsi="宋体"/>
                <w:kern w:val="0"/>
                <w:szCs w:val="21"/>
                <w:u w:val="single"/>
              </w:rPr>
              <w:t>为负数</w:t>
            </w:r>
            <w:r>
              <w:rPr>
                <w:rFonts w:ascii="宋体" w:hAnsi="宋体"/>
                <w:kern w:val="0"/>
                <w:szCs w:val="21"/>
                <w:u w:val="single"/>
              </w:rPr>
              <w:t>。招标人在发出中标通知书前将对中标人</w:t>
            </w:r>
            <w:r>
              <w:rPr>
                <w:rFonts w:hint="eastAsia" w:ascii="宋体" w:hAnsi="宋体"/>
                <w:kern w:val="0"/>
                <w:szCs w:val="21"/>
                <w:u w:val="single"/>
              </w:rPr>
              <w:t>的各项报价</w:t>
            </w:r>
            <w:r>
              <w:rPr>
                <w:rFonts w:ascii="宋体" w:hAnsi="宋体"/>
                <w:kern w:val="0"/>
                <w:szCs w:val="21"/>
                <w:u w:val="single"/>
              </w:rPr>
              <w:t>进行复核，若发现中标人</w:t>
            </w:r>
            <w:r>
              <w:rPr>
                <w:rFonts w:hint="eastAsia" w:ascii="宋体" w:hAnsi="宋体"/>
                <w:kern w:val="0"/>
                <w:szCs w:val="21"/>
                <w:u w:val="single"/>
              </w:rPr>
              <w:t>各项报价</w:t>
            </w:r>
            <w:r>
              <w:rPr>
                <w:rFonts w:ascii="宋体" w:hAnsi="宋体"/>
                <w:kern w:val="0"/>
                <w:szCs w:val="21"/>
                <w:u w:val="single"/>
              </w:rPr>
              <w:t>中存在</w:t>
            </w:r>
            <w:r>
              <w:rPr>
                <w:rFonts w:hint="eastAsia" w:ascii="宋体" w:hAnsi="宋体"/>
                <w:kern w:val="0"/>
                <w:szCs w:val="21"/>
                <w:u w:val="single"/>
              </w:rPr>
              <w:t>负数报价</w:t>
            </w:r>
            <w:r>
              <w:rPr>
                <w:rFonts w:ascii="宋体" w:hAnsi="宋体"/>
                <w:kern w:val="0"/>
                <w:szCs w:val="21"/>
                <w:u w:val="single"/>
              </w:rPr>
              <w:t>的情形，招标人按相关规定取消其中标资格，其投标保证金</w:t>
            </w:r>
            <w:r>
              <w:rPr>
                <w:rFonts w:hint="eastAsia" w:ascii="宋体" w:hAnsi="宋体" w:cs="宋体"/>
                <w:szCs w:val="21"/>
              </w:rPr>
              <w:t>以现金形式交纳的不予退还，以保函形式交纳的由保函开立人支付保函担保的与投标保证金等额的款项</w:t>
            </w:r>
            <w:r>
              <w:rPr>
                <w:rFonts w:ascii="宋体" w:hAnsi="宋体"/>
                <w:kern w:val="0"/>
                <w:szCs w:val="21"/>
                <w:u w:val="single"/>
              </w:rPr>
              <w:t>，中标人承担因此造成的相关责任并赔偿相应损失。</w:t>
            </w:r>
          </w:p>
        </w:tc>
      </w:tr>
      <w:tr w14:paraId="72DAD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D08C672">
            <w:pPr>
              <w:snapToGrid w:val="0"/>
              <w:spacing w:line="400" w:lineRule="exact"/>
              <w:jc w:val="center"/>
              <w:rPr>
                <w:rFonts w:hint="eastAsia" w:ascii="宋体" w:hAnsi="宋体" w:cs="宋体"/>
                <w:kern w:val="0"/>
                <w:szCs w:val="21"/>
              </w:rPr>
            </w:pPr>
            <w:r>
              <w:rPr>
                <w:rFonts w:hint="eastAsia" w:ascii="宋体" w:hAnsi="宋体" w:cs="宋体"/>
                <w:kern w:val="0"/>
                <w:szCs w:val="21"/>
              </w:rPr>
              <w:t>10.14</w:t>
            </w:r>
          </w:p>
        </w:tc>
        <w:tc>
          <w:tcPr>
            <w:tcW w:w="1615" w:type="dxa"/>
            <w:vAlign w:val="center"/>
          </w:tcPr>
          <w:p w14:paraId="2597FFBA">
            <w:pPr>
              <w:snapToGrid w:val="0"/>
              <w:spacing w:line="400" w:lineRule="exact"/>
              <w:jc w:val="center"/>
              <w:rPr>
                <w:rFonts w:hint="eastAsia" w:ascii="宋体" w:hAnsi="宋体" w:cs="宋体"/>
                <w:kern w:val="0"/>
                <w:szCs w:val="21"/>
              </w:rPr>
            </w:pPr>
            <w:r>
              <w:rPr>
                <w:rFonts w:hint="eastAsia" w:ascii="宋体" w:hAnsi="宋体" w:cs="宋体"/>
                <w:kern w:val="0"/>
                <w:szCs w:val="21"/>
              </w:rPr>
              <w:t>其他</w:t>
            </w:r>
          </w:p>
        </w:tc>
        <w:tc>
          <w:tcPr>
            <w:tcW w:w="6519" w:type="dxa"/>
            <w:vAlign w:val="center"/>
          </w:tcPr>
          <w:p w14:paraId="72A6B655">
            <w:pPr>
              <w:autoSpaceDE w:val="0"/>
              <w:autoSpaceDN w:val="0"/>
              <w:adjustRightInd w:val="0"/>
              <w:snapToGrid w:val="0"/>
              <w:spacing w:line="400" w:lineRule="exact"/>
              <w:ind w:firstLine="420" w:firstLineChars="200"/>
              <w:rPr>
                <w:rFonts w:hint="eastAsia"/>
                <w:lang w:val="en-US" w:eastAsia="zh-CN"/>
              </w:rPr>
            </w:pPr>
            <w:r>
              <w:rPr>
                <w:rFonts w:hint="eastAsia"/>
                <w:lang w:val="en-US" w:eastAsia="zh-CN"/>
              </w:rPr>
              <w:t>1.按照《丰都县人民政府办公室关于加强公共资源交易平台运营管理工作的通知》（丰都府办〔2021〕120号）相关规定，本工程综合交易服务费全部由中标人在签订合同前缴纳（包括招标人缴纳部分）。</w:t>
            </w:r>
          </w:p>
          <w:p w14:paraId="2F6FA9B6">
            <w:pPr>
              <w:autoSpaceDE w:val="0"/>
              <w:autoSpaceDN w:val="0"/>
              <w:adjustRightInd w:val="0"/>
              <w:snapToGrid w:val="0"/>
              <w:spacing w:line="400" w:lineRule="exact"/>
              <w:ind w:firstLine="420"/>
              <w:rPr>
                <w:rFonts w:hint="eastAsia"/>
                <w:lang w:val="en-US" w:eastAsia="zh-CN"/>
              </w:rPr>
            </w:pPr>
            <w:r>
              <w:rPr>
                <w:rFonts w:hint="eastAsia"/>
                <w:lang w:val="en-US" w:eastAsia="zh-CN"/>
              </w:rPr>
              <w:t>2.招标代理费按照招标人同代理机构签订的合同执行。</w:t>
            </w:r>
          </w:p>
          <w:p w14:paraId="545619BB">
            <w:pPr>
              <w:autoSpaceDE w:val="0"/>
              <w:autoSpaceDN w:val="0"/>
              <w:adjustRightInd w:val="0"/>
              <w:snapToGrid w:val="0"/>
              <w:spacing w:line="400" w:lineRule="exact"/>
              <w:ind w:firstLine="420"/>
              <w:rPr>
                <w:rFonts w:hint="eastAsia" w:ascii="宋体" w:hAnsi="宋体" w:cs="宋体"/>
                <w:kern w:val="0"/>
                <w:szCs w:val="21"/>
              </w:rPr>
            </w:pPr>
          </w:p>
        </w:tc>
      </w:tr>
    </w:tbl>
    <w:p w14:paraId="2B1BD41A">
      <w:pPr>
        <w:spacing w:line="360" w:lineRule="auto"/>
        <w:jc w:val="left"/>
        <w:rPr>
          <w:rFonts w:ascii="宋体" w:hAnsi="宋体" w:cs="宋体"/>
          <w:b/>
          <w:szCs w:val="21"/>
        </w:rPr>
      </w:pPr>
      <w:r>
        <w:rPr>
          <w:rFonts w:hint="eastAsia" w:ascii="宋体" w:hAnsi="宋体" w:cs="宋体"/>
          <w:b/>
          <w:szCs w:val="21"/>
        </w:rPr>
        <w:t>以下部分为投标人须知正文。</w:t>
      </w:r>
    </w:p>
    <w:p w14:paraId="69720D6A">
      <w:pPr>
        <w:pStyle w:val="2"/>
        <w:rPr>
          <w:rFonts w:hint="eastAsia" w:ascii="宋体" w:hAnsi="宋体" w:cs="宋体"/>
          <w:sz w:val="28"/>
          <w:szCs w:val="28"/>
        </w:rPr>
      </w:pPr>
      <w:r>
        <w:rPr>
          <w:rFonts w:ascii="宋体" w:hAnsi="宋体" w:cs="宋体"/>
          <w:b/>
          <w:szCs w:val="21"/>
        </w:rPr>
        <w:br w:type="page"/>
      </w:r>
      <w:bookmarkStart w:id="184" w:name="_Toc57795860"/>
      <w:bookmarkStart w:id="185" w:name="_Toc28280"/>
      <w:r>
        <w:rPr>
          <w:rFonts w:hint="eastAsia" w:ascii="宋体" w:hAnsi="宋体" w:cs="宋体"/>
          <w:sz w:val="28"/>
          <w:szCs w:val="28"/>
        </w:rPr>
        <w:t>1. 总则</w:t>
      </w:r>
      <w:bookmarkEnd w:id="184"/>
      <w:bookmarkEnd w:id="185"/>
    </w:p>
    <w:p w14:paraId="3932D2C4">
      <w:pPr>
        <w:pStyle w:val="5"/>
        <w:spacing w:before="0" w:after="0" w:line="360" w:lineRule="auto"/>
        <w:rPr>
          <w:rFonts w:hint="eastAsia" w:ascii="宋体" w:hAnsi="宋体" w:cs="宋体"/>
          <w:sz w:val="21"/>
          <w:szCs w:val="21"/>
        </w:rPr>
      </w:pPr>
      <w:bookmarkStart w:id="186" w:name="_Toc57795861"/>
      <w:bookmarkStart w:id="187" w:name="_Toc8374"/>
      <w:r>
        <w:rPr>
          <w:rFonts w:hint="eastAsia" w:ascii="宋体" w:hAnsi="宋体" w:cs="宋体"/>
          <w:sz w:val="21"/>
          <w:szCs w:val="21"/>
        </w:rPr>
        <w:t>1.1 项目概况</w:t>
      </w:r>
      <w:bookmarkEnd w:id="186"/>
      <w:bookmarkEnd w:id="187"/>
    </w:p>
    <w:p w14:paraId="5E11E45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1.1.1 </w:t>
      </w:r>
      <w:r>
        <w:rPr>
          <w:rFonts w:hint="eastAsia" w:ascii="宋体" w:hAnsi="宋体" w:eastAsia="宋体" w:cs="宋体"/>
          <w:spacing w:val="-1"/>
          <w:sz w:val="21"/>
          <w:szCs w:val="21"/>
          <w:lang w:eastAsia="zh-CN"/>
        </w:rPr>
        <w:t>根据《中华人民</w:t>
      </w:r>
      <w:r>
        <w:rPr>
          <w:rFonts w:hint="eastAsia" w:ascii="宋体" w:hAnsi="宋体" w:eastAsia="宋体" w:cs="宋体"/>
          <w:sz w:val="21"/>
          <w:szCs w:val="21"/>
          <w:lang w:eastAsia="zh-CN"/>
        </w:rPr>
        <w:t>共和国招标投标法》《中华人民共和国招标投标法实施条例》《公路工程建设项目招标投标管理办法》等有关法律、法规和规章的规定，本招标项目已具备的招标条件见投标人须知前附表，现对本标段施工进行招标。</w:t>
      </w:r>
    </w:p>
    <w:p w14:paraId="2794B12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 本招标项目招标人：见投标人须知前附表。</w:t>
      </w:r>
    </w:p>
    <w:p w14:paraId="4C18D0B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1.1.3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招标代理机构：见投标人须知前附表。</w:t>
      </w:r>
    </w:p>
    <w:p w14:paraId="252496F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1.1.4 本招标项目名称：见投标人须知前附表。</w:t>
      </w:r>
    </w:p>
    <w:p w14:paraId="61493D3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1.1.5 本</w:t>
      </w:r>
      <w:r>
        <w:rPr>
          <w:rFonts w:hint="eastAsia" w:ascii="宋体" w:hAnsi="宋体" w:eastAsia="宋体" w:cs="宋体"/>
          <w:sz w:val="21"/>
          <w:szCs w:val="21"/>
          <w:lang w:val="en-US" w:eastAsia="zh-CN"/>
        </w:rPr>
        <w:t>招标项目</w:t>
      </w:r>
      <w:r>
        <w:rPr>
          <w:rFonts w:hint="eastAsia" w:ascii="宋体" w:hAnsi="宋体" w:eastAsia="宋体" w:cs="宋体"/>
          <w:sz w:val="21"/>
          <w:szCs w:val="21"/>
          <w:lang w:eastAsia="zh-CN"/>
        </w:rPr>
        <w:t>建设地点：见投标人须知前附表。</w:t>
      </w:r>
    </w:p>
    <w:p w14:paraId="5077094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1.1.6 本</w:t>
      </w:r>
      <w:r>
        <w:rPr>
          <w:rFonts w:hint="eastAsia" w:ascii="宋体" w:hAnsi="宋体" w:eastAsia="宋体" w:cs="宋体"/>
          <w:sz w:val="21"/>
          <w:szCs w:val="21"/>
          <w:lang w:val="en-US" w:eastAsia="zh-CN"/>
        </w:rPr>
        <w:t>招标</w:t>
      </w:r>
      <w:r>
        <w:rPr>
          <w:rFonts w:hint="eastAsia" w:ascii="宋体" w:hAnsi="宋体" w:eastAsia="宋体" w:cs="宋体"/>
          <w:sz w:val="21"/>
          <w:szCs w:val="21"/>
          <w:lang w:eastAsia="zh-CN"/>
        </w:rPr>
        <w:t>项目相关单位：见投标人须知前附表。</w:t>
      </w:r>
    </w:p>
    <w:p w14:paraId="0D36DA4D">
      <w:pPr>
        <w:pStyle w:val="5"/>
        <w:spacing w:before="0" w:after="0" w:line="360" w:lineRule="auto"/>
        <w:rPr>
          <w:rFonts w:hint="eastAsia" w:ascii="宋体" w:hAnsi="宋体" w:cs="宋体"/>
          <w:sz w:val="21"/>
          <w:szCs w:val="21"/>
        </w:rPr>
      </w:pPr>
      <w:bookmarkStart w:id="188" w:name="_Toc3964"/>
      <w:bookmarkStart w:id="189" w:name="_Toc57795862"/>
      <w:r>
        <w:rPr>
          <w:rFonts w:hint="eastAsia" w:ascii="宋体" w:hAnsi="宋体" w:cs="宋体"/>
          <w:sz w:val="21"/>
          <w:szCs w:val="21"/>
        </w:rPr>
        <w:t>1.2 招标项目的资金来源和落实情况</w:t>
      </w:r>
      <w:bookmarkEnd w:id="188"/>
      <w:bookmarkEnd w:id="189"/>
    </w:p>
    <w:p w14:paraId="16797C2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1.2.1 资金来源及比例：见投标人须知前附表。</w:t>
      </w:r>
    </w:p>
    <w:p w14:paraId="4547E29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1.2.2 资金落实情况：见投标人须知前附表。</w:t>
      </w:r>
    </w:p>
    <w:p w14:paraId="3D1CE8A0">
      <w:pPr>
        <w:pStyle w:val="5"/>
        <w:spacing w:before="0" w:after="0" w:line="360" w:lineRule="auto"/>
        <w:rPr>
          <w:rFonts w:hint="eastAsia" w:ascii="宋体" w:hAnsi="宋体" w:cs="宋体"/>
          <w:sz w:val="21"/>
          <w:szCs w:val="21"/>
        </w:rPr>
      </w:pPr>
      <w:bookmarkStart w:id="190" w:name="_Toc57795863"/>
      <w:bookmarkStart w:id="191" w:name="_Toc280"/>
      <w:r>
        <w:rPr>
          <w:rFonts w:hint="eastAsia" w:ascii="宋体" w:hAnsi="宋体" w:cs="宋体"/>
          <w:sz w:val="21"/>
          <w:szCs w:val="21"/>
        </w:rPr>
        <w:t>1.3 招标范围、计划工期、质量要求和安全目标</w:t>
      </w:r>
      <w:bookmarkEnd w:id="190"/>
      <w:bookmarkEnd w:id="191"/>
    </w:p>
    <w:p w14:paraId="66006DB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1.3.1 招标范围：见投标人须知前附表。</w:t>
      </w:r>
    </w:p>
    <w:p w14:paraId="25DC201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1.3.2</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计划工期：见投标人须知前附表。</w:t>
      </w:r>
    </w:p>
    <w:p w14:paraId="3EAAADD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1.3.3 质量要求：</w:t>
      </w:r>
      <w:r>
        <w:rPr>
          <w:rFonts w:hint="eastAsia" w:ascii="宋体" w:hAnsi="宋体" w:eastAsia="宋体" w:cs="宋体"/>
          <w:sz w:val="21"/>
          <w:szCs w:val="21"/>
          <w:lang w:eastAsia="zh-CN"/>
        </w:rPr>
        <w:t>见投标人须知前附表。</w:t>
      </w:r>
    </w:p>
    <w:p w14:paraId="7EE05D4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1.3.4 安全目标：</w:t>
      </w:r>
      <w:r>
        <w:rPr>
          <w:rFonts w:hint="eastAsia" w:ascii="宋体" w:hAnsi="宋体" w:eastAsia="宋体" w:cs="宋体"/>
          <w:sz w:val="21"/>
          <w:szCs w:val="21"/>
          <w:lang w:eastAsia="zh-CN"/>
        </w:rPr>
        <w:t>见投标人须知前附表。</w:t>
      </w:r>
    </w:p>
    <w:p w14:paraId="2D426AF9">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1.3.5 农民工工资保障目标：</w:t>
      </w:r>
      <w:r>
        <w:rPr>
          <w:rFonts w:hint="eastAsia" w:ascii="宋体" w:hAnsi="宋体" w:eastAsia="宋体" w:cs="宋体"/>
          <w:sz w:val="21"/>
          <w:szCs w:val="21"/>
          <w:lang w:eastAsia="zh-CN"/>
        </w:rPr>
        <w:t>见投标人须知前附表。</w:t>
      </w:r>
    </w:p>
    <w:p w14:paraId="54A147C8">
      <w:pPr>
        <w:pStyle w:val="5"/>
        <w:spacing w:before="0" w:after="0" w:line="360" w:lineRule="auto"/>
        <w:rPr>
          <w:rFonts w:hint="eastAsia" w:ascii="宋体" w:hAnsi="宋体" w:cs="宋体"/>
          <w:sz w:val="21"/>
          <w:szCs w:val="21"/>
        </w:rPr>
      </w:pPr>
      <w:bookmarkStart w:id="192" w:name="_Toc18220"/>
      <w:bookmarkStart w:id="193" w:name="_Toc57795865"/>
      <w:r>
        <w:rPr>
          <w:rFonts w:hint="eastAsia" w:ascii="宋体" w:hAnsi="宋体" w:cs="宋体"/>
          <w:sz w:val="21"/>
          <w:szCs w:val="21"/>
        </w:rPr>
        <w:t>1.4 投标人资格要求</w:t>
      </w:r>
      <w:bookmarkEnd w:id="192"/>
      <w:bookmarkEnd w:id="193"/>
    </w:p>
    <w:p w14:paraId="558C666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1.4.1 投标人应具备承担本项目施工的资质条件、能力和信誉。</w:t>
      </w:r>
    </w:p>
    <w:p w14:paraId="44ACE5A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w:t>
      </w:r>
      <w:r>
        <w:rPr>
          <w:rFonts w:hint="eastAsia" w:ascii="宋体" w:hAnsi="宋体" w:eastAsia="宋体"/>
          <w:sz w:val="21"/>
          <w:szCs w:val="21"/>
          <w:lang w:eastAsia="zh-CN"/>
        </w:rPr>
        <w:t>资质条件、营业执照及安全生产条件：</w:t>
      </w:r>
      <w:r>
        <w:rPr>
          <w:rFonts w:hint="eastAsia" w:ascii="宋体" w:hAnsi="宋体" w:eastAsia="宋体" w:cs="宋体"/>
          <w:sz w:val="21"/>
          <w:szCs w:val="21"/>
          <w:lang w:eastAsia="zh-CN"/>
        </w:rPr>
        <w:t>见投标人须知前附表；</w:t>
      </w:r>
    </w:p>
    <w:p w14:paraId="6D040EE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（2）财务要求：见投标人须知前附表；</w:t>
      </w:r>
    </w:p>
    <w:p w14:paraId="46C6405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（3）业绩要求：见投标人须知前附表；</w:t>
      </w:r>
    </w:p>
    <w:p w14:paraId="55D19BC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w:t>
      </w:r>
      <w:r>
        <w:rPr>
          <w:rFonts w:hint="eastAsia" w:ascii="宋体" w:hAnsi="宋体" w:eastAsia="宋体" w:cs="宋体"/>
          <w:sz w:val="21"/>
          <w:szCs w:val="21"/>
          <w:lang w:eastAsia="zh-CN" w:bidi="ar"/>
        </w:rPr>
        <w:t>投标截止日投标资格情况要求</w:t>
      </w:r>
      <w:r>
        <w:rPr>
          <w:rFonts w:hint="eastAsia" w:ascii="宋体" w:hAnsi="宋体" w:eastAsia="宋体" w:cs="宋体"/>
          <w:sz w:val="21"/>
          <w:szCs w:val="21"/>
          <w:lang w:eastAsia="zh-CN"/>
        </w:rPr>
        <w:t>：见投标人须知前附表；</w:t>
      </w:r>
    </w:p>
    <w:p w14:paraId="7423B1E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（5）项目经理、项目总工和设计负责人（如有）资格：见投标人须知前附表；</w:t>
      </w:r>
    </w:p>
    <w:p w14:paraId="1AF7F5D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（6）其他管理和技术人员要求：见投标人须知前附表；</w:t>
      </w:r>
    </w:p>
    <w:p w14:paraId="5FC52B29">
      <w:pPr>
        <w:pStyle w:val="68"/>
        <w:tabs>
          <w:tab w:val="left" w:pos="1647"/>
        </w:tabs>
        <w:spacing w:line="360" w:lineRule="auto"/>
        <w:ind w:left="0" w:firstLineChars="200"/>
        <w:rPr>
          <w:rFonts w:hint="eastAsia"/>
          <w:sz w:val="21"/>
          <w:szCs w:val="21"/>
          <w:lang w:val="ru-RU" w:bidi="ar-SA"/>
        </w:rPr>
      </w:pPr>
      <w:r>
        <w:rPr>
          <w:rFonts w:hint="eastAsia"/>
          <w:sz w:val="21"/>
          <w:szCs w:val="21"/>
          <w:lang w:val="ru-RU" w:bidi="ar-SA"/>
        </w:rPr>
        <w:t>（7）主要机械设备和试验检测设备要求：见投标人须知前附表；</w:t>
      </w:r>
    </w:p>
    <w:p w14:paraId="7B9CD5D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（8）其他要求：见投标人须知前附表。</w:t>
      </w:r>
    </w:p>
    <w:p w14:paraId="5ECD39A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1.4.2 投标人须知前附表规定接受联合体投标的，联合体应当符合本</w:t>
      </w:r>
      <w:r>
        <w:rPr>
          <w:rFonts w:hint="eastAsia" w:ascii="宋体" w:hAnsi="宋体" w:eastAsia="宋体" w:cs="宋体"/>
          <w:sz w:val="21"/>
          <w:szCs w:val="21"/>
          <w:lang w:val="en-US" w:eastAsia="zh-CN"/>
        </w:rPr>
        <w:t>章第</w:t>
      </w:r>
      <w:r>
        <w:rPr>
          <w:rFonts w:hint="eastAsia" w:ascii="宋体" w:hAnsi="宋体" w:eastAsia="宋体" w:cs="宋体"/>
          <w:sz w:val="21"/>
          <w:szCs w:val="21"/>
          <w:lang w:eastAsia="zh-CN"/>
        </w:rPr>
        <w:t>1.4.1 项和投标人须知前附表的要求外，还应遵守以下规定：</w:t>
      </w:r>
    </w:p>
    <w:p w14:paraId="217718B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（1）联合体各方应按招标文件提供的格式签订联合体协议书，明确联合体牵头人和各方权利义务</w:t>
      </w:r>
      <w:r>
        <w:rPr>
          <w:rFonts w:hint="eastAsia" w:ascii="宋体" w:hAnsi="宋体" w:eastAsia="宋体"/>
          <w:sz w:val="21"/>
          <w:szCs w:val="21"/>
          <w:lang w:eastAsia="zh-CN"/>
        </w:rPr>
        <w:t xml:space="preserve"> </w:t>
      </w:r>
      <w:r>
        <w:rPr>
          <w:rFonts w:hint="eastAsia" w:ascii="宋体" w:hAnsi="宋体" w:eastAsia="宋体" w:cs="宋体"/>
          <w:sz w:val="21"/>
          <w:szCs w:val="21"/>
          <w:lang w:eastAsia="zh-CN"/>
        </w:rPr>
        <w:t>，并承诺就中标项目向招标人承担连带责任；</w:t>
      </w:r>
    </w:p>
    <w:p w14:paraId="3A502C4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（2）联合体协议约定同一专业分工由两个及以上单位共同承担的，按照资质等级较低的单位确定资质等级；</w:t>
      </w:r>
    </w:p>
    <w:p w14:paraId="040C262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（3）联合体各方不得再以自己名义单独或参加其他联合体在同一标段中投标；</w:t>
      </w:r>
    </w:p>
    <w:p w14:paraId="2652EFC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2ED8E37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（5）尽管委任了联合体牵头人，但联合体各成员在投标、签约与履约合同过程中，仍负有连带的和各自的法律责任。</w:t>
      </w:r>
    </w:p>
    <w:p w14:paraId="6D6E903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1.4.3 </w:t>
      </w:r>
      <w:r>
        <w:rPr>
          <w:rFonts w:hint="eastAsia" w:ascii="宋体" w:hAnsi="宋体" w:eastAsia="宋体" w:cs="宋体"/>
          <w:sz w:val="21"/>
          <w:szCs w:val="21"/>
          <w:lang w:eastAsia="zh-CN"/>
        </w:rPr>
        <w:t>投标人（包括联合体各成员）不得与本标段相关单位存在下列关联关系：</w:t>
      </w:r>
    </w:p>
    <w:p w14:paraId="0F7A0DC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（1）为招标人不具有独立法人资格的附属机构（单位）；</w:t>
      </w:r>
    </w:p>
    <w:p w14:paraId="4414F23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（2）与招标人存在利害关系且可能影响招标公正性；</w:t>
      </w:r>
    </w:p>
    <w:p w14:paraId="2011FE5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（3）与本标段的其他投标人同为一个单位负责人；</w:t>
      </w:r>
    </w:p>
    <w:p w14:paraId="19BD302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（4）与本标段的其他投标人存在控股、管理关系；</w:t>
      </w:r>
    </w:p>
    <w:p w14:paraId="5C2F5C51">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eastAsia="zh-CN"/>
        </w:rPr>
        <w:t>（5）为本标段前期准备提供设计或咨询服务的法人或其任何附属机构（单位）；</w:t>
      </w:r>
    </w:p>
    <w:p w14:paraId="4276AF1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（6）为本标段的监理人；</w:t>
      </w:r>
    </w:p>
    <w:p w14:paraId="5704C76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（7）为本标段的代建人；</w:t>
      </w:r>
    </w:p>
    <w:p w14:paraId="76E264C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（8）为本标段的招标代理机构；</w:t>
      </w:r>
    </w:p>
    <w:p w14:paraId="1FD98A8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9</w:t>
      </w:r>
      <w:r>
        <w:rPr>
          <w:rFonts w:hint="eastAsia" w:ascii="宋体" w:hAnsi="宋体" w:eastAsia="宋体" w:cs="宋体"/>
          <w:sz w:val="21"/>
          <w:szCs w:val="21"/>
          <w:lang w:eastAsia="zh-CN"/>
        </w:rPr>
        <w:t>）与本标段的监理人或代建人或招标代理机构同为一个法定代表人；</w:t>
      </w:r>
    </w:p>
    <w:p w14:paraId="502D592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（10）与本标段的监理人或代建人或招标代理机构存在控股或参股关系；</w:t>
      </w:r>
    </w:p>
    <w:p w14:paraId="2155E1A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ascii="宋体" w:hAnsi="宋体" w:eastAsia="宋体" w:cs="宋体"/>
          <w:sz w:val="21"/>
          <w:szCs w:val="21"/>
          <w:lang w:val="en-US" w:eastAsia="zh-CN"/>
        </w:rPr>
        <w:t>11</w:t>
      </w:r>
      <w:r>
        <w:rPr>
          <w:rFonts w:hint="eastAsia" w:ascii="宋体" w:hAnsi="宋体" w:eastAsia="宋体" w:cs="宋体"/>
          <w:sz w:val="21"/>
          <w:szCs w:val="21"/>
          <w:lang w:eastAsia="zh-CN"/>
        </w:rPr>
        <w:t>）法律法规或投标人须知前附表规定的其他情形。</w:t>
      </w:r>
    </w:p>
    <w:p w14:paraId="72B4B969">
      <w:pPr>
        <w:pStyle w:val="5"/>
        <w:spacing w:before="0" w:after="0" w:line="360" w:lineRule="auto"/>
        <w:rPr>
          <w:rFonts w:hint="eastAsia" w:ascii="宋体" w:hAnsi="宋体" w:cs="宋体"/>
          <w:sz w:val="21"/>
          <w:szCs w:val="21"/>
        </w:rPr>
      </w:pPr>
      <w:bookmarkStart w:id="194" w:name="_Toc26152"/>
      <w:bookmarkStart w:id="195" w:name="_Toc57795866"/>
      <w:r>
        <w:rPr>
          <w:rFonts w:hint="eastAsia" w:ascii="宋体" w:hAnsi="宋体" w:cs="宋体"/>
          <w:sz w:val="21"/>
          <w:szCs w:val="21"/>
        </w:rPr>
        <w:t>1.5 费用承担</w:t>
      </w:r>
      <w:bookmarkEnd w:id="194"/>
      <w:bookmarkEnd w:id="195"/>
    </w:p>
    <w:p w14:paraId="70AE556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投标人准备和参加投标活动发生的费用自理。</w:t>
      </w:r>
    </w:p>
    <w:p w14:paraId="7FE81C7E">
      <w:pPr>
        <w:pStyle w:val="5"/>
        <w:spacing w:before="0" w:after="0" w:line="360" w:lineRule="auto"/>
        <w:rPr>
          <w:rFonts w:hint="eastAsia" w:ascii="宋体" w:hAnsi="宋体" w:cs="宋体"/>
          <w:sz w:val="21"/>
          <w:szCs w:val="21"/>
        </w:rPr>
      </w:pPr>
      <w:bookmarkStart w:id="196" w:name="_Toc57795867"/>
      <w:bookmarkStart w:id="197" w:name="_Toc12219"/>
      <w:r>
        <w:rPr>
          <w:rFonts w:hint="eastAsia" w:ascii="宋体" w:hAnsi="宋体" w:cs="宋体"/>
          <w:sz w:val="21"/>
          <w:szCs w:val="21"/>
        </w:rPr>
        <w:t>1.6 保密</w:t>
      </w:r>
      <w:bookmarkEnd w:id="196"/>
      <w:bookmarkEnd w:id="197"/>
    </w:p>
    <w:p w14:paraId="4AA040C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参与招标投标活动的各方应对招标文件和投标文件中的商业和技术等秘密保密，否则应承担相应的法律责任。</w:t>
      </w:r>
    </w:p>
    <w:p w14:paraId="59A45033">
      <w:pPr>
        <w:pStyle w:val="5"/>
        <w:spacing w:before="0" w:after="0" w:line="360" w:lineRule="auto"/>
        <w:rPr>
          <w:rFonts w:hint="eastAsia" w:ascii="宋体" w:hAnsi="宋体" w:cs="宋体"/>
          <w:sz w:val="21"/>
          <w:szCs w:val="21"/>
        </w:rPr>
      </w:pPr>
      <w:bookmarkStart w:id="198" w:name="_Toc57795868"/>
      <w:bookmarkStart w:id="199" w:name="_Toc12511"/>
      <w:r>
        <w:rPr>
          <w:rFonts w:hint="eastAsia" w:ascii="宋体" w:hAnsi="宋体" w:cs="宋体"/>
          <w:sz w:val="21"/>
          <w:szCs w:val="21"/>
        </w:rPr>
        <w:t>1.7 语言文字</w:t>
      </w:r>
      <w:bookmarkEnd w:id="198"/>
      <w:bookmarkEnd w:id="199"/>
    </w:p>
    <w:p w14:paraId="3A5A8D5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招标投标文件使用的语言文字为中文。专用术语使用外文的，应附有中文注释。</w:t>
      </w:r>
    </w:p>
    <w:p w14:paraId="0A58321E">
      <w:pPr>
        <w:pStyle w:val="5"/>
        <w:spacing w:before="0" w:after="0" w:line="360" w:lineRule="auto"/>
        <w:rPr>
          <w:rFonts w:hint="eastAsia" w:ascii="宋体" w:hAnsi="宋体" w:cs="宋体"/>
          <w:sz w:val="21"/>
          <w:szCs w:val="21"/>
        </w:rPr>
      </w:pPr>
      <w:bookmarkStart w:id="200" w:name="_Toc24454"/>
      <w:bookmarkStart w:id="201" w:name="_Toc57795869"/>
      <w:r>
        <w:rPr>
          <w:rFonts w:hint="eastAsia" w:ascii="宋体" w:hAnsi="宋体" w:cs="宋体"/>
          <w:sz w:val="21"/>
          <w:szCs w:val="21"/>
        </w:rPr>
        <w:t>1.8 计量单位</w:t>
      </w:r>
      <w:bookmarkEnd w:id="200"/>
      <w:bookmarkEnd w:id="201"/>
    </w:p>
    <w:p w14:paraId="5DE51FE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所有计量均采用中华人民共和国法定计量单位。</w:t>
      </w:r>
    </w:p>
    <w:p w14:paraId="70B56AB4">
      <w:pPr>
        <w:pStyle w:val="5"/>
        <w:spacing w:before="0" w:after="0" w:line="360" w:lineRule="auto"/>
        <w:rPr>
          <w:rFonts w:hint="eastAsia" w:ascii="宋体" w:hAnsi="宋体" w:cs="宋体"/>
          <w:sz w:val="21"/>
          <w:szCs w:val="21"/>
        </w:rPr>
      </w:pPr>
      <w:bookmarkStart w:id="202" w:name="_Toc6731"/>
      <w:bookmarkStart w:id="203" w:name="_Toc57795870"/>
      <w:r>
        <w:rPr>
          <w:rFonts w:hint="eastAsia" w:ascii="宋体" w:hAnsi="宋体" w:cs="宋体"/>
          <w:sz w:val="21"/>
          <w:szCs w:val="21"/>
        </w:rPr>
        <w:t>1.9 踏勘现场</w:t>
      </w:r>
      <w:bookmarkEnd w:id="202"/>
      <w:bookmarkEnd w:id="203"/>
    </w:p>
    <w:p w14:paraId="4AF43DC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1.9.1投标人须知前附表规定组织踏勘现场的，招标人按投标人须知前附表规定的时间、地点组织投标人踏勘项目现场。</w:t>
      </w:r>
    </w:p>
    <w:p w14:paraId="36746EB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1.9.2投标人踏勘现场发生的费用自理。</w:t>
      </w:r>
    </w:p>
    <w:p w14:paraId="6519582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1.9.3除招标人的原因外，投标人自行负责在踏勘现场中所发生的人员伤亡和财产损失。</w:t>
      </w:r>
    </w:p>
    <w:p w14:paraId="760DC6E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1.9.4招标人提供的本合同工程的水文、地质、气象和料场分布、取土场、弃土场位置等参考资料，并不构成合同文件的组成部分，投标人应对自己就上述资料的解释、推论和应用负责，招标人不对投标人据此作出的判断和决策承担任何责任。</w:t>
      </w:r>
    </w:p>
    <w:p w14:paraId="4B2CD5EC">
      <w:pPr>
        <w:pStyle w:val="5"/>
        <w:spacing w:before="0" w:after="0" w:line="360" w:lineRule="auto"/>
        <w:rPr>
          <w:rFonts w:hint="eastAsia" w:ascii="宋体" w:hAnsi="宋体" w:cs="宋体"/>
          <w:sz w:val="21"/>
          <w:szCs w:val="21"/>
        </w:rPr>
      </w:pPr>
      <w:bookmarkStart w:id="204" w:name="_Toc16129"/>
      <w:bookmarkStart w:id="205" w:name="_Toc57795871"/>
      <w:r>
        <w:rPr>
          <w:rFonts w:hint="eastAsia" w:ascii="宋体" w:hAnsi="宋体" w:cs="宋体"/>
          <w:sz w:val="21"/>
          <w:szCs w:val="21"/>
        </w:rPr>
        <w:t>1.10 投标预备会</w:t>
      </w:r>
      <w:bookmarkEnd w:id="204"/>
      <w:bookmarkEnd w:id="205"/>
    </w:p>
    <w:p w14:paraId="32B315F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1.10.1 投标人须知前附表规定召开投标预备会的，招标人按投标人须知前附表规定的时间和地点召开投标预备会，澄清投标人提出的问题。</w:t>
      </w:r>
    </w:p>
    <w:p w14:paraId="7780EC3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1.10.2 投标人应在投标人须知前附表规定的时间前，以书面形式将提出的问题送达招标人，以便招标人在会议期间澄清。</w:t>
      </w:r>
    </w:p>
    <w:p w14:paraId="0A0B07D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1.10.3 投标预备会后，招标人在投标人须知前附表规定的时间内，将对投标人所提问题的澄清，以投标人须知前附表规定的形式通知所有投标人。该澄清内容为招标文件的组成部分。</w:t>
      </w:r>
    </w:p>
    <w:p w14:paraId="30EA2419">
      <w:pPr>
        <w:pStyle w:val="5"/>
        <w:spacing w:before="0" w:after="0" w:line="360" w:lineRule="auto"/>
        <w:rPr>
          <w:rFonts w:hint="eastAsia" w:ascii="宋体" w:hAnsi="宋体" w:cs="宋体"/>
          <w:sz w:val="21"/>
          <w:szCs w:val="21"/>
        </w:rPr>
      </w:pPr>
      <w:bookmarkStart w:id="206" w:name="_Toc57795872"/>
      <w:bookmarkStart w:id="207" w:name="_Toc5692"/>
      <w:r>
        <w:rPr>
          <w:rFonts w:hint="eastAsia" w:ascii="宋体" w:hAnsi="宋体" w:cs="宋体"/>
          <w:sz w:val="21"/>
          <w:szCs w:val="21"/>
        </w:rPr>
        <w:t>1.11 分包</w:t>
      </w:r>
      <w:bookmarkEnd w:id="206"/>
      <w:bookmarkEnd w:id="207"/>
    </w:p>
    <w:p w14:paraId="21224CF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1.11.1 投标人拟在中标后将中标项目的部分非主体、非关键性工作进行分包的，应符合以下规定：</w:t>
      </w:r>
    </w:p>
    <w:p w14:paraId="41F114E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（1）分包内容要求：允许分包的工程范围仅限于非关键性工程或适合专业化队伍施工的专项工程。招标人允许分包或不允许分包的专项工程（如有）应在投标人须知前附表中载明。</w:t>
      </w:r>
    </w:p>
    <w:p w14:paraId="293A0AC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（2）接受分包的第三人资格要求：分包人的资格能力应与其分包工程的标准和规模相适应，且具备投标人须知前附表中规定的资格条件。</w:t>
      </w:r>
    </w:p>
    <w:p w14:paraId="65D38F0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（3）其他要求：投标人如有分包计划，应按第九章“投标文件格式”的要求填写“拟分包项目情况表”，明确拟分包的工程及规模，且投标人中标后的分包应满足合同条款第 4.3 款的相关要求。</w:t>
      </w:r>
    </w:p>
    <w:p w14:paraId="57993F9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1.11.2 中标人不得向他人转让中标项目，接受分包的人不得再次分包。中标人应就分包项目向招标人负责，接受分包的人就分包项目承担连带责任。</w:t>
      </w:r>
    </w:p>
    <w:p w14:paraId="7AFD9732">
      <w:pPr>
        <w:pStyle w:val="5"/>
        <w:spacing w:before="0" w:after="0" w:line="360" w:lineRule="auto"/>
        <w:rPr>
          <w:rFonts w:hint="eastAsia" w:ascii="宋体" w:hAnsi="宋体" w:cs="宋体"/>
          <w:sz w:val="21"/>
          <w:szCs w:val="21"/>
        </w:rPr>
      </w:pPr>
      <w:bookmarkStart w:id="208" w:name="_Toc57795873"/>
      <w:bookmarkStart w:id="209" w:name="_Toc13092"/>
      <w:r>
        <w:rPr>
          <w:rFonts w:hint="eastAsia" w:ascii="宋体" w:hAnsi="宋体" w:cs="宋体"/>
          <w:sz w:val="21"/>
          <w:szCs w:val="21"/>
        </w:rPr>
        <w:t>1.12 响应和偏差</w:t>
      </w:r>
      <w:bookmarkEnd w:id="208"/>
      <w:bookmarkEnd w:id="209"/>
    </w:p>
    <w:p w14:paraId="362178D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1.12.1 投标文件偏离招标文件某些要求，视为投标文件存在偏差。偏差包括重大偏差和细微偏差。</w:t>
      </w:r>
    </w:p>
    <w:p w14:paraId="047F83C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1.12.2 投标文件应对招标文件的实质性要求和条件作出满足性或更有利于招标人的响应，否则，视为投标文件存在重大偏差，投标人的投标将被否决。</w:t>
      </w:r>
    </w:p>
    <w:p w14:paraId="75A957A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投标文件存在第三章“评标办法”中所列任一否决投标情形的，均属于存在重大偏差。</w:t>
      </w:r>
    </w:p>
    <w:p w14:paraId="5A0C1A2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1.12.3 投标文件中的下列偏差为细微偏差：</w:t>
      </w:r>
    </w:p>
    <w:p w14:paraId="0824E4E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在按照第三章“评标办法”的规定对投标价进行算术性错误修正及其他错误修正后，最终投标报价未超过最高投标限价（如有）的情况下，出现第三章“评标办法”规定的算术性错误和投标报价的其他错误。</w:t>
      </w:r>
    </w:p>
    <w:p w14:paraId="4F3022D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1.12.4 评标委员会对投标文件中的细微偏差按如下规定处理：</w:t>
      </w:r>
    </w:p>
    <w:p w14:paraId="6DF030A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对于本章第 1.12.3 项所述的细微偏差，按照第三章“评标办法”的规定予以修正并要求投标人进行澄清。</w:t>
      </w:r>
    </w:p>
    <w:p w14:paraId="4981024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1.12.5 投标人应根据招标文件的要求提供施工组织设计等内容以对招标文件作出响应。</w:t>
      </w:r>
    </w:p>
    <w:p w14:paraId="74FA22A6">
      <w:pPr>
        <w:pStyle w:val="4"/>
        <w:spacing w:before="0" w:after="0" w:line="360" w:lineRule="auto"/>
        <w:rPr>
          <w:rFonts w:hint="eastAsia" w:ascii="宋体" w:hAnsi="宋体" w:cs="宋体"/>
          <w:sz w:val="28"/>
          <w:szCs w:val="28"/>
        </w:rPr>
      </w:pPr>
      <w:bookmarkStart w:id="210" w:name="_Toc57795874"/>
      <w:bookmarkStart w:id="211" w:name="_Toc23696"/>
      <w:r>
        <w:rPr>
          <w:rFonts w:hint="eastAsia" w:ascii="宋体" w:hAnsi="宋体" w:cs="宋体"/>
          <w:sz w:val="28"/>
          <w:szCs w:val="28"/>
        </w:rPr>
        <w:t>2. 招标文件</w:t>
      </w:r>
      <w:bookmarkEnd w:id="210"/>
      <w:bookmarkEnd w:id="211"/>
    </w:p>
    <w:p w14:paraId="6B6B0431">
      <w:pPr>
        <w:pStyle w:val="5"/>
        <w:spacing w:before="0" w:after="0" w:line="360" w:lineRule="auto"/>
        <w:rPr>
          <w:rFonts w:hint="eastAsia" w:ascii="宋体" w:hAnsi="宋体" w:cs="宋体"/>
          <w:sz w:val="21"/>
          <w:szCs w:val="21"/>
        </w:rPr>
      </w:pPr>
      <w:bookmarkStart w:id="212" w:name="_Toc26641"/>
      <w:bookmarkStart w:id="213" w:name="_Toc57795875"/>
      <w:r>
        <w:rPr>
          <w:rFonts w:hint="eastAsia" w:ascii="宋体" w:hAnsi="宋体" w:cs="宋体"/>
          <w:sz w:val="21"/>
          <w:szCs w:val="21"/>
        </w:rPr>
        <w:t>2.1 招标文件的组成</w:t>
      </w:r>
      <w:bookmarkEnd w:id="212"/>
      <w:bookmarkEnd w:id="213"/>
    </w:p>
    <w:p w14:paraId="018B43B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本招标文件包括：</w:t>
      </w:r>
    </w:p>
    <w:p w14:paraId="1274AC7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（1）招标公告（或投标邀请书）；</w:t>
      </w:r>
    </w:p>
    <w:p w14:paraId="1DD644B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（2）投标人须知；</w:t>
      </w:r>
    </w:p>
    <w:p w14:paraId="04798AB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（3）评标办法；</w:t>
      </w:r>
    </w:p>
    <w:p w14:paraId="095224F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（4）合同条款及格式；</w:t>
      </w:r>
    </w:p>
    <w:p w14:paraId="0617243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（5）工程量清单（如有）；</w:t>
      </w:r>
    </w:p>
    <w:p w14:paraId="5792B82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（6）图纸（如有）；</w:t>
      </w:r>
    </w:p>
    <w:p w14:paraId="10A347F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（7）技术规范；</w:t>
      </w:r>
    </w:p>
    <w:p w14:paraId="5A9352A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（8）工程量清单计量规则（如有）；</w:t>
      </w:r>
    </w:p>
    <w:p w14:paraId="42DEE7E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（9）投标文件格式；</w:t>
      </w:r>
    </w:p>
    <w:p w14:paraId="1631618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（10）投标人须知前附表规定的其他资料。</w:t>
      </w:r>
    </w:p>
    <w:p w14:paraId="0F60177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根据本章第1.10 款、第2.2 款和第2.3 款对招标文件所作的澄清、修改，构成招标文件的组成部分。</w:t>
      </w:r>
    </w:p>
    <w:p w14:paraId="2077CE0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当招标文件、招标文件的澄清或修改等在同一内容的表述上不一致时，以最后发出的书面文件为准。当对招标文件的理解有争议的，应当作出不利于招标人的解释，但违背国家利益、社会公共利益的除外。</w:t>
      </w:r>
    </w:p>
    <w:p w14:paraId="70A30806">
      <w:pPr>
        <w:pStyle w:val="5"/>
        <w:spacing w:before="0" w:after="0" w:line="360" w:lineRule="auto"/>
        <w:rPr>
          <w:rFonts w:hint="eastAsia" w:ascii="宋体" w:hAnsi="宋体" w:cs="宋体"/>
          <w:sz w:val="21"/>
          <w:szCs w:val="21"/>
        </w:rPr>
      </w:pPr>
      <w:bookmarkStart w:id="214" w:name="_Toc57795876"/>
      <w:bookmarkStart w:id="215" w:name="_Toc21941"/>
      <w:r>
        <w:rPr>
          <w:rFonts w:hint="eastAsia" w:ascii="宋体" w:hAnsi="宋体" w:cs="宋体"/>
          <w:sz w:val="21"/>
          <w:szCs w:val="21"/>
        </w:rPr>
        <w:t>2.2 招标文件的澄清</w:t>
      </w:r>
      <w:bookmarkEnd w:id="214"/>
      <w:bookmarkEnd w:id="215"/>
    </w:p>
    <w:p w14:paraId="4D350782">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sz w:val="21"/>
          <w:szCs w:val="21"/>
          <w:lang w:eastAsia="zh-CN"/>
        </w:rPr>
        <w:t>2.2.1 投标人应仔细阅读和检查招标文件的全部内容。如发现缺页或附件不全，应及时向招标人提出，以便补齐。如有疑问，应在投标人须知前附表规定的时间前</w:t>
      </w:r>
      <w:r>
        <w:rPr>
          <w:rFonts w:hint="eastAsia" w:ascii="宋体" w:hAnsi="宋体" w:eastAsia="宋体" w:cs="宋体"/>
          <w:sz w:val="21"/>
          <w:szCs w:val="21"/>
          <w:lang w:eastAsia="zh-CN"/>
        </w:rPr>
        <w:t>在相应法定网站提问</w:t>
      </w:r>
      <w:r>
        <w:rPr>
          <w:rFonts w:hint="eastAsia" w:ascii="宋体" w:hAnsi="宋体" w:eastAsia="宋体" w:cs="宋体"/>
          <w:snapToGrid w:val="0"/>
          <w:sz w:val="21"/>
          <w:szCs w:val="21"/>
          <w:lang w:eastAsia="zh-CN"/>
        </w:rPr>
        <w:t>，要求招标人对招标文件予以澄清。</w:t>
      </w:r>
    </w:p>
    <w:p w14:paraId="562B396C">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sz w:val="21"/>
          <w:szCs w:val="21"/>
          <w:lang w:eastAsia="zh-CN"/>
        </w:rPr>
        <w:t>2.2.2 招标文件的澄清将在投标人须知前附表规定的投标截止时间15天前</w:t>
      </w:r>
      <w:r>
        <w:rPr>
          <w:rFonts w:hint="eastAsia" w:ascii="宋体" w:hAnsi="宋体" w:eastAsia="宋体" w:cs="宋体"/>
          <w:sz w:val="21"/>
          <w:szCs w:val="21"/>
          <w:lang w:eastAsia="zh-CN"/>
        </w:rPr>
        <w:t>在相应法定网站发布，</w:t>
      </w:r>
      <w:r>
        <w:rPr>
          <w:rFonts w:hint="eastAsia" w:ascii="宋体" w:hAnsi="宋体" w:eastAsia="宋体" w:cs="宋体"/>
          <w:snapToGrid w:val="0"/>
          <w:sz w:val="21"/>
          <w:szCs w:val="21"/>
          <w:lang w:eastAsia="zh-CN"/>
        </w:rPr>
        <w:t>但不指明澄清问题的来源。如果澄清发出的时间距投标截止时间不足15天，相应延长投标截止时间。</w:t>
      </w:r>
    </w:p>
    <w:p w14:paraId="6F5BCDF6">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sz w:val="21"/>
          <w:szCs w:val="21"/>
          <w:lang w:eastAsia="zh-CN"/>
        </w:rPr>
        <w:t xml:space="preserve">2.2.3 </w:t>
      </w:r>
      <w:r>
        <w:rPr>
          <w:rFonts w:hint="eastAsia" w:ascii="宋体" w:hAnsi="宋体" w:eastAsia="宋体" w:cs="宋体"/>
          <w:sz w:val="21"/>
          <w:szCs w:val="21"/>
          <w:lang w:eastAsia="zh-CN"/>
        </w:rPr>
        <w:t>招标人对招标文件的</w:t>
      </w:r>
      <w:r>
        <w:rPr>
          <w:rFonts w:hint="eastAsia" w:ascii="宋体" w:hAnsi="宋体" w:eastAsia="宋体" w:cs="宋体"/>
          <w:snapToGrid w:val="0"/>
          <w:sz w:val="21"/>
          <w:szCs w:val="21"/>
          <w:lang w:eastAsia="zh-CN"/>
        </w:rPr>
        <w:t>修改内容可能影响投标文件编制的，须在投标截止时间15日前发布，发布时间至投标截止时间不足15日的，须相应延后投标截止时间。</w:t>
      </w:r>
    </w:p>
    <w:p w14:paraId="7F05A3E0">
      <w:pPr>
        <w:pStyle w:val="69"/>
        <w:spacing w:before="0" w:after="0" w:line="360" w:lineRule="auto"/>
        <w:ind w:firstLine="420" w:firstLineChars="200"/>
        <w:jc w:val="left"/>
        <w:rPr>
          <w:rFonts w:hint="eastAsia" w:ascii="宋体" w:hAnsi="宋体" w:eastAsia="宋体" w:cs="宋体"/>
          <w:snapToGrid w:val="0"/>
          <w:sz w:val="21"/>
          <w:szCs w:val="21"/>
          <w:lang w:eastAsia="zh-CN"/>
        </w:rPr>
      </w:pPr>
      <w:r>
        <w:rPr>
          <w:rFonts w:hint="eastAsia" w:ascii="宋体" w:hAnsi="宋体" w:eastAsia="宋体" w:cs="宋体"/>
          <w:snapToGrid w:val="0"/>
          <w:position w:val="-2"/>
          <w:sz w:val="21"/>
          <w:szCs w:val="21"/>
          <w:lang w:eastAsia="zh-CN"/>
        </w:rPr>
        <w:t>2.2.4 投标人对招标文件和澄清修改仍有异议的，可于投标截止时间10日前，通过重庆市电子招投标系统提出</w:t>
      </w:r>
      <w:r>
        <w:rPr>
          <w:rFonts w:hint="eastAsia" w:ascii="宋体" w:hAnsi="宋体" w:eastAsia="宋体" w:cs="宋体"/>
          <w:snapToGrid w:val="0"/>
          <w:sz w:val="21"/>
          <w:szCs w:val="21"/>
          <w:lang w:eastAsia="zh-CN"/>
        </w:rPr>
        <w:t>。招标人应将答复以修改的形式在</w:t>
      </w:r>
      <w:r>
        <w:rPr>
          <w:rFonts w:hint="eastAsia" w:ascii="宋体" w:hAnsi="宋体" w:eastAsia="宋体" w:cs="宋体"/>
          <w:sz w:val="21"/>
          <w:szCs w:val="21"/>
          <w:lang w:eastAsia="zh-CN"/>
        </w:rPr>
        <w:t>相应法定网站发布</w:t>
      </w:r>
      <w:r>
        <w:rPr>
          <w:rFonts w:hint="eastAsia" w:ascii="宋体" w:hAnsi="宋体" w:eastAsia="宋体" w:cs="宋体"/>
          <w:snapToGrid w:val="0"/>
          <w:sz w:val="21"/>
          <w:szCs w:val="21"/>
          <w:lang w:eastAsia="zh-CN"/>
        </w:rPr>
        <w:t>。修改内容可能影响投标文件编制的，须在投标截止时间15日前发布，发布时间至投标截止时间不足15日的，须相应延后投标截止时间。</w:t>
      </w:r>
    </w:p>
    <w:p w14:paraId="5E9B5B7F">
      <w:pPr>
        <w:pStyle w:val="5"/>
        <w:spacing w:before="0" w:after="0" w:line="360" w:lineRule="auto"/>
        <w:rPr>
          <w:rFonts w:hint="eastAsia" w:ascii="宋体" w:hAnsi="宋体" w:cs="宋体"/>
          <w:sz w:val="21"/>
          <w:szCs w:val="21"/>
        </w:rPr>
      </w:pPr>
      <w:bookmarkStart w:id="216" w:name="_Toc57795877"/>
      <w:bookmarkStart w:id="217" w:name="_Toc9731"/>
      <w:r>
        <w:rPr>
          <w:rFonts w:hint="eastAsia" w:ascii="宋体" w:hAnsi="宋体" w:cs="宋体"/>
          <w:sz w:val="21"/>
          <w:szCs w:val="21"/>
        </w:rPr>
        <w:t>2.3 招标文件的修改</w:t>
      </w:r>
      <w:bookmarkEnd w:id="216"/>
      <w:bookmarkEnd w:id="217"/>
    </w:p>
    <w:p w14:paraId="1D3F8AE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按照本章第2.2款招标文件的澄清相关内容及方式执行。</w:t>
      </w:r>
    </w:p>
    <w:p w14:paraId="617EC8A3">
      <w:pPr>
        <w:pStyle w:val="4"/>
        <w:spacing w:before="0" w:after="0" w:line="360" w:lineRule="auto"/>
        <w:rPr>
          <w:rFonts w:hint="eastAsia" w:ascii="宋体" w:hAnsi="宋体" w:cs="宋体"/>
          <w:sz w:val="28"/>
          <w:szCs w:val="28"/>
        </w:rPr>
      </w:pPr>
      <w:bookmarkStart w:id="218" w:name="_Toc57795878"/>
      <w:bookmarkStart w:id="219" w:name="_Toc19542"/>
      <w:r>
        <w:rPr>
          <w:rFonts w:hint="eastAsia" w:ascii="宋体" w:hAnsi="宋体" w:cs="宋体"/>
          <w:sz w:val="28"/>
          <w:szCs w:val="28"/>
        </w:rPr>
        <w:t>3. 投标文件</w:t>
      </w:r>
      <w:bookmarkEnd w:id="218"/>
      <w:bookmarkEnd w:id="219"/>
    </w:p>
    <w:p w14:paraId="471611BD">
      <w:pPr>
        <w:pStyle w:val="5"/>
        <w:spacing w:before="0" w:after="0" w:line="360" w:lineRule="auto"/>
        <w:rPr>
          <w:rFonts w:hint="eastAsia" w:ascii="宋体" w:hAnsi="宋体" w:cs="宋体"/>
          <w:sz w:val="21"/>
          <w:szCs w:val="21"/>
        </w:rPr>
      </w:pPr>
      <w:bookmarkStart w:id="220" w:name="_Toc10969"/>
      <w:bookmarkStart w:id="221" w:name="_Toc57795879"/>
      <w:r>
        <w:rPr>
          <w:rFonts w:hint="eastAsia" w:ascii="宋体" w:hAnsi="宋体" w:cs="宋体"/>
          <w:sz w:val="21"/>
          <w:szCs w:val="21"/>
        </w:rPr>
        <w:t>3.1投标文件的组成</w:t>
      </w:r>
      <w:bookmarkEnd w:id="220"/>
      <w:bookmarkEnd w:id="221"/>
    </w:p>
    <w:p w14:paraId="7C5C682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3.1.1 投标文件应包括下列内容：</w:t>
      </w:r>
    </w:p>
    <w:p w14:paraId="6D900539">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3.1.1.1投标函部分</w:t>
      </w:r>
    </w:p>
    <w:p w14:paraId="28D56B02">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（1）投标函</w:t>
      </w:r>
    </w:p>
    <w:p w14:paraId="73929724">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（2）投标函附录</w:t>
      </w:r>
    </w:p>
    <w:p w14:paraId="38A8FE33">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（3）法定代表人身份证明或附有法定代表人身份证明的授权委托书</w:t>
      </w:r>
    </w:p>
    <w:p w14:paraId="3F2B293D">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（4）低价风险担保</w:t>
      </w:r>
      <w:r>
        <w:rPr>
          <w:rFonts w:hint="eastAsia" w:ascii="宋体" w:hAnsi="宋体" w:cs="宋体"/>
          <w:kern w:val="0"/>
          <w:szCs w:val="21"/>
        </w:rPr>
        <w:t>提交</w:t>
      </w:r>
      <w:r>
        <w:rPr>
          <w:rFonts w:hint="eastAsia" w:ascii="宋体" w:hAnsi="宋体" w:cs="宋体"/>
          <w:kern w:val="0"/>
          <w:szCs w:val="21"/>
          <w:lang w:val="ru-RU"/>
        </w:rPr>
        <w:t>承诺书（如有）</w:t>
      </w:r>
    </w:p>
    <w:p w14:paraId="67E82019">
      <w:pPr>
        <w:spacing w:line="360" w:lineRule="auto"/>
        <w:ind w:firstLine="420" w:firstLineChars="200"/>
        <w:rPr>
          <w:rFonts w:hint="eastAsia" w:ascii="宋体" w:hAnsi="宋体"/>
          <w:lang w:val="ru-RU"/>
        </w:rPr>
      </w:pPr>
      <w:r>
        <w:rPr>
          <w:rFonts w:hint="eastAsia" w:ascii="宋体" w:hAnsi="宋体" w:cs="宋体"/>
          <w:kern w:val="0"/>
          <w:szCs w:val="21"/>
          <w:lang w:val="ru-RU"/>
        </w:rPr>
        <w:t>3.1.1.</w:t>
      </w:r>
      <w:r>
        <w:rPr>
          <w:rFonts w:hint="eastAsia" w:ascii="宋体" w:hAnsi="宋体" w:cs="宋体"/>
          <w:kern w:val="0"/>
          <w:szCs w:val="21"/>
        </w:rPr>
        <w:t>2经济</w:t>
      </w:r>
      <w:r>
        <w:rPr>
          <w:rFonts w:hint="eastAsia" w:ascii="宋体" w:hAnsi="宋体" w:cs="宋体"/>
          <w:kern w:val="0"/>
          <w:szCs w:val="21"/>
          <w:lang w:val="ru-RU"/>
        </w:rPr>
        <w:t>部分</w:t>
      </w:r>
    </w:p>
    <w:p w14:paraId="4BE591B6">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w:t>
      </w:r>
      <w:r>
        <w:rPr>
          <w:rFonts w:hint="eastAsia" w:ascii="宋体" w:hAnsi="宋体" w:cs="宋体"/>
          <w:kern w:val="0"/>
          <w:szCs w:val="21"/>
        </w:rPr>
        <w:t>1</w:t>
      </w:r>
      <w:r>
        <w:rPr>
          <w:rFonts w:hint="eastAsia" w:ascii="宋体" w:hAnsi="宋体" w:cs="宋体"/>
          <w:kern w:val="0"/>
          <w:szCs w:val="21"/>
          <w:lang w:val="ru-RU"/>
        </w:rPr>
        <w:t>）已标价工程量清单（如有）</w:t>
      </w:r>
    </w:p>
    <w:p w14:paraId="16B1175C">
      <w:pPr>
        <w:spacing w:line="360" w:lineRule="auto"/>
        <w:ind w:firstLine="420" w:firstLineChars="200"/>
        <w:rPr>
          <w:rFonts w:hint="eastAsia" w:ascii="宋体" w:hAnsi="宋体"/>
          <w:lang w:val="ru-RU"/>
        </w:rPr>
      </w:pPr>
      <w:r>
        <w:rPr>
          <w:rFonts w:hint="eastAsia" w:ascii="宋体" w:hAnsi="宋体" w:cs="宋体"/>
          <w:kern w:val="0"/>
          <w:szCs w:val="21"/>
          <w:lang w:val="ru-RU"/>
        </w:rPr>
        <w:t>3.1.1.</w:t>
      </w:r>
      <w:r>
        <w:rPr>
          <w:rFonts w:hint="eastAsia" w:ascii="宋体" w:hAnsi="宋体" w:cs="宋体"/>
          <w:kern w:val="0"/>
          <w:szCs w:val="21"/>
        </w:rPr>
        <w:t>3商务</w:t>
      </w:r>
      <w:r>
        <w:rPr>
          <w:rFonts w:hint="eastAsia" w:ascii="宋体" w:hAnsi="宋体" w:cs="宋体"/>
          <w:kern w:val="0"/>
          <w:szCs w:val="21"/>
          <w:lang w:val="ru-RU"/>
        </w:rPr>
        <w:t>部分（不设置商务部分评审的不设此部分）</w:t>
      </w:r>
    </w:p>
    <w:p w14:paraId="635CB94A">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4</w:t>
      </w:r>
      <w:r>
        <w:rPr>
          <w:rFonts w:hint="eastAsia" w:ascii="宋体" w:hAnsi="宋体" w:cs="宋体"/>
          <w:kern w:val="0"/>
          <w:szCs w:val="21"/>
          <w:lang w:val="ru-RU"/>
        </w:rPr>
        <w:t>技术部分（不设置技术方案评审的不设此部分）</w:t>
      </w:r>
    </w:p>
    <w:p w14:paraId="179954A6">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3.1.1.</w:t>
      </w:r>
      <w:r>
        <w:rPr>
          <w:rFonts w:hint="eastAsia" w:ascii="宋体" w:hAnsi="宋体" w:cs="宋体"/>
          <w:kern w:val="0"/>
          <w:szCs w:val="21"/>
        </w:rPr>
        <w:t>5</w:t>
      </w:r>
      <w:r>
        <w:rPr>
          <w:rFonts w:hint="eastAsia" w:ascii="宋体" w:hAnsi="宋体" w:cs="宋体"/>
          <w:kern w:val="0"/>
          <w:szCs w:val="21"/>
          <w:lang w:val="ru-RU"/>
        </w:rPr>
        <w:t>资格审查部分</w:t>
      </w:r>
    </w:p>
    <w:p w14:paraId="19548DC8">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（1）法定代表人身份证明或附有法定代表人身份证明的授权委托书</w:t>
      </w:r>
    </w:p>
    <w:p w14:paraId="26ADB2AE">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（2）联合体协议书（如有）</w:t>
      </w:r>
    </w:p>
    <w:p w14:paraId="13951971">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（3）投标人基本情况表</w:t>
      </w:r>
    </w:p>
    <w:p w14:paraId="4308C6C1">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（4）项目管理机构</w:t>
      </w:r>
    </w:p>
    <w:p w14:paraId="5CE060E3">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（5）近年财务状况表</w:t>
      </w:r>
    </w:p>
    <w:p w14:paraId="0AFC00FB">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（6）类似项目情况表</w:t>
      </w:r>
    </w:p>
    <w:p w14:paraId="48871C6E">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（7）</w:t>
      </w:r>
      <w:r>
        <w:rPr>
          <w:rFonts w:hint="eastAsia" w:ascii="宋体" w:hAnsi="宋体" w:cs="宋体"/>
          <w:kern w:val="0"/>
          <w:szCs w:val="21"/>
        </w:rPr>
        <w:t>承诺</w:t>
      </w:r>
    </w:p>
    <w:p w14:paraId="62C02D0C">
      <w:pPr>
        <w:spacing w:line="360" w:lineRule="auto"/>
        <w:ind w:firstLine="420" w:firstLineChars="200"/>
        <w:rPr>
          <w:rFonts w:hint="eastAsia" w:ascii="宋体" w:hAnsi="宋体" w:cs="宋体"/>
          <w:kern w:val="0"/>
          <w:szCs w:val="21"/>
          <w:lang w:val="ru-RU"/>
        </w:rPr>
      </w:pPr>
      <w:r>
        <w:rPr>
          <w:rFonts w:hint="eastAsia" w:ascii="宋体" w:hAnsi="宋体" w:cs="宋体"/>
          <w:kern w:val="0"/>
          <w:szCs w:val="21"/>
          <w:lang w:val="ru-RU"/>
        </w:rPr>
        <w:t>（8）其他资料</w:t>
      </w:r>
    </w:p>
    <w:p w14:paraId="6EDFF6F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投标人在评标过程中作出的符合法律法规和招标文件规定的澄清确认，构成投标文件的组成部分。</w:t>
      </w:r>
    </w:p>
    <w:p w14:paraId="3A81768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3.1.2投标人须知前附表规定不接受联合体投标的，或投标人没有组成联合体的，投标文件不包括联合体协议书。</w:t>
      </w:r>
    </w:p>
    <w:p w14:paraId="3D52993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3.1.3 投标人须知前附表未要求提交投标保证金的，投标文件不包括投标保证金。</w:t>
      </w:r>
    </w:p>
    <w:p w14:paraId="30C1F6A6">
      <w:pPr>
        <w:pStyle w:val="5"/>
        <w:spacing w:before="0" w:after="0" w:line="360" w:lineRule="auto"/>
        <w:rPr>
          <w:rFonts w:hint="eastAsia" w:ascii="宋体" w:hAnsi="宋体" w:cs="宋体"/>
          <w:sz w:val="21"/>
          <w:szCs w:val="21"/>
        </w:rPr>
      </w:pPr>
      <w:bookmarkStart w:id="222" w:name="_Toc57795880"/>
      <w:bookmarkStart w:id="223" w:name="_Toc5453"/>
      <w:r>
        <w:rPr>
          <w:rFonts w:hint="eastAsia" w:ascii="宋体" w:hAnsi="宋体" w:cs="宋体"/>
          <w:sz w:val="21"/>
          <w:szCs w:val="21"/>
        </w:rPr>
        <w:t>3.2 投标报价</w:t>
      </w:r>
      <w:bookmarkEnd w:id="222"/>
      <w:bookmarkEnd w:id="223"/>
    </w:p>
    <w:p w14:paraId="59F9044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3.2.1 投标报价应包括国家规定的增值税税金，除投标人须知前附表另有规定外，增值税税金按一般计税方法计算。投标人应按第九章“投标文件格式”的要求在投标函中进行报价并填写工程量清单相应表格。</w:t>
      </w:r>
    </w:p>
    <w:p w14:paraId="3922195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项目招标采用工程量固化清单，招标人将工程量清单电子文件上传至投标人须知前附表载明的网站供投标人自行下载。投标人填写工程量清单中各子目的单价及总额价，即可完成投标工程量清单的编制，确定投标报价，编入投标文件。投标人未在工程量清单中填入单价或总额价的工程子目，将被认为其已包含在工程量清单其他子目的单价和总额价中，招标人将不予支付。</w:t>
      </w:r>
    </w:p>
    <w:p w14:paraId="0CF6AB1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投标人必须严格遵循工程量固化清单电子文件中的数据、格式及运算定义，严禁投标人修改工程量固化清单电子文件中的数据、格式及运算定义。</w:t>
      </w:r>
    </w:p>
    <w:p w14:paraId="6419488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投标人根据招标人提供的工程量固化清单电子文件填报完成并生成的投标工程量清单中的投标报价和投标函大写金额报价应一致，如果报价金额出现差异，其投标将被否决。</w:t>
      </w:r>
    </w:p>
    <w:p w14:paraId="74B92B5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3.2.2 投标人应充分了解本项目的总体情况以及影响投标报价的其他要素。</w:t>
      </w:r>
    </w:p>
    <w:p w14:paraId="18AC5F3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3.2.3 本项目的报价方式见投标人须知前附表。投标人在投标截止时间前修改投标函中的投标总报价，应同时修改投标文件“已标价工程量清单”中的相应报价。此修改须符合本章第 4.3 款的有关要求。</w:t>
      </w:r>
    </w:p>
    <w:p w14:paraId="3759E4E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3.2.4 投标人如果发现工程量清单中的数量与图纸中数量不一致时，应立即通知招标人核查，除非招标人按照本章第2.2 款或2.3 款的有关要求，以招标文件澄清或修改的方式予以更正，否则，应以工程量清单中列出的数量为准。</w:t>
      </w:r>
    </w:p>
    <w:p w14:paraId="06A708B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3.2.5 投标人应根据《公路水运工程安全生产监督管理办法》，在投标总价中计入安全生产费用，安全生产费用应符合合同条款第 9.2.5 项的规定。工程量清单第 100章内列有上述安全生产费的支付子目，由投标人按招标文件的规定填写总额价。</w:t>
      </w:r>
    </w:p>
    <w:p w14:paraId="1C1B95B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3.2.6 除投标人须知前附表另有规定外，招标人不接受调价函。</w:t>
      </w:r>
    </w:p>
    <w:p w14:paraId="44A2639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3.2.7 在合同实施期间，投标人填写的单价、合价和总额价是否由于物价波动进行价格调整按照合同条款第 16.1 款的规定处理。如果按照合同条款第 16.1.1 项的规定采用价格调整公式进行价格调整，由招标人根据项目实际情况测算确定价格调整公式中的变值权重范围，并在投标函附录价格指数和权重表中约定范围；投标人在此范围内填写各可调因子的权重，合同实施期间将按此权重进行调价。</w:t>
      </w:r>
    </w:p>
    <w:p w14:paraId="70DD569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3.2.8 招标人设有最高投标限价的，投标人的投标报价不得超过最高投标限价，最高投标限价在投标人须知前附表中载明。</w:t>
      </w:r>
    </w:p>
    <w:p w14:paraId="6A8D35B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3.2.9 投标报价的其他要求见投标人须知前附表。</w:t>
      </w:r>
    </w:p>
    <w:p w14:paraId="7265A848">
      <w:pPr>
        <w:pStyle w:val="5"/>
        <w:spacing w:before="0" w:after="0" w:line="360" w:lineRule="auto"/>
        <w:rPr>
          <w:rFonts w:hint="eastAsia" w:ascii="宋体" w:hAnsi="宋体" w:cs="宋体"/>
          <w:sz w:val="21"/>
          <w:szCs w:val="21"/>
        </w:rPr>
      </w:pPr>
      <w:bookmarkStart w:id="224" w:name="_Toc57795881"/>
      <w:bookmarkStart w:id="225" w:name="_Toc5290"/>
      <w:r>
        <w:rPr>
          <w:rFonts w:hint="eastAsia" w:ascii="宋体" w:hAnsi="宋体" w:cs="宋体"/>
          <w:sz w:val="21"/>
          <w:szCs w:val="21"/>
        </w:rPr>
        <w:t>3.3投标有效期</w:t>
      </w:r>
      <w:bookmarkEnd w:id="224"/>
      <w:bookmarkEnd w:id="225"/>
    </w:p>
    <w:p w14:paraId="368CA1C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3.3.1 除投标人须知前附表另有规定外，投标有效期为 90 日。</w:t>
      </w:r>
    </w:p>
    <w:p w14:paraId="0F851D4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3.3.2 在投标有效期内，投标人撤销投标文件的，应承担招标文件和法律规定的责任。</w:t>
      </w:r>
    </w:p>
    <w:p w14:paraId="1F328A0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3.3.3 出现特殊情况需要延长投标有效期的，招标人</w:t>
      </w:r>
      <w:r>
        <w:rPr>
          <w:rFonts w:hint="eastAsia" w:ascii="宋体" w:hAnsi="宋体"/>
          <w:snapToGrid w:val="0"/>
          <w:szCs w:val="21"/>
          <w:lang w:eastAsia="zh-CN"/>
        </w:rPr>
        <w:t>通过重庆市电子招标投标系统以数据电文形式</w:t>
      </w:r>
      <w:r>
        <w:rPr>
          <w:rFonts w:hint="eastAsia" w:ascii="宋体" w:hAnsi="宋体" w:eastAsia="宋体" w:cs="宋体"/>
          <w:sz w:val="21"/>
          <w:szCs w:val="21"/>
          <w:lang w:eastAsia="zh-CN"/>
        </w:rPr>
        <w:t>通知所有投标人延长投标有效期。在</w:t>
      </w:r>
      <w:r>
        <w:rPr>
          <w:rFonts w:hint="eastAsia" w:ascii="宋体" w:hAnsi="宋体" w:eastAsia="宋体" w:cs="宋体"/>
          <w:sz w:val="21"/>
          <w:szCs w:val="21"/>
          <w:lang w:val="en-US" w:eastAsia="zh-CN"/>
        </w:rPr>
        <w:t>通知</w:t>
      </w:r>
      <w:r>
        <w:rPr>
          <w:rFonts w:hint="eastAsia" w:ascii="宋体" w:hAnsi="宋体" w:eastAsia="宋体" w:cs="宋体"/>
          <w:sz w:val="21"/>
          <w:szCs w:val="21"/>
          <w:lang w:eastAsia="zh-CN"/>
        </w:rPr>
        <w:t>发出的 24 小时内， 若招标人未接到投标人拒绝延长的答复，就视为所有投标人都同意延长，投标人应当相应延长其投标保证金的有效期，但不得要求或被允许修改其投标文件；投标人拒绝延长的，其投标失效，但投标人有权收回其投标保证金及以现金或支票形式递交的投标保证金的银行同期活期存款利息。</w:t>
      </w:r>
    </w:p>
    <w:p w14:paraId="4AFCD988">
      <w:pPr>
        <w:pStyle w:val="5"/>
        <w:spacing w:before="0" w:after="0" w:line="360" w:lineRule="auto"/>
        <w:rPr>
          <w:rFonts w:hint="eastAsia" w:ascii="宋体" w:hAnsi="宋体" w:cs="宋体"/>
          <w:sz w:val="21"/>
          <w:szCs w:val="21"/>
        </w:rPr>
      </w:pPr>
      <w:bookmarkStart w:id="226" w:name="_Toc10323"/>
      <w:bookmarkStart w:id="227" w:name="_Toc57795882"/>
      <w:r>
        <w:rPr>
          <w:rFonts w:hint="eastAsia" w:ascii="宋体" w:hAnsi="宋体" w:cs="宋体"/>
          <w:sz w:val="21"/>
          <w:szCs w:val="21"/>
        </w:rPr>
        <w:t>3.4 投标保证金</w:t>
      </w:r>
      <w:bookmarkEnd w:id="226"/>
      <w:bookmarkEnd w:id="227"/>
    </w:p>
    <w:p w14:paraId="540630B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3.4.1 投标人在递交投标文件的同时，应按投标人须知前附表规定的金额、担保形式和其他要求递交投标保证金，并作为其投标文件的组成部分。联合体投标的，其投标保证金由牵头人递交，并应符合投标人须知前附表的规定。</w:t>
      </w:r>
    </w:p>
    <w:p w14:paraId="6BAB880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投标保证金应采用现金、支票、银行保函或招标人在投标人须知前附表规定的其他形式。</w:t>
      </w:r>
    </w:p>
    <w:p w14:paraId="1A7DF28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无论采取何种形式的投标保证金，投标保证金有效期均应与投标有效期一致。招标人如果按本章第 3.3.3 项的规定延长了投标有效期，则投标保证金的有效期也相应延长。</w:t>
      </w:r>
    </w:p>
    <w:p w14:paraId="42CA268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3.4.2 投标人不按本章第 3.4.1 项要求提交投标保证金的，评标委员会将否决其投标。</w:t>
      </w:r>
    </w:p>
    <w:p w14:paraId="337B26D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3.4.3 招标人最迟将在中标通知书发出后 5 日内向中标候选人以外的其他投标人退还投标保证金，与中标人签订合同后 5 日内向中标人和其他中标候选人退还投标保证金。投标保证金以现金或支票形式递交的，招标人应同时退还投标保证金的银行同期活期存款利息，且退还至投标人的基本账户。</w:t>
      </w:r>
    </w:p>
    <w:p w14:paraId="3184AC7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利息计算原则见投标人须知前附表。</w:t>
      </w:r>
    </w:p>
    <w:p w14:paraId="18DF417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3.4.4 有下列情形之一的，投标保证金以现金形式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的不予退还，以保函形式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的由保函开立人支付保函担保的与投标保证金等额的款项：</w:t>
      </w:r>
    </w:p>
    <w:p w14:paraId="08FC8E5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（1）投标人在投标有效期内撤销投标文件；</w:t>
      </w:r>
    </w:p>
    <w:p w14:paraId="06D0115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（2）中标人在收到中标通知书后，无正当理由不与招标人订立合同，在签订合同时向招标人提出附加条件，或者不按照招标文件要求提交履约保证金；</w:t>
      </w:r>
    </w:p>
    <w:p w14:paraId="0610359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）发生投标人须知前附表规定的其他可以不予退还投标保证金的情形。</w:t>
      </w:r>
    </w:p>
    <w:p w14:paraId="260E8EC8">
      <w:pPr>
        <w:pStyle w:val="5"/>
        <w:spacing w:before="0" w:after="0" w:line="360" w:lineRule="auto"/>
        <w:rPr>
          <w:rFonts w:hint="eastAsia" w:ascii="宋体" w:hAnsi="宋体" w:cs="宋体"/>
          <w:sz w:val="21"/>
          <w:szCs w:val="21"/>
        </w:rPr>
      </w:pPr>
      <w:bookmarkStart w:id="228" w:name="_Toc57795884"/>
      <w:bookmarkStart w:id="229" w:name="_Toc3657"/>
      <w:r>
        <w:rPr>
          <w:rFonts w:hint="eastAsia" w:ascii="宋体" w:hAnsi="宋体" w:cs="宋体"/>
          <w:sz w:val="21"/>
          <w:szCs w:val="21"/>
        </w:rPr>
        <w:t>3.5资格审查资料</w:t>
      </w:r>
      <w:bookmarkEnd w:id="228"/>
      <w:bookmarkEnd w:id="229"/>
    </w:p>
    <w:p w14:paraId="0B6F46F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 xml:space="preserve">3.5.1 </w:t>
      </w:r>
      <w:r>
        <w:rPr>
          <w:rFonts w:hint="eastAsia" w:ascii="宋体" w:hAnsi="宋体" w:eastAsia="宋体" w:cs="宋体"/>
          <w:sz w:val="21"/>
          <w:szCs w:val="21"/>
          <w:lang w:eastAsia="zh-CN"/>
        </w:rPr>
        <w:t>投标人应按投标人须知前附表第1.4.1项的要求提供相关证明材料。联合体投标的，详见投标人须知前附表联合体投标相关内容。</w:t>
      </w:r>
    </w:p>
    <w:p w14:paraId="526E644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3.5.</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 xml:space="preserve"> 除合同条款约定的特殊情形外，投标人在投标文件中填报的项目经理、项目总工和设计负责人（如有）不允许更换，否则将按合同条款的约定予以处罚。</w:t>
      </w:r>
    </w:p>
    <w:p w14:paraId="7D4C91D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3.5.</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 xml:space="preserve"> 投标人在投标文件中填报的资质、业绩、主要人员资历和目前在岗情况、信用等级等信息，应与其在交通运输部或</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交通行政主管部门“公路建设市场信用信息管理系统”上填报并发布的相关信息一致。投标人应根据本单位实际情况及时完成相关信息的申报、录入和动态更新，并对相关信息的真实性、完整性和准确性负责。</w:t>
      </w:r>
    </w:p>
    <w:p w14:paraId="2B9D55C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3.5.</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 xml:space="preserve"> 招标人有权核查投标人在投标文件中提供的材料，若在评标期间发现投标人提供了虚假资料，其投标将被否决；若在签订合同前发现作为中标候选人的投标人提供了虚假资料，招标人有权取消其中标资格；若在合同实施期间发现投标人提供了虚假资料，招标人有权从工程支付款或履约保证金中扣除不超过10％签约合同价的金额作为违约金。同时招标人将投标人上述弄虚作假行为上报</w:t>
      </w:r>
      <w:r>
        <w:rPr>
          <w:rFonts w:hint="eastAsia" w:ascii="宋体" w:hAnsi="宋体" w:eastAsia="宋体" w:cs="宋体"/>
          <w:sz w:val="21"/>
          <w:szCs w:val="21"/>
          <w:lang w:val="en-US" w:eastAsia="zh-CN"/>
        </w:rPr>
        <w:t>省级</w:t>
      </w:r>
      <w:r>
        <w:rPr>
          <w:rFonts w:hint="eastAsia" w:ascii="宋体" w:hAnsi="宋体" w:eastAsia="宋体" w:cs="宋体"/>
          <w:sz w:val="21"/>
          <w:szCs w:val="21"/>
          <w:lang w:eastAsia="zh-CN"/>
        </w:rPr>
        <w:t>交通行政主管部门，作为不良记录纳入公路建设市场信用信息管理系统。</w:t>
      </w:r>
    </w:p>
    <w:p w14:paraId="4E2AA865">
      <w:pPr>
        <w:pStyle w:val="5"/>
        <w:spacing w:before="0" w:after="0" w:line="360" w:lineRule="auto"/>
        <w:rPr>
          <w:rFonts w:hint="eastAsia" w:ascii="宋体" w:hAnsi="宋体" w:cs="宋体"/>
          <w:sz w:val="21"/>
          <w:szCs w:val="21"/>
        </w:rPr>
      </w:pPr>
      <w:bookmarkStart w:id="230" w:name="_Toc57795885"/>
      <w:bookmarkStart w:id="231" w:name="_Toc14086"/>
      <w:r>
        <w:rPr>
          <w:rFonts w:hint="eastAsia" w:ascii="宋体" w:hAnsi="宋体" w:cs="宋体"/>
          <w:sz w:val="21"/>
          <w:szCs w:val="21"/>
        </w:rPr>
        <w:t>3.6 备选投标方案</w:t>
      </w:r>
      <w:bookmarkEnd w:id="230"/>
      <w:bookmarkEnd w:id="231"/>
    </w:p>
    <w:p w14:paraId="0B3D6E7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3.6.1 除投标人须知前附表规定允许外，投标人不得递交备选投标方案，否则其投标将被否决。</w:t>
      </w:r>
    </w:p>
    <w:p w14:paraId="6FD7DC0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3.6.2 允许投标人递交备选投标方案的，只有中标人所递交的备选投标方案方可予以考虑。评标委员会认为中标人的备选投标方案优于其按照招标文件要求编制的投标方案的，招标人可以接受该备选投标方案。</w:t>
      </w:r>
    </w:p>
    <w:p w14:paraId="53EBFE1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3.6.3 投标人提供两个或两个以上投标报价，或在投标文件中提供一个报价，但同时提供两个或两个以上施工组织设计的，视为提供备选方案。</w:t>
      </w:r>
    </w:p>
    <w:p w14:paraId="2C50A9AF">
      <w:pPr>
        <w:pStyle w:val="5"/>
        <w:spacing w:before="0" w:after="0" w:line="360" w:lineRule="auto"/>
        <w:rPr>
          <w:rFonts w:hint="eastAsia" w:ascii="宋体" w:hAnsi="宋体" w:cs="宋体"/>
          <w:sz w:val="21"/>
          <w:szCs w:val="21"/>
        </w:rPr>
      </w:pPr>
      <w:bookmarkStart w:id="232" w:name="_Toc57795886"/>
      <w:bookmarkStart w:id="233" w:name="_Toc13477"/>
      <w:r>
        <w:rPr>
          <w:rFonts w:hint="eastAsia" w:ascii="宋体" w:hAnsi="宋体" w:cs="宋体"/>
          <w:sz w:val="21"/>
          <w:szCs w:val="21"/>
        </w:rPr>
        <w:t>3.7 投标文件的编制</w:t>
      </w:r>
      <w:bookmarkEnd w:id="232"/>
      <w:bookmarkEnd w:id="233"/>
    </w:p>
    <w:p w14:paraId="231DB73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3.7.1 投标文件应按第九章“投标文件格式”进行编写，如有必要，可以增加附页，作为投标文件的组成部分。其中，投标函附录在满足招标文件实质性要求的基础上，可以提出比招标文件要求更有利于招标人的承诺。</w:t>
      </w:r>
    </w:p>
    <w:p w14:paraId="49984D7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3.7.2 投标文件应对招标文件有关工期、投标有效期、质量要求、安全目标、技术标准和要求、招标范围等实质性内容作出响应。</w:t>
      </w:r>
    </w:p>
    <w:p w14:paraId="6D34721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3.7.3 投标文件的签名盖章要求：按本章投标人须知前附表第3.7.3项执行。</w:t>
      </w:r>
    </w:p>
    <w:p w14:paraId="6775402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3.7.4 投标文件份数：投标人网上提交加密投标文件一份。</w:t>
      </w:r>
    </w:p>
    <w:p w14:paraId="116DB7A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3.7.5 投标文件应按规定格式排版，并编制目录，具体编制要求见投标人须知前附表规定。</w:t>
      </w:r>
    </w:p>
    <w:p w14:paraId="3C336BC7">
      <w:pPr>
        <w:pStyle w:val="4"/>
        <w:spacing w:before="0" w:after="0" w:line="360" w:lineRule="auto"/>
        <w:rPr>
          <w:rFonts w:hint="eastAsia" w:ascii="宋体" w:hAnsi="宋体" w:cs="宋体"/>
          <w:sz w:val="28"/>
          <w:szCs w:val="28"/>
        </w:rPr>
      </w:pPr>
      <w:bookmarkStart w:id="234" w:name="_Toc57795887"/>
      <w:bookmarkStart w:id="235" w:name="_Toc32054"/>
      <w:r>
        <w:rPr>
          <w:rFonts w:hint="eastAsia" w:ascii="宋体" w:hAnsi="宋体" w:cs="宋体"/>
          <w:sz w:val="28"/>
          <w:szCs w:val="28"/>
        </w:rPr>
        <w:t>4. 投标</w:t>
      </w:r>
      <w:bookmarkEnd w:id="234"/>
      <w:bookmarkEnd w:id="235"/>
    </w:p>
    <w:p w14:paraId="17E7031E">
      <w:pPr>
        <w:pStyle w:val="5"/>
        <w:spacing w:before="0" w:after="0" w:line="360" w:lineRule="auto"/>
        <w:rPr>
          <w:rFonts w:hint="eastAsia" w:ascii="宋体" w:hAnsi="宋体" w:cs="宋体"/>
          <w:sz w:val="21"/>
          <w:szCs w:val="21"/>
        </w:rPr>
      </w:pPr>
      <w:bookmarkStart w:id="236" w:name="_Toc57795888"/>
      <w:bookmarkStart w:id="237" w:name="_Toc9317"/>
      <w:r>
        <w:rPr>
          <w:rFonts w:hint="eastAsia" w:ascii="宋体" w:hAnsi="宋体" w:cs="宋体"/>
          <w:sz w:val="21"/>
          <w:szCs w:val="21"/>
        </w:rPr>
        <w:t>4.1 投标文件的密封和标识</w:t>
      </w:r>
      <w:bookmarkEnd w:id="236"/>
      <w:bookmarkEnd w:id="237"/>
    </w:p>
    <w:p w14:paraId="18D8CB6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4.1.1 投标文件的密封：见投标人须知前附表。</w:t>
      </w:r>
    </w:p>
    <w:p w14:paraId="3CB487B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4.1.2 投标文件</w:t>
      </w:r>
      <w:r>
        <w:rPr>
          <w:rFonts w:hint="eastAsia" w:ascii="宋体" w:hAnsi="宋体" w:eastAsia="宋体" w:cs="宋体"/>
          <w:sz w:val="21"/>
          <w:szCs w:val="21"/>
          <w:lang w:val="en-US" w:eastAsia="zh-CN"/>
        </w:rPr>
        <w:t>的</w:t>
      </w:r>
      <w:r>
        <w:rPr>
          <w:rFonts w:hint="eastAsia" w:ascii="宋体" w:hAnsi="宋体" w:eastAsia="宋体" w:cs="宋体"/>
          <w:sz w:val="21"/>
          <w:szCs w:val="21"/>
          <w:lang w:eastAsia="zh-CN"/>
        </w:rPr>
        <w:t>封套上应写明的内容：见投标人须知前附表。</w:t>
      </w:r>
    </w:p>
    <w:p w14:paraId="35D7CDFC">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cs="宋体"/>
          <w:sz w:val="21"/>
          <w:szCs w:val="21"/>
          <w:lang w:eastAsia="zh-CN"/>
        </w:rPr>
        <w:t xml:space="preserve">4.1.3 </w:t>
      </w:r>
      <w:r>
        <w:rPr>
          <w:rFonts w:hint="eastAsia" w:ascii="宋体" w:hAnsi="宋体" w:eastAsia="宋体"/>
          <w:snapToGrid w:val="0"/>
          <w:sz w:val="21"/>
          <w:szCs w:val="21"/>
          <w:lang w:eastAsia="zh-CN"/>
        </w:rPr>
        <w:t>电子投标文件的加密</w:t>
      </w:r>
    </w:p>
    <w:p w14:paraId="7A0E1BBC">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snapToGrid w:val="0"/>
          <w:sz w:val="21"/>
          <w:szCs w:val="21"/>
          <w:lang w:eastAsia="zh-CN"/>
        </w:rPr>
        <w:t>加密的电子投标文件应按照本章投标人须知前附表第10.8款相关要求制作并加密，未按要求加密的电子投标文件，将无法上传至重庆市电子招投标系统，逾期未完成投标文件上传的，视为撤回投标文件。</w:t>
      </w:r>
    </w:p>
    <w:p w14:paraId="610D326C">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snapToGrid w:val="0"/>
          <w:sz w:val="21"/>
          <w:szCs w:val="21"/>
          <w:lang w:eastAsia="zh-CN"/>
        </w:rPr>
        <w:t>4.1.4  不加密电子投标文件的密封</w:t>
      </w:r>
    </w:p>
    <w:p w14:paraId="41C29046">
      <w:pPr>
        <w:pStyle w:val="69"/>
        <w:spacing w:before="0" w:after="0" w:line="360" w:lineRule="auto"/>
        <w:ind w:firstLine="420" w:firstLineChars="200"/>
        <w:jc w:val="left"/>
        <w:rPr>
          <w:rFonts w:hint="eastAsia" w:ascii="宋体" w:hAnsi="宋体" w:eastAsia="宋体"/>
          <w:snapToGrid w:val="0"/>
          <w:sz w:val="21"/>
          <w:szCs w:val="21"/>
          <w:lang w:eastAsia="zh-CN"/>
        </w:rPr>
      </w:pPr>
      <w:r>
        <w:rPr>
          <w:rFonts w:hint="eastAsia" w:ascii="宋体" w:hAnsi="宋体" w:eastAsia="宋体"/>
          <w:snapToGrid w:val="0"/>
          <w:sz w:val="21"/>
          <w:szCs w:val="21"/>
          <w:lang w:eastAsia="zh-CN"/>
        </w:rPr>
        <w:t>投标人如需递交不加密电子投标文件（光盘备份）应单独封装，并在封套的封口处加盖投标人单位法人章</w:t>
      </w:r>
      <w:r>
        <w:rPr>
          <w:rFonts w:hint="eastAsia" w:ascii="宋体" w:hAnsi="宋体" w:eastAsia="宋体" w:cs="宋体"/>
          <w:sz w:val="21"/>
          <w:szCs w:val="21"/>
          <w:lang w:eastAsia="zh-CN"/>
        </w:rPr>
        <w:t>。</w:t>
      </w:r>
    </w:p>
    <w:p w14:paraId="124689AA">
      <w:pPr>
        <w:pStyle w:val="5"/>
        <w:spacing w:before="0" w:after="0" w:line="360" w:lineRule="auto"/>
        <w:rPr>
          <w:rFonts w:hint="eastAsia" w:ascii="宋体" w:hAnsi="宋体" w:cs="宋体"/>
          <w:sz w:val="21"/>
          <w:szCs w:val="21"/>
        </w:rPr>
      </w:pPr>
      <w:bookmarkStart w:id="238" w:name="_Toc57795889"/>
      <w:bookmarkStart w:id="239" w:name="_Toc7331"/>
      <w:r>
        <w:rPr>
          <w:rFonts w:hint="eastAsia" w:ascii="宋体" w:hAnsi="宋体" w:cs="宋体"/>
          <w:sz w:val="21"/>
          <w:szCs w:val="21"/>
        </w:rPr>
        <w:t>4.2投标文件的递交</w:t>
      </w:r>
      <w:bookmarkEnd w:id="238"/>
      <w:bookmarkEnd w:id="239"/>
    </w:p>
    <w:p w14:paraId="36C3B39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4.2.1 投标人应在投标人须知前附表第 2.2.2 项规定的投标截止时间前递交投标文件。</w:t>
      </w:r>
    </w:p>
    <w:p w14:paraId="0BF7876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4.2.2 投标人递交投标文件的地点：见投标人须知前附表。</w:t>
      </w:r>
    </w:p>
    <w:p w14:paraId="4F2CDDA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4.2.3 除投标人须知前附表另有规定外，投标人所递交的投标文件不予退还。</w:t>
      </w:r>
    </w:p>
    <w:p w14:paraId="1C07B90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4.2.4招标人收到投标文件后，由重庆市电子招投标系统向投标人出具签收凭证。</w:t>
      </w:r>
    </w:p>
    <w:p w14:paraId="6E09305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4.2.</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 xml:space="preserve"> 逾期送达的或者未送达指定地点的投标文件，招标人不予受理。</w:t>
      </w:r>
    </w:p>
    <w:p w14:paraId="2F76AA9E">
      <w:pPr>
        <w:pStyle w:val="5"/>
        <w:spacing w:before="0" w:after="0" w:line="360" w:lineRule="auto"/>
        <w:rPr>
          <w:rFonts w:hint="eastAsia" w:ascii="宋体" w:hAnsi="宋体" w:cs="宋体"/>
          <w:sz w:val="21"/>
          <w:szCs w:val="21"/>
        </w:rPr>
      </w:pPr>
      <w:bookmarkStart w:id="240" w:name="_Toc57795890"/>
      <w:bookmarkStart w:id="241" w:name="_Toc22837"/>
      <w:r>
        <w:rPr>
          <w:rFonts w:hint="eastAsia" w:ascii="宋体" w:hAnsi="宋体" w:cs="宋体"/>
          <w:sz w:val="21"/>
          <w:szCs w:val="21"/>
        </w:rPr>
        <w:t>4.3 投标文件的修改与撤回</w:t>
      </w:r>
      <w:bookmarkEnd w:id="240"/>
      <w:bookmarkEnd w:id="241"/>
    </w:p>
    <w:p w14:paraId="1EAD4D0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4.3.1 </w:t>
      </w:r>
      <w:r>
        <w:rPr>
          <w:rFonts w:ascii="宋体" w:hAnsi="宋体" w:eastAsia="宋体"/>
          <w:snapToGrid w:val="0"/>
          <w:sz w:val="21"/>
          <w:szCs w:val="21"/>
          <w:lang w:eastAsia="zh-CN"/>
        </w:rPr>
        <w:t>在投标人须知前附表第2.2.2项规定的投标截止时间前</w:t>
      </w:r>
      <w:r>
        <w:rPr>
          <w:rFonts w:hint="eastAsia" w:ascii="宋体" w:hAnsi="宋体" w:eastAsia="宋体" w:cs="宋体"/>
          <w:sz w:val="21"/>
          <w:szCs w:val="21"/>
          <w:lang w:eastAsia="zh-CN"/>
        </w:rPr>
        <w:t>，投标人可以修改或撤回已递交的投标文件。</w:t>
      </w:r>
      <w:r>
        <w:rPr>
          <w:rFonts w:hint="eastAsia" w:ascii="宋体" w:hAnsi="宋体" w:eastAsia="宋体" w:cs="宋体"/>
          <w:sz w:val="21"/>
          <w:szCs w:val="21"/>
          <w:lang w:val="en-US" w:eastAsia="zh-CN"/>
        </w:rPr>
        <w:t>投标人修改投标文件的，</w:t>
      </w:r>
      <w:r>
        <w:rPr>
          <w:rFonts w:hint="eastAsia" w:ascii="宋体" w:hAnsi="宋体" w:eastAsia="宋体" w:cs="宋体"/>
          <w:sz w:val="21"/>
          <w:szCs w:val="21"/>
          <w:lang w:eastAsia="zh-CN"/>
        </w:rPr>
        <w:t>应按照本章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3.7.3 项的要求重新对投标文件进行电子签章，再</w:t>
      </w:r>
      <w:r>
        <w:rPr>
          <w:rFonts w:hint="eastAsia" w:ascii="宋体" w:hAnsi="宋体" w:eastAsia="宋体" w:cs="宋体"/>
          <w:sz w:val="21"/>
          <w:szCs w:val="21"/>
          <w:lang w:val="en-US" w:eastAsia="zh-CN"/>
        </w:rPr>
        <w:t>按照</w:t>
      </w:r>
      <w:r>
        <w:rPr>
          <w:rFonts w:hint="eastAsia" w:ascii="宋体" w:hAnsi="宋体" w:eastAsia="宋体" w:cs="宋体"/>
          <w:sz w:val="21"/>
          <w:szCs w:val="21"/>
          <w:lang w:eastAsia="zh-CN"/>
        </w:rPr>
        <w:t>本章</w:t>
      </w:r>
      <w:r>
        <w:rPr>
          <w:rFonts w:hint="eastAsia" w:ascii="宋体" w:hAnsi="宋体" w:eastAsia="宋体" w:cs="宋体"/>
          <w:sz w:val="21"/>
          <w:szCs w:val="21"/>
          <w:lang w:val="en-US" w:eastAsia="zh-CN"/>
        </w:rPr>
        <w:t>第</w:t>
      </w:r>
      <w:r>
        <w:rPr>
          <w:rFonts w:hint="eastAsia" w:ascii="宋体" w:hAnsi="宋体" w:eastAsia="宋体" w:cs="宋体"/>
          <w:sz w:val="21"/>
          <w:szCs w:val="21"/>
          <w:lang w:eastAsia="zh-CN"/>
        </w:rPr>
        <w:t xml:space="preserve">4.2 </w:t>
      </w:r>
      <w:r>
        <w:rPr>
          <w:rFonts w:hint="eastAsia" w:ascii="宋体" w:hAnsi="宋体" w:eastAsia="宋体" w:cs="宋体"/>
          <w:sz w:val="21"/>
          <w:szCs w:val="21"/>
          <w:lang w:val="en-US" w:eastAsia="zh-CN"/>
        </w:rPr>
        <w:t>款</w:t>
      </w:r>
      <w:r>
        <w:rPr>
          <w:rFonts w:hint="eastAsia" w:ascii="宋体" w:hAnsi="宋体" w:eastAsia="宋体" w:cs="宋体"/>
          <w:sz w:val="21"/>
          <w:szCs w:val="21"/>
          <w:lang w:eastAsia="zh-CN"/>
        </w:rPr>
        <w:t>的要求提交。</w:t>
      </w:r>
    </w:p>
    <w:p w14:paraId="1FE9721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4.3.2 </w:t>
      </w:r>
      <w:r>
        <w:rPr>
          <w:rFonts w:hint="eastAsia" w:ascii="宋体" w:hAnsi="宋体" w:eastAsia="宋体"/>
          <w:snapToGrid w:val="0"/>
          <w:sz w:val="21"/>
          <w:szCs w:val="21"/>
          <w:lang w:eastAsia="zh-CN"/>
        </w:rPr>
        <w:t>投标人对加密的电子投标文件进行撤回的，在重庆市电子招投标系统直接进行撤回操作；任何情况下，投标人都有义务保证其递交的加密的电子投标文件和不加密电子投标文件（光盘备份）的内容保持一致，否则造成的后果由投标人自行承担</w:t>
      </w:r>
      <w:r>
        <w:rPr>
          <w:rFonts w:hint="eastAsia" w:ascii="宋体" w:hAnsi="宋体" w:eastAsia="宋体" w:cs="宋体"/>
          <w:sz w:val="21"/>
          <w:szCs w:val="21"/>
          <w:lang w:eastAsia="zh-CN"/>
        </w:rPr>
        <w:t>。</w:t>
      </w:r>
    </w:p>
    <w:p w14:paraId="31E2A6CA">
      <w:pPr>
        <w:pStyle w:val="4"/>
        <w:spacing w:before="0" w:after="0" w:line="360" w:lineRule="auto"/>
        <w:rPr>
          <w:rFonts w:hint="eastAsia" w:ascii="宋体" w:hAnsi="宋体" w:cs="宋体"/>
          <w:sz w:val="28"/>
          <w:szCs w:val="28"/>
        </w:rPr>
      </w:pPr>
      <w:bookmarkStart w:id="242" w:name="_Toc10122"/>
      <w:bookmarkStart w:id="243" w:name="_Toc57795891"/>
      <w:r>
        <w:rPr>
          <w:rFonts w:hint="eastAsia" w:ascii="宋体" w:hAnsi="宋体" w:cs="宋体"/>
          <w:sz w:val="28"/>
          <w:szCs w:val="28"/>
        </w:rPr>
        <w:t>5. 开标</w:t>
      </w:r>
      <w:bookmarkEnd w:id="242"/>
      <w:bookmarkEnd w:id="243"/>
    </w:p>
    <w:p w14:paraId="4C4F6342">
      <w:pPr>
        <w:pStyle w:val="5"/>
        <w:spacing w:before="0" w:after="0" w:line="360" w:lineRule="auto"/>
        <w:rPr>
          <w:rFonts w:hint="eastAsia" w:ascii="宋体" w:hAnsi="宋体" w:cs="宋体"/>
          <w:sz w:val="21"/>
          <w:szCs w:val="21"/>
        </w:rPr>
      </w:pPr>
      <w:bookmarkStart w:id="244" w:name="_Toc57795892"/>
      <w:bookmarkStart w:id="245" w:name="_Toc5273"/>
      <w:r>
        <w:rPr>
          <w:rFonts w:hint="eastAsia" w:ascii="宋体" w:hAnsi="宋体" w:cs="宋体"/>
          <w:sz w:val="21"/>
          <w:szCs w:val="21"/>
        </w:rPr>
        <w:t>5.1 开标时间和地点</w:t>
      </w:r>
      <w:bookmarkEnd w:id="244"/>
      <w:bookmarkEnd w:id="245"/>
    </w:p>
    <w:p w14:paraId="4EF2CF8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5.1.1</w:t>
      </w:r>
      <w:r>
        <w:rPr>
          <w:rFonts w:hint="eastAsia" w:ascii="宋体" w:hAnsi="宋体" w:eastAsia="宋体" w:cs="宋体"/>
          <w:sz w:val="21"/>
          <w:szCs w:val="21"/>
          <w:lang w:eastAsia="zh-CN"/>
        </w:rPr>
        <w:t>招标人在本章第 4.2.1 项规定的投标截止时间（开标时间）和投标人须知前附表规定的地点对收到的投标文件公开开标，并邀请所有投标人的法定代表人或其委托代理人准时参加。</w:t>
      </w:r>
    </w:p>
    <w:p w14:paraId="2FD8A14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投标人若未派法定代表人或委托代理人出席开标活动，视为该投标人默认开标结果。</w:t>
      </w:r>
    </w:p>
    <w:p w14:paraId="2D70576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5.1.2</w:t>
      </w:r>
      <w:r>
        <w:rPr>
          <w:rFonts w:hint="eastAsia" w:ascii="宋体" w:hAnsi="宋体" w:eastAsia="宋体"/>
          <w:snapToGrid w:val="0"/>
          <w:sz w:val="21"/>
          <w:szCs w:val="21"/>
          <w:lang w:eastAsia="zh-CN"/>
        </w:rPr>
        <w:t>投标人在投标人须知前附表第 5.1.2 项规定的解密时间内在线或到开标现场完成投标文件解密工作</w:t>
      </w:r>
      <w:r>
        <w:rPr>
          <w:rFonts w:hint="eastAsia" w:ascii="宋体" w:hAnsi="宋体" w:eastAsia="宋体" w:cs="宋体"/>
          <w:sz w:val="21"/>
          <w:szCs w:val="21"/>
          <w:lang w:eastAsia="zh-CN"/>
        </w:rPr>
        <w:t>。</w:t>
      </w:r>
    </w:p>
    <w:p w14:paraId="54321A40">
      <w:pPr>
        <w:pStyle w:val="5"/>
        <w:spacing w:before="0" w:after="0" w:line="360" w:lineRule="auto"/>
        <w:rPr>
          <w:rFonts w:hint="eastAsia" w:ascii="宋体" w:hAnsi="宋体" w:cs="宋体"/>
          <w:sz w:val="21"/>
          <w:szCs w:val="21"/>
        </w:rPr>
      </w:pPr>
      <w:bookmarkStart w:id="246" w:name="_Toc57795893"/>
      <w:bookmarkStart w:id="247" w:name="_Toc22706"/>
      <w:r>
        <w:rPr>
          <w:rFonts w:hint="eastAsia" w:ascii="宋体" w:hAnsi="宋体" w:cs="宋体"/>
          <w:sz w:val="21"/>
          <w:szCs w:val="21"/>
        </w:rPr>
        <w:t>5.2开标程序</w:t>
      </w:r>
      <w:bookmarkEnd w:id="246"/>
      <w:bookmarkEnd w:id="247"/>
    </w:p>
    <w:p w14:paraId="495EEE6A">
      <w:pPr>
        <w:pStyle w:val="69"/>
        <w:spacing w:before="0" w:after="0" w:line="360" w:lineRule="auto"/>
        <w:ind w:firstLine="420" w:firstLineChars="200"/>
        <w:jc w:val="left"/>
        <w:rPr>
          <w:rFonts w:hint="eastAsia" w:ascii="宋体" w:hAnsi="宋体" w:eastAsia="宋体" w:cs="宋体"/>
          <w:sz w:val="21"/>
          <w:szCs w:val="21"/>
          <w:lang w:eastAsia="zh-CN"/>
        </w:rPr>
      </w:pPr>
      <w:r>
        <w:rPr>
          <w:rFonts w:ascii="宋体" w:hAnsi="宋体" w:eastAsia="宋体"/>
          <w:sz w:val="21"/>
          <w:szCs w:val="21"/>
          <w:lang w:eastAsia="zh-CN"/>
        </w:rPr>
        <w:t>详见投标人须知前附表第5.2款开标程序</w:t>
      </w:r>
      <w:r>
        <w:rPr>
          <w:rFonts w:hint="eastAsia" w:ascii="宋体" w:hAnsi="宋体" w:eastAsia="宋体" w:cs="宋体"/>
          <w:sz w:val="21"/>
          <w:szCs w:val="21"/>
          <w:lang w:eastAsia="zh-CN"/>
        </w:rPr>
        <w:t>。</w:t>
      </w:r>
    </w:p>
    <w:p w14:paraId="09533802">
      <w:pPr>
        <w:pStyle w:val="5"/>
        <w:spacing w:before="0" w:after="0" w:line="360" w:lineRule="auto"/>
        <w:rPr>
          <w:rFonts w:hint="eastAsia" w:ascii="宋体" w:hAnsi="宋体" w:cs="宋体"/>
          <w:sz w:val="21"/>
          <w:szCs w:val="21"/>
        </w:rPr>
      </w:pPr>
      <w:bookmarkStart w:id="248" w:name="_Toc28742"/>
      <w:bookmarkStart w:id="249" w:name="_Toc57795894"/>
      <w:r>
        <w:rPr>
          <w:rFonts w:hint="eastAsia" w:ascii="宋体" w:hAnsi="宋体" w:cs="宋体"/>
          <w:sz w:val="21"/>
          <w:szCs w:val="21"/>
        </w:rPr>
        <w:t>5.3 开标异议</w:t>
      </w:r>
      <w:bookmarkEnd w:id="248"/>
      <w:bookmarkEnd w:id="249"/>
    </w:p>
    <w:p w14:paraId="22A788C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投标人对开标有异议的，应在开标现场</w:t>
      </w:r>
      <w:r>
        <w:rPr>
          <w:rFonts w:hint="eastAsia" w:ascii="宋体" w:hAnsi="宋体" w:eastAsia="宋体" w:cs="宋体"/>
          <w:sz w:val="21"/>
          <w:szCs w:val="21"/>
          <w:lang w:val="en-US" w:eastAsia="zh-CN"/>
        </w:rPr>
        <w:t>或在线（不见面开标适用）</w:t>
      </w:r>
      <w:r>
        <w:rPr>
          <w:rFonts w:hint="eastAsia" w:ascii="宋体" w:hAnsi="宋体" w:eastAsia="宋体" w:cs="宋体"/>
          <w:sz w:val="21"/>
          <w:szCs w:val="21"/>
          <w:lang w:eastAsia="zh-CN"/>
        </w:rPr>
        <w:t>提出，开标现场提出异议的，应出示法定代表人身份证明或附有法定代表人身份证明的授权委托书。招标人当场作出答复，并制作记录，有异议的投标人代表、招标人代表、记录人等有关人员在记录上签名确认。</w:t>
      </w:r>
    </w:p>
    <w:p w14:paraId="110C3775">
      <w:pPr>
        <w:pStyle w:val="4"/>
        <w:spacing w:before="0" w:after="0" w:line="360" w:lineRule="auto"/>
        <w:rPr>
          <w:rFonts w:hint="eastAsia" w:ascii="宋体" w:hAnsi="宋体" w:cs="宋体"/>
          <w:sz w:val="28"/>
          <w:szCs w:val="28"/>
        </w:rPr>
      </w:pPr>
      <w:bookmarkStart w:id="250" w:name="_Toc57795895"/>
      <w:bookmarkStart w:id="251" w:name="_Toc11486"/>
      <w:r>
        <w:rPr>
          <w:rFonts w:hint="eastAsia" w:ascii="宋体" w:hAnsi="宋体" w:cs="宋体"/>
          <w:sz w:val="28"/>
          <w:szCs w:val="28"/>
        </w:rPr>
        <w:t>6. 评标</w:t>
      </w:r>
      <w:bookmarkEnd w:id="250"/>
      <w:bookmarkEnd w:id="251"/>
    </w:p>
    <w:p w14:paraId="19CE944D">
      <w:pPr>
        <w:pStyle w:val="5"/>
        <w:spacing w:before="0" w:after="0" w:line="360" w:lineRule="auto"/>
        <w:rPr>
          <w:rFonts w:hint="eastAsia" w:ascii="宋体" w:hAnsi="宋体" w:cs="宋体"/>
          <w:sz w:val="21"/>
          <w:szCs w:val="21"/>
        </w:rPr>
      </w:pPr>
      <w:bookmarkStart w:id="252" w:name="_Toc57795896"/>
      <w:bookmarkStart w:id="253" w:name="_Toc8269"/>
      <w:r>
        <w:rPr>
          <w:rFonts w:hint="eastAsia" w:ascii="宋体" w:hAnsi="宋体" w:cs="宋体"/>
          <w:sz w:val="21"/>
          <w:szCs w:val="21"/>
        </w:rPr>
        <w:t>6.1 评标委员会</w:t>
      </w:r>
      <w:bookmarkEnd w:id="252"/>
      <w:bookmarkEnd w:id="253"/>
    </w:p>
    <w:p w14:paraId="28DE5E9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6.1.1</w:t>
      </w:r>
      <w:r>
        <w:rPr>
          <w:rFonts w:hint="eastAsia" w:ascii="宋体" w:hAnsi="宋体" w:eastAsia="宋体" w:cs="宋体"/>
          <w:sz w:val="21"/>
          <w:szCs w:val="21"/>
          <w:lang w:val="en-US" w:eastAsia="zh-CN"/>
        </w:rPr>
        <w:t>评标委员会的组建：</w:t>
      </w:r>
      <w:r>
        <w:rPr>
          <w:rFonts w:hint="eastAsia" w:ascii="宋体" w:hAnsi="宋体" w:eastAsia="宋体" w:cs="宋体"/>
          <w:sz w:val="21"/>
          <w:szCs w:val="21"/>
          <w:lang w:eastAsia="zh-CN"/>
        </w:rPr>
        <w:t>见投标人须知前附表。</w:t>
      </w:r>
    </w:p>
    <w:p w14:paraId="5791DE3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6.1.2 评标委员会成员有下列情形之一的，应主动提出回避：</w:t>
      </w:r>
    </w:p>
    <w:p w14:paraId="3F4F2D82">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（1）投标人或投标人的主要负责人的近亲属；</w:t>
      </w:r>
    </w:p>
    <w:p w14:paraId="3A4BA2F3">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（2）项目主管部门或者</w:t>
      </w:r>
      <w:r>
        <w:rPr>
          <w:rFonts w:hint="eastAsia" w:ascii="宋体" w:hAnsi="宋体"/>
          <w:snapToGrid w:val="0"/>
          <w:kern w:val="0"/>
          <w:szCs w:val="21"/>
        </w:rPr>
        <w:t>项目</w:t>
      </w:r>
      <w:r>
        <w:rPr>
          <w:rFonts w:ascii="宋体" w:hAnsi="宋体"/>
          <w:snapToGrid w:val="0"/>
          <w:kern w:val="0"/>
          <w:szCs w:val="21"/>
        </w:rPr>
        <w:t>行政监督部门的人员；</w:t>
      </w:r>
    </w:p>
    <w:p w14:paraId="02A456B1">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（3）与投标人有利害关系，可能影响对投标公正评审的；</w:t>
      </w:r>
    </w:p>
    <w:p w14:paraId="1C1E298F">
      <w:pPr>
        <w:autoSpaceDE w:val="0"/>
        <w:autoSpaceDN w:val="0"/>
        <w:adjustRightInd w:val="0"/>
        <w:snapToGrid w:val="0"/>
        <w:spacing w:line="360" w:lineRule="auto"/>
        <w:ind w:firstLine="420" w:firstLineChars="200"/>
        <w:rPr>
          <w:rFonts w:ascii="宋体" w:hAnsi="宋体"/>
          <w:snapToGrid w:val="0"/>
          <w:kern w:val="0"/>
          <w:szCs w:val="21"/>
        </w:rPr>
      </w:pPr>
      <w:r>
        <w:rPr>
          <w:rFonts w:ascii="宋体" w:hAnsi="宋体"/>
          <w:snapToGrid w:val="0"/>
          <w:kern w:val="0"/>
          <w:szCs w:val="21"/>
        </w:rPr>
        <w:t>（4）曾因在招标、评标以及其他与招标投标有关活动中从事违法行为而受过行政处罚或刑事处罚的</w:t>
      </w:r>
      <w:r>
        <w:rPr>
          <w:rFonts w:hint="eastAsia" w:ascii="宋体" w:hAnsi="宋体"/>
          <w:snapToGrid w:val="0"/>
          <w:kern w:val="0"/>
          <w:szCs w:val="21"/>
        </w:rPr>
        <w:t>；</w:t>
      </w:r>
    </w:p>
    <w:p w14:paraId="6E97F8BD">
      <w:pPr>
        <w:autoSpaceDE w:val="0"/>
        <w:autoSpaceDN w:val="0"/>
        <w:adjustRightInd w:val="0"/>
        <w:snapToGrid w:val="0"/>
        <w:spacing w:line="360" w:lineRule="auto"/>
        <w:ind w:firstLine="420" w:firstLineChars="200"/>
        <w:rPr>
          <w:rFonts w:ascii="宋体" w:hAnsi="宋体"/>
          <w:snapToGrid w:val="0"/>
          <w:kern w:val="0"/>
          <w:szCs w:val="21"/>
        </w:rPr>
      </w:pPr>
      <w:r>
        <w:rPr>
          <w:rFonts w:hint="eastAsia" w:ascii="宋体" w:hAnsi="宋体"/>
          <w:snapToGrid w:val="0"/>
          <w:kern w:val="0"/>
          <w:szCs w:val="21"/>
        </w:rPr>
        <w:t>（5）法律法规规定的其他情形。</w:t>
      </w:r>
    </w:p>
    <w:p w14:paraId="56475AF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6.1.3评标过程中，评标委员会成员有回避事由、擅离职守或者因健康等原因不能继续评标的，应当及时更换。被更换的评标委员会成员作出的评审结论无效，由更换后的评标委员会成员重新进行评审。</w:t>
      </w:r>
    </w:p>
    <w:p w14:paraId="71E62012">
      <w:pPr>
        <w:pStyle w:val="5"/>
        <w:spacing w:before="0" w:after="0" w:line="360" w:lineRule="auto"/>
        <w:rPr>
          <w:rFonts w:hint="eastAsia" w:ascii="宋体" w:hAnsi="宋体" w:cs="宋体"/>
          <w:sz w:val="21"/>
          <w:szCs w:val="21"/>
        </w:rPr>
      </w:pPr>
      <w:bookmarkStart w:id="254" w:name="_Toc57795897"/>
      <w:bookmarkStart w:id="255" w:name="_Toc28874"/>
      <w:r>
        <w:rPr>
          <w:rFonts w:hint="eastAsia" w:ascii="宋体" w:hAnsi="宋体" w:cs="宋体"/>
          <w:sz w:val="21"/>
          <w:szCs w:val="21"/>
        </w:rPr>
        <w:t>6.2 评标原则</w:t>
      </w:r>
      <w:bookmarkEnd w:id="254"/>
      <w:bookmarkEnd w:id="255"/>
    </w:p>
    <w:p w14:paraId="15FAF8E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评标活动遵循公平、公正、科学和择优的原则。</w:t>
      </w:r>
    </w:p>
    <w:p w14:paraId="17065532">
      <w:pPr>
        <w:pStyle w:val="5"/>
        <w:spacing w:before="0" w:after="0" w:line="360" w:lineRule="auto"/>
        <w:rPr>
          <w:rFonts w:hint="eastAsia" w:ascii="宋体" w:hAnsi="宋体" w:cs="宋体"/>
          <w:sz w:val="21"/>
          <w:szCs w:val="21"/>
        </w:rPr>
      </w:pPr>
      <w:bookmarkStart w:id="256" w:name="_Toc19361"/>
      <w:bookmarkStart w:id="257" w:name="_Toc57795898"/>
      <w:r>
        <w:rPr>
          <w:rFonts w:hint="eastAsia" w:ascii="宋体" w:hAnsi="宋体" w:cs="宋体"/>
          <w:sz w:val="21"/>
          <w:szCs w:val="21"/>
        </w:rPr>
        <w:t>6.3 评标</w:t>
      </w:r>
      <w:bookmarkEnd w:id="256"/>
      <w:bookmarkEnd w:id="257"/>
    </w:p>
    <w:p w14:paraId="259C1F1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6.3.1</w:t>
      </w:r>
      <w:r>
        <w:rPr>
          <w:rFonts w:hint="eastAsia" w:ascii="宋体" w:hAnsi="宋体" w:eastAsia="宋体" w:cs="宋体"/>
          <w:sz w:val="21"/>
          <w:szCs w:val="21"/>
          <w:lang w:eastAsia="zh-CN"/>
        </w:rPr>
        <w:t>评标委员会按照第三章“评标办法”规定的方法、评审因素、标准和程序对投标文件进行评审。第三章“评标办法”没有规定的方法、评审因素和标准，不作为评标依据。</w:t>
      </w:r>
    </w:p>
    <w:p w14:paraId="5AC40FD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6.3.2</w:t>
      </w:r>
      <w:r>
        <w:rPr>
          <w:rFonts w:hint="eastAsia" w:ascii="宋体" w:hAnsi="宋体" w:eastAsia="宋体" w:cs="宋体"/>
          <w:sz w:val="21"/>
          <w:szCs w:val="21"/>
          <w:lang w:eastAsia="zh-CN"/>
        </w:rPr>
        <w:t>评标完成后，评标委员会应向招标人提交书面评标报告和中标候选人名单。评标委员会推荐中标候选人的人数见投标人须知前附表。</w:t>
      </w:r>
    </w:p>
    <w:p w14:paraId="5FFD650F">
      <w:pPr>
        <w:pStyle w:val="4"/>
        <w:spacing w:before="0" w:after="0" w:line="360" w:lineRule="auto"/>
        <w:rPr>
          <w:rFonts w:hint="eastAsia" w:ascii="宋体" w:hAnsi="宋体" w:cs="宋体"/>
          <w:sz w:val="28"/>
          <w:szCs w:val="28"/>
        </w:rPr>
      </w:pPr>
      <w:bookmarkStart w:id="258" w:name="_Toc12323"/>
      <w:bookmarkStart w:id="259" w:name="_Toc57795899"/>
      <w:r>
        <w:rPr>
          <w:rFonts w:hint="eastAsia" w:ascii="宋体" w:hAnsi="宋体" w:cs="宋体"/>
          <w:sz w:val="28"/>
          <w:szCs w:val="28"/>
        </w:rPr>
        <w:t>7. 合同授予</w:t>
      </w:r>
      <w:bookmarkEnd w:id="258"/>
      <w:bookmarkEnd w:id="259"/>
    </w:p>
    <w:p w14:paraId="0DAFD8B0">
      <w:pPr>
        <w:pStyle w:val="5"/>
        <w:spacing w:before="0" w:after="0" w:line="360" w:lineRule="auto"/>
        <w:rPr>
          <w:rFonts w:hint="eastAsia" w:ascii="宋体" w:hAnsi="宋体" w:cs="宋体"/>
          <w:sz w:val="21"/>
          <w:szCs w:val="21"/>
        </w:rPr>
      </w:pPr>
      <w:bookmarkStart w:id="260" w:name="_Toc57795900"/>
      <w:bookmarkStart w:id="261" w:name="_Toc21946"/>
      <w:r>
        <w:rPr>
          <w:rFonts w:hint="eastAsia" w:ascii="宋体" w:hAnsi="宋体" w:cs="宋体"/>
          <w:sz w:val="21"/>
          <w:szCs w:val="21"/>
        </w:rPr>
        <w:t>7.1 中标候选人公示</w:t>
      </w:r>
      <w:bookmarkEnd w:id="260"/>
      <w:bookmarkEnd w:id="261"/>
    </w:p>
    <w:p w14:paraId="0CCFF4E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招标人在收到评标报告之日起 3 日内，按照投标人须知前附表规定的公示媒介和期限公示中标候选人，公示期不得少于 3 日，公示内容包括：</w:t>
      </w:r>
    </w:p>
    <w:p w14:paraId="1BBB75D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（1）中标候选人排序、名称、投标报价，对工程质量要求、安全目标和工期的响应情况；</w:t>
      </w:r>
    </w:p>
    <w:p w14:paraId="531B431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（2）中标候选人在投标文件中承诺的项目经理、项目总工和设计负责人（如有）姓名、个人业绩、相关证书名称和编号；</w:t>
      </w:r>
    </w:p>
    <w:p w14:paraId="2B11414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（3）中标候选人在投标文件中填报的项目业绩；</w:t>
      </w:r>
    </w:p>
    <w:p w14:paraId="3D98AB9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（4）被否决投标的投标人名称、否决依据和原因；</w:t>
      </w:r>
    </w:p>
    <w:p w14:paraId="3784B34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（5）提出异议的渠道和方式；</w:t>
      </w:r>
    </w:p>
    <w:p w14:paraId="1FB6204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（6）投标人须知前附表规定公示的其他内容。</w:t>
      </w:r>
    </w:p>
    <w:p w14:paraId="222B08FE">
      <w:pPr>
        <w:pStyle w:val="5"/>
        <w:spacing w:before="0" w:after="0" w:line="360" w:lineRule="auto"/>
        <w:rPr>
          <w:rFonts w:hint="eastAsia" w:ascii="宋体" w:hAnsi="宋体" w:cs="宋体"/>
          <w:sz w:val="21"/>
          <w:szCs w:val="21"/>
        </w:rPr>
      </w:pPr>
      <w:bookmarkStart w:id="262" w:name="_Toc57795901"/>
      <w:bookmarkStart w:id="263" w:name="_Toc5394"/>
      <w:r>
        <w:rPr>
          <w:rFonts w:hint="eastAsia" w:ascii="宋体" w:hAnsi="宋体" w:cs="宋体"/>
          <w:sz w:val="21"/>
          <w:szCs w:val="21"/>
        </w:rPr>
        <w:t>7.2 评标结果异议</w:t>
      </w:r>
      <w:bookmarkEnd w:id="262"/>
      <w:bookmarkEnd w:id="263"/>
    </w:p>
    <w:p w14:paraId="159C4C4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投标人或其他利害关系人对依法必须进行招标的项目的评标结果有异议的，应在中标候选人公示期间提出。招标人将在收到异议之日起 3 日内作出答复；作出答复前，将暂停招标投标活动。</w:t>
      </w:r>
    </w:p>
    <w:p w14:paraId="64439AA0">
      <w:pPr>
        <w:pStyle w:val="5"/>
        <w:spacing w:before="0" w:after="0" w:line="360" w:lineRule="auto"/>
        <w:rPr>
          <w:rFonts w:hint="eastAsia" w:ascii="宋体" w:hAnsi="宋体" w:cs="宋体"/>
          <w:sz w:val="21"/>
          <w:szCs w:val="21"/>
        </w:rPr>
      </w:pPr>
      <w:bookmarkStart w:id="264" w:name="_Toc2659"/>
      <w:bookmarkStart w:id="265" w:name="_Toc57795902"/>
      <w:r>
        <w:rPr>
          <w:rFonts w:hint="eastAsia" w:ascii="宋体" w:hAnsi="宋体" w:cs="宋体"/>
          <w:sz w:val="21"/>
          <w:szCs w:val="21"/>
        </w:rPr>
        <w:t>7.3 中标候选人履约能力审查</w:t>
      </w:r>
      <w:bookmarkEnd w:id="264"/>
      <w:bookmarkEnd w:id="265"/>
    </w:p>
    <w:p w14:paraId="39CAEBC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中标候选人的经营、财务状况发生较大变化或存在违法行为，招标人认为可能影响其履约能力的，将在发出中标通知书前提请原评标委员会按照招标文件规定的标准和方法进行审查确认。</w:t>
      </w:r>
    </w:p>
    <w:p w14:paraId="7EA7BA9D">
      <w:pPr>
        <w:pStyle w:val="5"/>
        <w:spacing w:before="0" w:after="0" w:line="360" w:lineRule="auto"/>
        <w:rPr>
          <w:rFonts w:hint="eastAsia" w:ascii="宋体" w:hAnsi="宋体" w:cs="宋体"/>
          <w:sz w:val="21"/>
          <w:szCs w:val="21"/>
        </w:rPr>
      </w:pPr>
      <w:bookmarkStart w:id="266" w:name="_Toc1365"/>
      <w:bookmarkStart w:id="267" w:name="_Toc57795903"/>
      <w:r>
        <w:rPr>
          <w:rFonts w:hint="eastAsia" w:ascii="宋体" w:hAnsi="宋体" w:cs="宋体"/>
          <w:sz w:val="21"/>
          <w:szCs w:val="21"/>
        </w:rPr>
        <w:t>7.4 定标</w:t>
      </w:r>
      <w:bookmarkEnd w:id="266"/>
      <w:bookmarkEnd w:id="267"/>
    </w:p>
    <w:p w14:paraId="16DF8C1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按照投标人须知前附表的规定，招标人或招标人授权的评标委员会依法确定中标人。</w:t>
      </w:r>
    </w:p>
    <w:p w14:paraId="741F3AE0">
      <w:pPr>
        <w:pStyle w:val="5"/>
        <w:spacing w:before="0" w:after="0" w:line="360" w:lineRule="auto"/>
        <w:rPr>
          <w:rFonts w:hint="eastAsia" w:ascii="宋体" w:hAnsi="宋体" w:cs="宋体"/>
          <w:sz w:val="21"/>
          <w:szCs w:val="21"/>
        </w:rPr>
      </w:pPr>
      <w:bookmarkStart w:id="268" w:name="_Toc25852"/>
      <w:bookmarkStart w:id="269" w:name="_Toc57795904"/>
      <w:r>
        <w:rPr>
          <w:rFonts w:hint="eastAsia" w:ascii="宋体" w:hAnsi="宋体" w:cs="宋体"/>
          <w:sz w:val="21"/>
          <w:szCs w:val="21"/>
        </w:rPr>
        <w:t>7.5 中标通知</w:t>
      </w:r>
      <w:bookmarkEnd w:id="268"/>
      <w:bookmarkEnd w:id="269"/>
    </w:p>
    <w:p w14:paraId="3855176B">
      <w:pPr>
        <w:pStyle w:val="69"/>
        <w:spacing w:before="0" w:after="0" w:line="360" w:lineRule="auto"/>
        <w:ind w:firstLine="420" w:firstLineChars="200"/>
        <w:jc w:val="left"/>
        <w:rPr>
          <w:rFonts w:hint="eastAsia" w:ascii="宋体" w:hAnsi="宋体" w:eastAsia="宋体" w:cs="宋体"/>
          <w:sz w:val="21"/>
          <w:szCs w:val="21"/>
          <w:lang w:val="en-US" w:eastAsia="zh-CN"/>
        </w:rPr>
      </w:pPr>
      <w:r>
        <w:rPr>
          <w:rFonts w:hint="eastAsia" w:ascii="宋体" w:hAnsi="宋体" w:eastAsia="宋体" w:cs="宋体"/>
          <w:sz w:val="21"/>
          <w:szCs w:val="21"/>
          <w:lang w:eastAsia="zh-CN"/>
        </w:rPr>
        <w:t>在本章第 3.3 款规定的投标有效期内，招标人以投标人须知前附表规定的形式向中标人发出中标通知书，同时将中标结果通知未中标的投标人。依法必须招标的公路养护工程建设项目，中标公示期间无</w:t>
      </w:r>
      <w:r>
        <w:rPr>
          <w:rFonts w:hint="eastAsia" w:ascii="宋体" w:hAnsi="宋体" w:eastAsia="宋体" w:cs="宋体"/>
          <w:sz w:val="21"/>
          <w:szCs w:val="21"/>
          <w:lang w:val="en-US" w:eastAsia="zh-CN"/>
        </w:rPr>
        <w:t>异议</w:t>
      </w:r>
      <w:r>
        <w:rPr>
          <w:rFonts w:hint="eastAsia" w:ascii="宋体" w:hAnsi="宋体" w:eastAsia="宋体" w:cs="宋体"/>
          <w:sz w:val="21"/>
          <w:szCs w:val="21"/>
          <w:lang w:eastAsia="zh-CN"/>
        </w:rPr>
        <w:t>、投诉的，招标人应在中标公示期结束</w:t>
      </w:r>
      <w:r>
        <w:rPr>
          <w:rFonts w:hint="eastAsia" w:ascii="宋体" w:hAnsi="宋体" w:eastAsia="宋体" w:cs="宋体"/>
          <w:sz w:val="21"/>
          <w:szCs w:val="21"/>
          <w:lang w:val="en-US" w:eastAsia="zh-CN"/>
        </w:rPr>
        <w:t>3日内确定中标人并发出中标通知书。</w:t>
      </w:r>
    </w:p>
    <w:p w14:paraId="70BE3AFD">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中标人在接到中标通知书后，便可启动占道施工许可申请和有关方案的制定工作。</w:t>
      </w:r>
    </w:p>
    <w:p w14:paraId="599D0A95">
      <w:pPr>
        <w:pStyle w:val="5"/>
        <w:spacing w:before="0" w:after="0" w:line="360" w:lineRule="auto"/>
        <w:rPr>
          <w:rFonts w:hint="eastAsia" w:ascii="宋体" w:hAnsi="宋体" w:cs="宋体"/>
          <w:sz w:val="21"/>
          <w:szCs w:val="21"/>
        </w:rPr>
      </w:pPr>
      <w:bookmarkStart w:id="270" w:name="_Toc28930"/>
      <w:bookmarkStart w:id="271" w:name="_Toc57795905"/>
      <w:r>
        <w:rPr>
          <w:rFonts w:hint="eastAsia" w:ascii="宋体" w:hAnsi="宋体" w:cs="宋体"/>
          <w:sz w:val="21"/>
          <w:szCs w:val="21"/>
        </w:rPr>
        <w:t>7.6 中标结果公告</w:t>
      </w:r>
      <w:bookmarkEnd w:id="270"/>
      <w:bookmarkEnd w:id="271"/>
    </w:p>
    <w:p w14:paraId="3959D3F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招标人在确定中标人之日起 3 日内，按照投标人须知前附表规定的公告媒介和期限公告中标结果，公告期不得少于 3 日。公告内容包括中标人名称、中标价。</w:t>
      </w:r>
    </w:p>
    <w:p w14:paraId="3D06B227">
      <w:pPr>
        <w:pStyle w:val="5"/>
        <w:spacing w:before="0" w:after="0" w:line="360" w:lineRule="auto"/>
        <w:rPr>
          <w:rFonts w:hint="eastAsia" w:ascii="宋体" w:hAnsi="宋体" w:cs="宋体"/>
          <w:sz w:val="21"/>
          <w:szCs w:val="21"/>
        </w:rPr>
      </w:pPr>
      <w:bookmarkStart w:id="272" w:name="_Toc57795906"/>
      <w:bookmarkStart w:id="273" w:name="_Toc13998"/>
      <w:r>
        <w:rPr>
          <w:rFonts w:hint="eastAsia" w:ascii="宋体" w:hAnsi="宋体" w:cs="宋体"/>
          <w:sz w:val="21"/>
          <w:szCs w:val="21"/>
        </w:rPr>
        <w:t>7.7 履约保证金</w:t>
      </w:r>
      <w:bookmarkEnd w:id="272"/>
      <w:bookmarkEnd w:id="273"/>
    </w:p>
    <w:p w14:paraId="083B708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7.7.1 在签订合同前，中标人应按投标人须知前附表规定的形式、金额和招标文件第四章“合同条款及格式”规定的或事先经过招标人书面认可的履约保证金格式向招标人提交履约保证金。除投标人须知前附表另有规定外，履约保证金为签约合同价的</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%。联合体中标的，其履约保证金以联合体各方或联合体中牵头人的名义提交。</w:t>
      </w:r>
    </w:p>
    <w:p w14:paraId="5978669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7.7.2 中标人不能按本章第 7.7.1 项要求提交履约保证金的，视为放弃中标，其投标保证金以现金形式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的不予退还，以保函形式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的由保函开立人支付保函担保的与投标保证金等额的款项，给招标人造成的损失超过投标保证金数额的，中标人还应对超过部分予以赔偿。</w:t>
      </w:r>
    </w:p>
    <w:p w14:paraId="2F8DC9BE">
      <w:pPr>
        <w:pStyle w:val="5"/>
        <w:spacing w:before="0" w:after="0" w:line="360" w:lineRule="auto"/>
        <w:rPr>
          <w:rFonts w:hint="eastAsia" w:ascii="宋体" w:hAnsi="宋体" w:cs="宋体"/>
          <w:sz w:val="21"/>
          <w:szCs w:val="21"/>
        </w:rPr>
      </w:pPr>
      <w:bookmarkStart w:id="274" w:name="_Toc57795907"/>
      <w:bookmarkStart w:id="275" w:name="_Toc10334"/>
      <w:r>
        <w:rPr>
          <w:rFonts w:hint="eastAsia" w:ascii="宋体" w:hAnsi="宋体" w:cs="宋体"/>
          <w:sz w:val="21"/>
          <w:szCs w:val="21"/>
        </w:rPr>
        <w:t>7.8 签订合同</w:t>
      </w:r>
      <w:bookmarkEnd w:id="274"/>
      <w:bookmarkEnd w:id="275"/>
    </w:p>
    <w:p w14:paraId="4EE8ABE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7.8.1 中标通知书发出之日起 </w:t>
      </w:r>
      <w:r>
        <w:rPr>
          <w:rFonts w:hint="eastAsia" w:ascii="宋体" w:hAnsi="宋体" w:eastAsia="宋体" w:cs="宋体"/>
          <w:sz w:val="21"/>
          <w:szCs w:val="21"/>
          <w:lang w:val="en-US" w:eastAsia="zh-CN"/>
        </w:rPr>
        <w:t>7</w:t>
      </w:r>
      <w:r>
        <w:rPr>
          <w:rFonts w:hint="eastAsia" w:ascii="宋体" w:hAnsi="宋体" w:eastAsia="宋体" w:cs="宋体"/>
          <w:sz w:val="21"/>
          <w:szCs w:val="21"/>
          <w:lang w:eastAsia="zh-CN"/>
        </w:rPr>
        <w:t xml:space="preserve"> 日内，招标人和中标人应按照招标文件和中标人的投标文件订立书面合同。中标人放弃中标项目，无正当理由拒签合同，在签订合同时向招标人提出附加条件或者更改合同实质性内容，或不按照招标文件要求提交低价风险担保（适用于经评审最低投标价法）或履约保证金的，招标人取消其中标资格，其投标保证金以现金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的不予退还，以保函形式</w:t>
      </w:r>
      <w:r>
        <w:rPr>
          <w:rFonts w:hint="eastAsia" w:ascii="宋体" w:hAnsi="宋体" w:eastAsia="宋体" w:cs="宋体"/>
          <w:sz w:val="21"/>
          <w:szCs w:val="21"/>
          <w:lang w:val="en-US" w:eastAsia="zh-CN"/>
        </w:rPr>
        <w:t>交纳</w:t>
      </w:r>
      <w:r>
        <w:rPr>
          <w:rFonts w:hint="eastAsia" w:ascii="宋体" w:hAnsi="宋体" w:eastAsia="宋体" w:cs="宋体"/>
          <w:sz w:val="21"/>
          <w:szCs w:val="21"/>
          <w:lang w:eastAsia="zh-CN"/>
        </w:rPr>
        <w:t>的由保函开立人支付保函担保的与投标保证金等额的款项；给招标人造成的损失超过投标保证金数额的，中标人还应对超过部分予以赔偿。</w:t>
      </w:r>
    </w:p>
    <w:p w14:paraId="44A4974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7.8.2 发出中标通知书后，招标人无正当理由拒签合同，或在签订合同时向中标人提出附加条件的，招标人向中标人退还投标保证金；给中标人造成损失的，还应赔偿损失。</w:t>
      </w:r>
    </w:p>
    <w:p w14:paraId="030F974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7.8.3 签约合同价的确定原则如下：（如投标人按照招标人提供的工程量固化清单电子文件填写工程量清单，无须按照第三章“评标办法”的相关规定对投标报价进行修正，则本项不适用。）</w:t>
      </w:r>
    </w:p>
    <w:p w14:paraId="6A92DDE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（1）按照评标办法规定对投标报价进行修正后，若修正后的最终投标报价小于开标时的投标函大写金额报价，则签订合同时以修正后的最终投标报价为准；</w:t>
      </w:r>
    </w:p>
    <w:p w14:paraId="117B697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（2）按照评标办法规定对投标报价进行修正后，若修正后的最终投标报价大于开标时的投标函大写金额报价，则签订合同时以开标时的投标函大写金额报价为准，同时按比例修正相应子目的单价或合价。</w:t>
      </w:r>
    </w:p>
    <w:p w14:paraId="4A43952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7.8.4 联合体中标的，联合体各方应共同与招标人签订合同，就中标项目向招标人承担连带责任。</w:t>
      </w:r>
    </w:p>
    <w:p w14:paraId="6177C84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7.8.5 招标人和中标人在签订合同协议书的同时，须按照本招标文件规定的格式和要求签订廉政合同及安全生产合同，明确双方在廉政建设和安全生产方面的权利和义务以及应承担的违约责任。</w:t>
      </w:r>
    </w:p>
    <w:p w14:paraId="1DB9DDEC">
      <w:pPr>
        <w:pStyle w:val="69"/>
        <w:spacing w:before="0" w:after="0" w:line="360" w:lineRule="auto"/>
        <w:ind w:firstLine="420" w:firstLineChars="200"/>
        <w:jc w:val="left"/>
        <w:rPr>
          <w:rFonts w:ascii="宋体" w:hAnsi="宋体" w:eastAsia="宋体" w:cs="宋体"/>
          <w:sz w:val="21"/>
          <w:szCs w:val="21"/>
          <w:lang w:val="en-US" w:eastAsia="zh-CN"/>
        </w:rPr>
      </w:pPr>
      <w:r>
        <w:rPr>
          <w:rFonts w:hint="eastAsia" w:ascii="宋体" w:hAnsi="宋体" w:eastAsia="宋体" w:cs="宋体"/>
          <w:sz w:val="21"/>
          <w:szCs w:val="21"/>
          <w:lang w:val="en-US" w:eastAsia="zh-CN"/>
        </w:rPr>
        <w:t>7.8.6 合同签订后10日内，招标人应在重庆市公共资源交易监督网和重庆市公共资源交易网公开合同的关键性内容（包括项目名称、合同双方名称、合同价款、签约时间、合同期限等），及时公开项目重大变动、合同重大变更、主要人员变更、合同终止和解除、重大违约行为处理结果、交竣工验收等履约信息。涉及国家秘密、商业秘密的内容除外。</w:t>
      </w:r>
    </w:p>
    <w:p w14:paraId="0FD88EC4">
      <w:pPr>
        <w:pStyle w:val="4"/>
        <w:spacing w:before="0" w:after="0" w:line="360" w:lineRule="auto"/>
        <w:rPr>
          <w:rFonts w:hint="eastAsia" w:ascii="宋体" w:hAnsi="宋体" w:cs="宋体"/>
          <w:sz w:val="28"/>
          <w:szCs w:val="28"/>
        </w:rPr>
      </w:pPr>
      <w:bookmarkStart w:id="276" w:name="_Toc57795908"/>
      <w:bookmarkStart w:id="277" w:name="_Toc19304"/>
      <w:r>
        <w:rPr>
          <w:rFonts w:hint="eastAsia" w:ascii="宋体" w:hAnsi="宋体" w:cs="宋体"/>
          <w:sz w:val="28"/>
          <w:szCs w:val="28"/>
        </w:rPr>
        <w:t>8. 纪律和监督</w:t>
      </w:r>
      <w:bookmarkEnd w:id="276"/>
      <w:bookmarkEnd w:id="277"/>
    </w:p>
    <w:p w14:paraId="3CF3ED66">
      <w:pPr>
        <w:pStyle w:val="5"/>
        <w:spacing w:before="0" w:after="0" w:line="360" w:lineRule="auto"/>
        <w:rPr>
          <w:rFonts w:hint="eastAsia" w:ascii="宋体" w:hAnsi="宋体" w:cs="宋体"/>
          <w:sz w:val="21"/>
          <w:szCs w:val="21"/>
        </w:rPr>
      </w:pPr>
      <w:bookmarkStart w:id="278" w:name="_Toc31086"/>
      <w:bookmarkStart w:id="279" w:name="_Toc57795909"/>
      <w:r>
        <w:rPr>
          <w:rFonts w:hint="eastAsia" w:ascii="宋体" w:hAnsi="宋体" w:cs="宋体"/>
          <w:sz w:val="21"/>
          <w:szCs w:val="21"/>
        </w:rPr>
        <w:t>8.1 对招标人的纪律要求</w:t>
      </w:r>
      <w:bookmarkEnd w:id="278"/>
      <w:bookmarkEnd w:id="279"/>
    </w:p>
    <w:p w14:paraId="0849DE7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招标人不得泄漏招标投标活动中应保密的情况和资料，不得与投标人串通损害国家利益、社会公共利益或他人合法权益。</w:t>
      </w:r>
    </w:p>
    <w:p w14:paraId="021E79D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有下列情形之一的，属于招标人与投标人串通投标：</w:t>
      </w:r>
    </w:p>
    <w:p w14:paraId="70746C0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（1）招标人在开标前开启投标文件并将有关信息泄露给其他投标人；</w:t>
      </w:r>
    </w:p>
    <w:p w14:paraId="4C7E09E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（2）招标人直接或者间接向投标人泄漏标底、评标委员会成员等信息；</w:t>
      </w:r>
    </w:p>
    <w:p w14:paraId="24222434">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（3）招标人明示或者暗示投标人压低或者抬高投标报价；</w:t>
      </w:r>
    </w:p>
    <w:p w14:paraId="4C61B62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（4）招标人授意投标人撤换、修改投标文件；</w:t>
      </w:r>
    </w:p>
    <w:p w14:paraId="5F3746F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（5）招标人明示或者暗示投标人为特定投标人中标提供方便；</w:t>
      </w:r>
    </w:p>
    <w:p w14:paraId="369123F5">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（6）招标人与投标人为谋求特定投标人中标而采取的其他串通行为。</w:t>
      </w:r>
    </w:p>
    <w:p w14:paraId="252D6D3A">
      <w:pPr>
        <w:pStyle w:val="5"/>
        <w:spacing w:before="0" w:after="0" w:line="360" w:lineRule="auto"/>
        <w:rPr>
          <w:rFonts w:hint="eastAsia" w:ascii="宋体" w:hAnsi="宋体" w:cs="宋体"/>
          <w:sz w:val="21"/>
          <w:szCs w:val="21"/>
        </w:rPr>
      </w:pPr>
      <w:bookmarkStart w:id="280" w:name="_Toc57795910"/>
      <w:bookmarkStart w:id="281" w:name="_Toc27550"/>
      <w:r>
        <w:rPr>
          <w:rFonts w:hint="eastAsia" w:ascii="宋体" w:hAnsi="宋体" w:cs="宋体"/>
          <w:sz w:val="21"/>
          <w:szCs w:val="21"/>
        </w:rPr>
        <w:t>8.2 对投标人的纪律要求</w:t>
      </w:r>
      <w:bookmarkEnd w:id="280"/>
      <w:bookmarkEnd w:id="281"/>
    </w:p>
    <w:p w14:paraId="26FA37A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投标人不得相互串通投标或与招标人串通投标，不得向招标人或评标委员会成员行贿谋取中标，不得以他人名义投标或以其他方式弄虚作假骗取中标；投标人不得以任何方式干扰、影响评标工作。</w:t>
      </w:r>
    </w:p>
    <w:p w14:paraId="7A61970B">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8.2.1 有下列情形之一的，属于投标人相互串通投标：</w:t>
      </w:r>
    </w:p>
    <w:p w14:paraId="781F4B3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（1）投标人之间协商投标报价等投标文件的实质性内容；</w:t>
      </w:r>
    </w:p>
    <w:p w14:paraId="0DE3502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（2）投标人之间约定中标人；</w:t>
      </w:r>
    </w:p>
    <w:p w14:paraId="2D5C751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（3）投标人之间约定部分投标人放弃投标或者中标；</w:t>
      </w:r>
    </w:p>
    <w:p w14:paraId="2A2DDDF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（4）属于同一集团、协会、商会等组织成员的投标人按照该组织要求协同投标；</w:t>
      </w:r>
    </w:p>
    <w:p w14:paraId="0258BE8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（5）投标人之间为谋取中标或者排斥特定投标人而采取的其他联合行动。</w:t>
      </w:r>
    </w:p>
    <w:p w14:paraId="5E85FDA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8.2.2 有下列情形之一的，视为投标人相互串通投标：</w:t>
      </w:r>
    </w:p>
    <w:p w14:paraId="282C7F4C">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（1）不同投标人的投标文件由同一单位或者个人编制；</w:t>
      </w:r>
    </w:p>
    <w:p w14:paraId="04CF093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（2）不同投标人委托同一单位或者个人办理投标事宜；</w:t>
      </w:r>
    </w:p>
    <w:p w14:paraId="4E5E30F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（3）不同投标人的投标文件载明的项目管理成员为同一人；</w:t>
      </w:r>
    </w:p>
    <w:p w14:paraId="41DCE34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（4）不同投标人的投标文件异常一致或者投标报价呈规律性差异；</w:t>
      </w:r>
    </w:p>
    <w:p w14:paraId="284832E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（5）不同投标人的投标文件相互混装；</w:t>
      </w:r>
    </w:p>
    <w:p w14:paraId="0E027AF3">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（6）不同投标人的投标保证金从同一单位或者个人的账户转出；</w:t>
      </w:r>
    </w:p>
    <w:p w14:paraId="14CD92A8">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（7）不同投标人的电子投标文件</w:t>
      </w:r>
      <w:r>
        <w:rPr>
          <w:rFonts w:hint="eastAsia" w:ascii="宋体" w:hAnsi="宋体" w:eastAsia="宋体" w:cs="宋体"/>
          <w:sz w:val="21"/>
          <w:szCs w:val="21"/>
          <w:lang w:val="en-US" w:eastAsia="zh-CN"/>
        </w:rPr>
        <w:t>制作机器码</w:t>
      </w:r>
      <w:r>
        <w:rPr>
          <w:rFonts w:hint="eastAsia" w:ascii="宋体" w:hAnsi="宋体" w:eastAsia="宋体" w:cs="宋体"/>
          <w:sz w:val="21"/>
          <w:szCs w:val="21"/>
          <w:lang w:eastAsia="zh-CN"/>
        </w:rPr>
        <w:t>相同。</w:t>
      </w:r>
    </w:p>
    <w:p w14:paraId="2BEE28B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8.2.3 使用通过受让或者租借等方式获取的资格、资质证书投标的，属于以他人名义投标。</w:t>
      </w:r>
    </w:p>
    <w:p w14:paraId="500290A0">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8.2.4 投标人有下列情形之一的，属于以其他方式弄虚作假的行为：</w:t>
      </w:r>
    </w:p>
    <w:p w14:paraId="0677F1BF">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（1）使用伪造、变造的许可证件；</w:t>
      </w:r>
    </w:p>
    <w:p w14:paraId="4E447C3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（2）提供虚假的财务状况或者业绩；</w:t>
      </w:r>
    </w:p>
    <w:p w14:paraId="5D644DBA">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（3）提供虚假的项目负责人或者主要技术人员简历、劳动关系证明；</w:t>
      </w:r>
    </w:p>
    <w:p w14:paraId="277922FD">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（4）提供虚假的信用状况；</w:t>
      </w:r>
    </w:p>
    <w:p w14:paraId="6C985CE7">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（5）其他弄虚作假的行为。</w:t>
      </w:r>
    </w:p>
    <w:p w14:paraId="5CC38A9A">
      <w:pPr>
        <w:pStyle w:val="5"/>
        <w:spacing w:before="0" w:after="0" w:line="360" w:lineRule="auto"/>
        <w:rPr>
          <w:rFonts w:hint="eastAsia" w:ascii="宋体" w:hAnsi="宋体" w:cs="宋体"/>
          <w:sz w:val="21"/>
          <w:szCs w:val="21"/>
        </w:rPr>
      </w:pPr>
      <w:bookmarkStart w:id="282" w:name="_Toc6967"/>
      <w:bookmarkStart w:id="283" w:name="_Toc57795911"/>
      <w:r>
        <w:rPr>
          <w:rFonts w:hint="eastAsia" w:ascii="宋体" w:hAnsi="宋体" w:cs="宋体"/>
          <w:sz w:val="21"/>
          <w:szCs w:val="21"/>
        </w:rPr>
        <w:t>8.3 对评标委员会成员的纪律要求</w:t>
      </w:r>
      <w:bookmarkEnd w:id="282"/>
      <w:bookmarkEnd w:id="283"/>
    </w:p>
    <w:p w14:paraId="281D15C6">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评标委员会成员不得收受他人的财物或其他好处，不得向他人透露对投标文件的评审和比较、中标候选人的推荐情况以及评标有关的其他情况。在评标活动中，评标委员会成员应客观、公正地履行职责，遵守职业道德，不得擅离职守，影响评标程序正常进行，不得使用第三章“评标办法”没有规定的评审因素和标准进行评标。不得对招标文件中《否决投标情况一览表》以外的内容予以否决投标，否则对评标委员会成员按《重庆市综合评标专家库和评标专家管理暂行办法》进行处理。</w:t>
      </w:r>
    </w:p>
    <w:p w14:paraId="3EF17013">
      <w:pPr>
        <w:pStyle w:val="5"/>
        <w:spacing w:before="0" w:after="0" w:line="360" w:lineRule="auto"/>
        <w:rPr>
          <w:rFonts w:hint="eastAsia" w:ascii="宋体" w:hAnsi="宋体" w:cs="宋体"/>
          <w:sz w:val="21"/>
          <w:szCs w:val="21"/>
        </w:rPr>
      </w:pPr>
      <w:bookmarkStart w:id="284" w:name="_Toc57795912"/>
      <w:bookmarkStart w:id="285" w:name="_Toc18719"/>
      <w:r>
        <w:rPr>
          <w:rFonts w:hint="eastAsia" w:ascii="宋体" w:hAnsi="宋体" w:cs="宋体"/>
          <w:sz w:val="21"/>
          <w:szCs w:val="21"/>
        </w:rPr>
        <w:t>8.4 对与评标活动有关的工作人员的纪律要求</w:t>
      </w:r>
      <w:bookmarkEnd w:id="284"/>
      <w:bookmarkEnd w:id="285"/>
    </w:p>
    <w:p w14:paraId="4BF20F29">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与评标活动有关的工作人员不得收受他人的财物或其他好处，不得向他人透露对投标文件的评审和比较、中标候选人的推荐情况以及评标有关的其他情况。在评标活动中，与评标活动有关的工作人员不得擅离职守，影响评标程序正常进行。</w:t>
      </w:r>
    </w:p>
    <w:p w14:paraId="15E14F9B">
      <w:pPr>
        <w:pStyle w:val="5"/>
        <w:spacing w:before="0" w:after="0" w:line="360" w:lineRule="auto"/>
        <w:rPr>
          <w:rFonts w:hint="eastAsia" w:ascii="宋体" w:hAnsi="宋体" w:cs="宋体"/>
          <w:sz w:val="21"/>
          <w:szCs w:val="21"/>
        </w:rPr>
      </w:pPr>
      <w:bookmarkStart w:id="286" w:name="_Toc57795913"/>
      <w:bookmarkStart w:id="287" w:name="_Toc6015"/>
      <w:r>
        <w:rPr>
          <w:rFonts w:hint="eastAsia" w:ascii="宋体" w:hAnsi="宋体" w:cs="宋体"/>
          <w:sz w:val="21"/>
          <w:szCs w:val="21"/>
        </w:rPr>
        <w:t>8.5 投诉</w:t>
      </w:r>
      <w:bookmarkEnd w:id="286"/>
      <w:bookmarkEnd w:id="287"/>
    </w:p>
    <w:p w14:paraId="2628F21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8.5.1 投标人或其他利害关系人认为招标投标活动不符合法律、行政法规规定的，可以自知道或应当知道之日起 10 日内向有关行政监督部门投诉。投诉应有明确的请求和必要的证明材料。</w:t>
      </w:r>
    </w:p>
    <w:p w14:paraId="40A66BC1">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监督部门的联系方式见投标人须知前附表。</w:t>
      </w:r>
    </w:p>
    <w:p w14:paraId="50BCBCC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8.5.2 投标人或其他利害关系人对招标文件、开标和评标结果提出投诉的，应按照本章第 2.2 款、第 5.3 款和第 7.2 款的规定先向招标人提出异议。异议答复期间不计算在第 8.5.1 项规定的期限内。</w:t>
      </w:r>
    </w:p>
    <w:p w14:paraId="15E53824">
      <w:pPr>
        <w:pStyle w:val="4"/>
        <w:spacing w:before="0" w:after="0" w:line="360" w:lineRule="auto"/>
        <w:rPr>
          <w:rFonts w:ascii="宋体" w:hAnsi="宋体" w:cs="宋体"/>
          <w:sz w:val="28"/>
          <w:szCs w:val="28"/>
        </w:rPr>
      </w:pPr>
      <w:bookmarkStart w:id="288" w:name="_Toc57795914"/>
      <w:bookmarkStart w:id="289" w:name="_Toc28496"/>
      <w:r>
        <w:rPr>
          <w:rFonts w:hint="eastAsia" w:ascii="宋体" w:hAnsi="宋体" w:cs="宋体"/>
          <w:sz w:val="28"/>
          <w:szCs w:val="28"/>
        </w:rPr>
        <w:t>9. 招标投标</w:t>
      </w:r>
      <w:bookmarkEnd w:id="288"/>
      <w:r>
        <w:rPr>
          <w:rFonts w:hint="eastAsia" w:ascii="宋体" w:hAnsi="宋体" w:cs="宋体"/>
          <w:sz w:val="28"/>
          <w:szCs w:val="28"/>
        </w:rPr>
        <w:t>及评标方式</w:t>
      </w:r>
      <w:bookmarkEnd w:id="289"/>
    </w:p>
    <w:p w14:paraId="7694BE7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本招标项目是否采用电子招标投标方式：见投标人须知前附表。</w:t>
      </w:r>
    </w:p>
    <w:p w14:paraId="31FCCF3E">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本招标项目是否采用</w:t>
      </w:r>
      <w:r>
        <w:rPr>
          <w:rFonts w:hint="eastAsia" w:ascii="宋体" w:hAnsi="宋体" w:eastAsia="宋体" w:cs="宋体"/>
          <w:sz w:val="21"/>
          <w:szCs w:val="21"/>
          <w:lang w:val="en-US" w:eastAsia="zh-CN"/>
        </w:rPr>
        <w:t>远程异地评标</w:t>
      </w:r>
      <w:r>
        <w:rPr>
          <w:rFonts w:hint="eastAsia" w:ascii="宋体" w:hAnsi="宋体" w:eastAsia="宋体" w:cs="宋体"/>
          <w:sz w:val="21"/>
          <w:szCs w:val="21"/>
          <w:lang w:eastAsia="zh-CN"/>
        </w:rPr>
        <w:t>方式：见投标人须知前附表。</w:t>
      </w:r>
    </w:p>
    <w:p w14:paraId="1CBA686B">
      <w:pPr>
        <w:pStyle w:val="4"/>
        <w:spacing w:before="0" w:after="0" w:line="360" w:lineRule="auto"/>
        <w:rPr>
          <w:rFonts w:hint="eastAsia" w:ascii="宋体" w:hAnsi="宋体" w:cs="宋体"/>
          <w:sz w:val="28"/>
          <w:szCs w:val="28"/>
        </w:rPr>
      </w:pPr>
      <w:bookmarkStart w:id="290" w:name="_Toc21731"/>
      <w:bookmarkStart w:id="291" w:name="_Toc57795915"/>
      <w:r>
        <w:rPr>
          <w:rFonts w:hint="eastAsia" w:ascii="宋体" w:hAnsi="宋体" w:cs="宋体"/>
          <w:sz w:val="28"/>
          <w:szCs w:val="28"/>
        </w:rPr>
        <w:t>10. 需要补充的其他内容</w:t>
      </w:r>
      <w:bookmarkEnd w:id="290"/>
      <w:bookmarkEnd w:id="291"/>
    </w:p>
    <w:p w14:paraId="3BC907C2">
      <w:pPr>
        <w:pStyle w:val="69"/>
        <w:spacing w:before="0" w:after="0" w:line="360" w:lineRule="auto"/>
        <w:ind w:firstLine="420" w:firstLineChars="20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需要补充的其他内容：见投标人须知前附表。</w:t>
      </w:r>
    </w:p>
    <w:p w14:paraId="0BD93940">
      <w:pPr>
        <w:autoSpaceDE w:val="0"/>
        <w:autoSpaceDN w:val="0"/>
        <w:adjustRightInd w:val="0"/>
        <w:snapToGrid w:val="0"/>
        <w:spacing w:line="360" w:lineRule="auto"/>
        <w:ind w:firstLine="420"/>
        <w:jc w:val="left"/>
        <w:rPr>
          <w:rFonts w:ascii="宋体" w:hAnsi="宋体"/>
          <w:snapToGrid w:val="0"/>
          <w:kern w:val="0"/>
          <w:szCs w:val="21"/>
          <w:lang w:val="ru-RU"/>
        </w:rPr>
        <w:sectPr>
          <w:footerReference r:id="rId9" w:type="default"/>
          <w:pgSz w:w="11906" w:h="16838"/>
          <w:pgMar w:top="1304" w:right="1134" w:bottom="1304" w:left="1304" w:header="851" w:footer="992" w:gutter="0"/>
          <w:cols w:space="720" w:num="1"/>
          <w:docGrid w:type="lines" w:linePitch="312" w:charSpace="0"/>
        </w:sectPr>
      </w:pPr>
    </w:p>
    <w:p w14:paraId="234F2702">
      <w:pPr>
        <w:autoSpaceDE w:val="0"/>
        <w:autoSpaceDN w:val="0"/>
        <w:adjustRightInd w:val="0"/>
        <w:snapToGrid w:val="0"/>
        <w:spacing w:line="360" w:lineRule="auto"/>
        <w:ind w:firstLine="420"/>
        <w:jc w:val="left"/>
        <w:rPr>
          <w:rFonts w:ascii="宋体" w:hAnsi="宋体"/>
          <w:snapToGrid w:val="0"/>
          <w:kern w:val="0"/>
          <w:szCs w:val="21"/>
          <w:lang w:val="ru-RU"/>
        </w:rPr>
      </w:pPr>
    </w:p>
    <w:p w14:paraId="687B0338">
      <w:pPr>
        <w:autoSpaceDE w:val="0"/>
        <w:autoSpaceDN w:val="0"/>
        <w:adjustRightInd w:val="0"/>
        <w:snapToGrid w:val="0"/>
        <w:spacing w:line="360" w:lineRule="auto"/>
        <w:jc w:val="left"/>
        <w:rPr>
          <w:rFonts w:hint="eastAsia" w:ascii="宋体" w:hAnsi="宋体"/>
          <w:snapToGrid w:val="0"/>
          <w:kern w:val="0"/>
          <w:szCs w:val="21"/>
        </w:rPr>
      </w:pPr>
    </w:p>
    <w:p w14:paraId="6992B3A1">
      <w:pPr>
        <w:autoSpaceDE w:val="0"/>
        <w:autoSpaceDN w:val="0"/>
        <w:adjustRightInd w:val="0"/>
        <w:snapToGrid w:val="0"/>
        <w:spacing w:line="360" w:lineRule="auto"/>
        <w:jc w:val="left"/>
        <w:rPr>
          <w:rFonts w:hint="eastAsia" w:ascii="宋体" w:hAnsi="宋体"/>
          <w:b/>
          <w:snapToGrid w:val="0"/>
          <w:kern w:val="0"/>
        </w:rPr>
      </w:pPr>
      <w:r>
        <w:rPr>
          <w:rFonts w:ascii="宋体" w:hAnsi="宋体"/>
          <w:b/>
          <w:snapToGrid w:val="0"/>
          <w:kern w:val="0"/>
        </w:rPr>
        <w:t>附表一：开标记录表</w:t>
      </w:r>
    </w:p>
    <w:p w14:paraId="1984456B">
      <w:pPr>
        <w:autoSpaceDE w:val="0"/>
        <w:autoSpaceDN w:val="0"/>
        <w:adjustRightInd w:val="0"/>
        <w:snapToGrid w:val="0"/>
        <w:spacing w:line="360" w:lineRule="auto"/>
        <w:jc w:val="left"/>
        <w:rPr>
          <w:rFonts w:hint="eastAsia" w:ascii="宋体" w:hAnsi="宋体"/>
          <w:b/>
          <w:snapToGrid w:val="0"/>
          <w:kern w:val="0"/>
        </w:rPr>
      </w:pPr>
    </w:p>
    <w:p w14:paraId="5B0C656B">
      <w:pPr>
        <w:tabs>
          <w:tab w:val="left" w:pos="3529"/>
          <w:tab w:val="left" w:pos="5060"/>
        </w:tabs>
        <w:autoSpaceDE w:val="0"/>
        <w:autoSpaceDN w:val="0"/>
        <w:adjustRightInd w:val="0"/>
        <w:snapToGrid w:val="0"/>
        <w:spacing w:line="360" w:lineRule="auto"/>
        <w:ind w:firstLine="3324" w:firstLineChars="600"/>
        <w:jc w:val="left"/>
        <w:rPr>
          <w:rFonts w:ascii="宋体" w:hAnsi="宋体"/>
          <w:b/>
          <w:snapToGrid w:val="0"/>
          <w:kern w:val="0"/>
          <w:sz w:val="28"/>
          <w:szCs w:val="28"/>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w:t>
      </w:r>
      <w:r>
        <w:rPr>
          <w:rFonts w:ascii="宋体" w:hAnsi="宋体"/>
          <w:b/>
          <w:snapToGrid w:val="0"/>
          <w:w w:val="99"/>
          <w:kern w:val="0"/>
          <w:sz w:val="28"/>
          <w:szCs w:val="28"/>
        </w:rPr>
        <w:t>开标记录表</w:t>
      </w:r>
    </w:p>
    <w:p w14:paraId="78EAAB06">
      <w:pPr>
        <w:tabs>
          <w:tab w:val="left" w:pos="2260"/>
          <w:tab w:val="left" w:pos="5060"/>
        </w:tabs>
        <w:autoSpaceDE w:val="0"/>
        <w:autoSpaceDN w:val="0"/>
        <w:adjustRightInd w:val="0"/>
        <w:snapToGrid w:val="0"/>
        <w:spacing w:line="360" w:lineRule="auto"/>
        <w:jc w:val="right"/>
        <w:rPr>
          <w:rFonts w:ascii="宋体" w:hAnsi="宋体"/>
          <w:snapToGrid w:val="0"/>
          <w:kern w:val="0"/>
          <w:szCs w:val="21"/>
        </w:rPr>
      </w:pPr>
      <w:r>
        <w:rPr>
          <w:rFonts w:ascii="宋体" w:hAnsi="宋体"/>
          <w:b/>
          <w:snapToGrid w:val="0"/>
          <w:kern w:val="0"/>
          <w:sz w:val="28"/>
          <w:szCs w:val="28"/>
        </w:rPr>
        <w:t xml:space="preserve">                             </w:t>
      </w:r>
      <w:r>
        <w:rPr>
          <w:rFonts w:ascii="宋体" w:hAnsi="宋体"/>
          <w:snapToGrid w:val="0"/>
          <w:kern w:val="0"/>
          <w:szCs w:val="21"/>
        </w:rPr>
        <w:t>开标时间：</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3721"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597"/>
        <w:gridCol w:w="3827"/>
        <w:gridCol w:w="1134"/>
        <w:gridCol w:w="1418"/>
        <w:gridCol w:w="1275"/>
        <w:gridCol w:w="1276"/>
        <w:gridCol w:w="1134"/>
        <w:gridCol w:w="1134"/>
        <w:gridCol w:w="906"/>
        <w:gridCol w:w="1020"/>
      </w:tblGrid>
      <w:tr w14:paraId="68FE6A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jc w:val="center"/>
        </w:trPr>
        <w:tc>
          <w:tcPr>
            <w:tcW w:w="597" w:type="dxa"/>
            <w:vAlign w:val="center"/>
          </w:tcPr>
          <w:p w14:paraId="400E9387">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序号</w:t>
            </w:r>
          </w:p>
        </w:tc>
        <w:tc>
          <w:tcPr>
            <w:tcW w:w="3827" w:type="dxa"/>
            <w:vAlign w:val="center"/>
          </w:tcPr>
          <w:p w14:paraId="3C8AB6C3">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投标人</w:t>
            </w:r>
          </w:p>
        </w:tc>
        <w:tc>
          <w:tcPr>
            <w:tcW w:w="1134" w:type="dxa"/>
            <w:vAlign w:val="center"/>
          </w:tcPr>
          <w:p w14:paraId="6118F839">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解密</w:t>
            </w:r>
            <w:r>
              <w:rPr>
                <w:rFonts w:ascii="宋体" w:hAnsi="宋体"/>
                <w:snapToGrid w:val="0"/>
                <w:kern w:val="0"/>
                <w:szCs w:val="21"/>
              </w:rPr>
              <w:t>情况</w:t>
            </w:r>
          </w:p>
        </w:tc>
        <w:tc>
          <w:tcPr>
            <w:tcW w:w="1418" w:type="dxa"/>
            <w:vAlign w:val="center"/>
          </w:tcPr>
          <w:p w14:paraId="54471B97">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投标总报价</w:t>
            </w:r>
          </w:p>
        </w:tc>
        <w:tc>
          <w:tcPr>
            <w:tcW w:w="1275" w:type="dxa"/>
            <w:vAlign w:val="center"/>
          </w:tcPr>
          <w:p w14:paraId="2E02BC4D">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质量目标</w:t>
            </w:r>
          </w:p>
        </w:tc>
        <w:tc>
          <w:tcPr>
            <w:tcW w:w="1276" w:type="dxa"/>
            <w:vAlign w:val="center"/>
          </w:tcPr>
          <w:p w14:paraId="7C2358A3">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工期</w:t>
            </w:r>
          </w:p>
        </w:tc>
        <w:tc>
          <w:tcPr>
            <w:tcW w:w="1134" w:type="dxa"/>
            <w:vAlign w:val="center"/>
          </w:tcPr>
          <w:p w14:paraId="7C8BB4BD">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项目经理</w:t>
            </w:r>
          </w:p>
        </w:tc>
        <w:tc>
          <w:tcPr>
            <w:tcW w:w="1134" w:type="dxa"/>
            <w:tcBorders>
              <w:right w:val="single" w:color="auto" w:sz="4" w:space="0"/>
            </w:tcBorders>
            <w:vAlign w:val="center"/>
          </w:tcPr>
          <w:p w14:paraId="2E090909">
            <w:pPr>
              <w:autoSpaceDE w:val="0"/>
              <w:autoSpaceDN w:val="0"/>
              <w:adjustRightInd w:val="0"/>
              <w:snapToGrid w:val="0"/>
              <w:jc w:val="center"/>
              <w:rPr>
                <w:rFonts w:ascii="宋体" w:hAnsi="宋体"/>
                <w:snapToGrid w:val="0"/>
                <w:kern w:val="0"/>
                <w:szCs w:val="21"/>
              </w:rPr>
            </w:pPr>
            <w:r>
              <w:rPr>
                <w:rFonts w:hint="eastAsia" w:ascii="宋体" w:hAnsi="宋体"/>
                <w:snapToGrid w:val="0"/>
                <w:kern w:val="0"/>
                <w:szCs w:val="21"/>
              </w:rPr>
              <w:t>项目总工</w:t>
            </w:r>
          </w:p>
        </w:tc>
        <w:tc>
          <w:tcPr>
            <w:tcW w:w="906" w:type="dxa"/>
            <w:tcBorders>
              <w:left w:val="single" w:color="auto" w:sz="4" w:space="0"/>
            </w:tcBorders>
            <w:vAlign w:val="center"/>
          </w:tcPr>
          <w:p w14:paraId="51F68782">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备注</w:t>
            </w:r>
          </w:p>
        </w:tc>
        <w:tc>
          <w:tcPr>
            <w:tcW w:w="1020" w:type="dxa"/>
            <w:vAlign w:val="center"/>
          </w:tcPr>
          <w:p w14:paraId="1953D409">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签名</w:t>
            </w:r>
          </w:p>
        </w:tc>
      </w:tr>
      <w:tr w14:paraId="2D7807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6FF1B525">
            <w:pPr>
              <w:autoSpaceDE w:val="0"/>
              <w:autoSpaceDN w:val="0"/>
              <w:adjustRightInd w:val="0"/>
              <w:snapToGrid w:val="0"/>
              <w:jc w:val="left"/>
              <w:rPr>
                <w:rFonts w:ascii="宋体" w:hAnsi="宋体"/>
                <w:snapToGrid w:val="0"/>
                <w:kern w:val="0"/>
                <w:sz w:val="28"/>
                <w:szCs w:val="28"/>
              </w:rPr>
            </w:pPr>
          </w:p>
        </w:tc>
        <w:tc>
          <w:tcPr>
            <w:tcW w:w="3827" w:type="dxa"/>
            <w:vAlign w:val="center"/>
          </w:tcPr>
          <w:p w14:paraId="35C81D00">
            <w:pPr>
              <w:autoSpaceDE w:val="0"/>
              <w:autoSpaceDN w:val="0"/>
              <w:adjustRightInd w:val="0"/>
              <w:snapToGrid w:val="0"/>
              <w:jc w:val="left"/>
              <w:rPr>
                <w:rFonts w:ascii="宋体" w:hAnsi="宋体"/>
                <w:snapToGrid w:val="0"/>
                <w:kern w:val="0"/>
                <w:sz w:val="28"/>
                <w:szCs w:val="28"/>
              </w:rPr>
            </w:pPr>
          </w:p>
        </w:tc>
        <w:tc>
          <w:tcPr>
            <w:tcW w:w="1134" w:type="dxa"/>
            <w:vAlign w:val="center"/>
          </w:tcPr>
          <w:p w14:paraId="07156BD9">
            <w:pPr>
              <w:autoSpaceDE w:val="0"/>
              <w:autoSpaceDN w:val="0"/>
              <w:adjustRightInd w:val="0"/>
              <w:snapToGrid w:val="0"/>
              <w:jc w:val="left"/>
              <w:rPr>
                <w:rFonts w:ascii="宋体" w:hAnsi="宋体"/>
                <w:snapToGrid w:val="0"/>
                <w:kern w:val="0"/>
                <w:szCs w:val="21"/>
              </w:rPr>
            </w:pPr>
          </w:p>
        </w:tc>
        <w:tc>
          <w:tcPr>
            <w:tcW w:w="1418" w:type="dxa"/>
            <w:vAlign w:val="center"/>
          </w:tcPr>
          <w:p w14:paraId="32B71614">
            <w:pPr>
              <w:autoSpaceDE w:val="0"/>
              <w:autoSpaceDN w:val="0"/>
              <w:adjustRightInd w:val="0"/>
              <w:snapToGrid w:val="0"/>
              <w:jc w:val="left"/>
              <w:rPr>
                <w:rFonts w:ascii="宋体" w:hAnsi="宋体"/>
                <w:snapToGrid w:val="0"/>
                <w:kern w:val="0"/>
                <w:sz w:val="28"/>
                <w:szCs w:val="28"/>
              </w:rPr>
            </w:pPr>
          </w:p>
        </w:tc>
        <w:tc>
          <w:tcPr>
            <w:tcW w:w="1275" w:type="dxa"/>
            <w:vAlign w:val="center"/>
          </w:tcPr>
          <w:p w14:paraId="2C73C3BF">
            <w:pPr>
              <w:autoSpaceDE w:val="0"/>
              <w:autoSpaceDN w:val="0"/>
              <w:adjustRightInd w:val="0"/>
              <w:snapToGrid w:val="0"/>
              <w:jc w:val="left"/>
              <w:rPr>
                <w:rFonts w:ascii="宋体" w:hAnsi="宋体"/>
                <w:snapToGrid w:val="0"/>
                <w:kern w:val="0"/>
                <w:sz w:val="28"/>
                <w:szCs w:val="28"/>
              </w:rPr>
            </w:pPr>
          </w:p>
        </w:tc>
        <w:tc>
          <w:tcPr>
            <w:tcW w:w="1276" w:type="dxa"/>
            <w:vAlign w:val="center"/>
          </w:tcPr>
          <w:p w14:paraId="6F54032C">
            <w:pPr>
              <w:autoSpaceDE w:val="0"/>
              <w:autoSpaceDN w:val="0"/>
              <w:adjustRightInd w:val="0"/>
              <w:snapToGrid w:val="0"/>
              <w:jc w:val="left"/>
              <w:rPr>
                <w:rFonts w:ascii="宋体" w:hAnsi="宋体"/>
                <w:snapToGrid w:val="0"/>
                <w:kern w:val="0"/>
                <w:sz w:val="28"/>
                <w:szCs w:val="28"/>
              </w:rPr>
            </w:pPr>
          </w:p>
        </w:tc>
        <w:tc>
          <w:tcPr>
            <w:tcW w:w="1134" w:type="dxa"/>
            <w:vAlign w:val="center"/>
          </w:tcPr>
          <w:p w14:paraId="5BF5A142">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469BFB83">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4A871991">
            <w:pPr>
              <w:autoSpaceDE w:val="0"/>
              <w:autoSpaceDN w:val="0"/>
              <w:adjustRightInd w:val="0"/>
              <w:snapToGrid w:val="0"/>
              <w:jc w:val="left"/>
              <w:rPr>
                <w:rFonts w:ascii="宋体" w:hAnsi="宋体"/>
                <w:snapToGrid w:val="0"/>
                <w:kern w:val="0"/>
                <w:sz w:val="28"/>
                <w:szCs w:val="28"/>
              </w:rPr>
            </w:pPr>
          </w:p>
        </w:tc>
        <w:tc>
          <w:tcPr>
            <w:tcW w:w="1020" w:type="dxa"/>
            <w:vAlign w:val="center"/>
          </w:tcPr>
          <w:p w14:paraId="1A3787A2">
            <w:pPr>
              <w:autoSpaceDE w:val="0"/>
              <w:autoSpaceDN w:val="0"/>
              <w:adjustRightInd w:val="0"/>
              <w:snapToGrid w:val="0"/>
              <w:jc w:val="left"/>
              <w:rPr>
                <w:rFonts w:ascii="宋体" w:hAnsi="宋体"/>
                <w:snapToGrid w:val="0"/>
                <w:kern w:val="0"/>
                <w:sz w:val="28"/>
                <w:szCs w:val="28"/>
              </w:rPr>
            </w:pPr>
          </w:p>
        </w:tc>
      </w:tr>
      <w:tr w14:paraId="29F396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7AF1F8A9">
            <w:pPr>
              <w:autoSpaceDE w:val="0"/>
              <w:autoSpaceDN w:val="0"/>
              <w:adjustRightInd w:val="0"/>
              <w:snapToGrid w:val="0"/>
              <w:jc w:val="left"/>
              <w:rPr>
                <w:rFonts w:ascii="宋体" w:hAnsi="宋体"/>
                <w:snapToGrid w:val="0"/>
                <w:kern w:val="0"/>
                <w:sz w:val="28"/>
                <w:szCs w:val="28"/>
              </w:rPr>
            </w:pPr>
          </w:p>
        </w:tc>
        <w:tc>
          <w:tcPr>
            <w:tcW w:w="3827" w:type="dxa"/>
            <w:vAlign w:val="center"/>
          </w:tcPr>
          <w:p w14:paraId="2417E712">
            <w:pPr>
              <w:autoSpaceDE w:val="0"/>
              <w:autoSpaceDN w:val="0"/>
              <w:adjustRightInd w:val="0"/>
              <w:snapToGrid w:val="0"/>
              <w:jc w:val="left"/>
              <w:rPr>
                <w:rFonts w:ascii="宋体" w:hAnsi="宋体"/>
                <w:snapToGrid w:val="0"/>
                <w:kern w:val="0"/>
                <w:sz w:val="28"/>
                <w:szCs w:val="28"/>
              </w:rPr>
            </w:pPr>
          </w:p>
        </w:tc>
        <w:tc>
          <w:tcPr>
            <w:tcW w:w="1134" w:type="dxa"/>
            <w:vAlign w:val="center"/>
          </w:tcPr>
          <w:p w14:paraId="5E63C8F3">
            <w:pPr>
              <w:autoSpaceDE w:val="0"/>
              <w:autoSpaceDN w:val="0"/>
              <w:adjustRightInd w:val="0"/>
              <w:snapToGrid w:val="0"/>
              <w:jc w:val="left"/>
              <w:rPr>
                <w:rFonts w:ascii="宋体" w:hAnsi="宋体"/>
                <w:snapToGrid w:val="0"/>
                <w:kern w:val="0"/>
                <w:sz w:val="28"/>
                <w:szCs w:val="28"/>
              </w:rPr>
            </w:pPr>
          </w:p>
        </w:tc>
        <w:tc>
          <w:tcPr>
            <w:tcW w:w="1418" w:type="dxa"/>
            <w:vAlign w:val="center"/>
          </w:tcPr>
          <w:p w14:paraId="7CADA393">
            <w:pPr>
              <w:autoSpaceDE w:val="0"/>
              <w:autoSpaceDN w:val="0"/>
              <w:adjustRightInd w:val="0"/>
              <w:snapToGrid w:val="0"/>
              <w:jc w:val="left"/>
              <w:rPr>
                <w:rFonts w:ascii="宋体" w:hAnsi="宋体"/>
                <w:snapToGrid w:val="0"/>
                <w:kern w:val="0"/>
                <w:sz w:val="28"/>
                <w:szCs w:val="28"/>
              </w:rPr>
            </w:pPr>
          </w:p>
        </w:tc>
        <w:tc>
          <w:tcPr>
            <w:tcW w:w="1275" w:type="dxa"/>
            <w:vAlign w:val="center"/>
          </w:tcPr>
          <w:p w14:paraId="4428453D">
            <w:pPr>
              <w:autoSpaceDE w:val="0"/>
              <w:autoSpaceDN w:val="0"/>
              <w:adjustRightInd w:val="0"/>
              <w:snapToGrid w:val="0"/>
              <w:jc w:val="left"/>
              <w:rPr>
                <w:rFonts w:ascii="宋体" w:hAnsi="宋体"/>
                <w:snapToGrid w:val="0"/>
                <w:kern w:val="0"/>
                <w:sz w:val="28"/>
                <w:szCs w:val="28"/>
              </w:rPr>
            </w:pPr>
          </w:p>
        </w:tc>
        <w:tc>
          <w:tcPr>
            <w:tcW w:w="1276" w:type="dxa"/>
            <w:vAlign w:val="center"/>
          </w:tcPr>
          <w:p w14:paraId="1A0792D0">
            <w:pPr>
              <w:autoSpaceDE w:val="0"/>
              <w:autoSpaceDN w:val="0"/>
              <w:adjustRightInd w:val="0"/>
              <w:snapToGrid w:val="0"/>
              <w:jc w:val="left"/>
              <w:rPr>
                <w:rFonts w:ascii="宋体" w:hAnsi="宋体"/>
                <w:snapToGrid w:val="0"/>
                <w:kern w:val="0"/>
                <w:sz w:val="28"/>
                <w:szCs w:val="28"/>
              </w:rPr>
            </w:pPr>
          </w:p>
        </w:tc>
        <w:tc>
          <w:tcPr>
            <w:tcW w:w="1134" w:type="dxa"/>
            <w:vAlign w:val="center"/>
          </w:tcPr>
          <w:p w14:paraId="749CC111">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2D96CB40">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7C3C2701">
            <w:pPr>
              <w:autoSpaceDE w:val="0"/>
              <w:autoSpaceDN w:val="0"/>
              <w:adjustRightInd w:val="0"/>
              <w:snapToGrid w:val="0"/>
              <w:jc w:val="left"/>
              <w:rPr>
                <w:rFonts w:ascii="宋体" w:hAnsi="宋体"/>
                <w:snapToGrid w:val="0"/>
                <w:kern w:val="0"/>
                <w:sz w:val="28"/>
                <w:szCs w:val="28"/>
              </w:rPr>
            </w:pPr>
          </w:p>
        </w:tc>
        <w:tc>
          <w:tcPr>
            <w:tcW w:w="1020" w:type="dxa"/>
            <w:vAlign w:val="center"/>
          </w:tcPr>
          <w:p w14:paraId="4A5521B5">
            <w:pPr>
              <w:autoSpaceDE w:val="0"/>
              <w:autoSpaceDN w:val="0"/>
              <w:adjustRightInd w:val="0"/>
              <w:snapToGrid w:val="0"/>
              <w:jc w:val="left"/>
              <w:rPr>
                <w:rFonts w:ascii="宋体" w:hAnsi="宋体"/>
                <w:snapToGrid w:val="0"/>
                <w:kern w:val="0"/>
                <w:sz w:val="28"/>
                <w:szCs w:val="28"/>
              </w:rPr>
            </w:pPr>
          </w:p>
        </w:tc>
      </w:tr>
      <w:tr w14:paraId="3FBFE7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0CFA8F01">
            <w:pPr>
              <w:autoSpaceDE w:val="0"/>
              <w:autoSpaceDN w:val="0"/>
              <w:adjustRightInd w:val="0"/>
              <w:snapToGrid w:val="0"/>
              <w:jc w:val="left"/>
              <w:rPr>
                <w:rFonts w:ascii="宋体" w:hAnsi="宋体"/>
                <w:snapToGrid w:val="0"/>
                <w:kern w:val="0"/>
                <w:sz w:val="28"/>
                <w:szCs w:val="28"/>
              </w:rPr>
            </w:pPr>
          </w:p>
        </w:tc>
        <w:tc>
          <w:tcPr>
            <w:tcW w:w="3827" w:type="dxa"/>
            <w:vAlign w:val="center"/>
          </w:tcPr>
          <w:p w14:paraId="2DF9CA1A">
            <w:pPr>
              <w:autoSpaceDE w:val="0"/>
              <w:autoSpaceDN w:val="0"/>
              <w:adjustRightInd w:val="0"/>
              <w:snapToGrid w:val="0"/>
              <w:jc w:val="left"/>
              <w:rPr>
                <w:rFonts w:ascii="宋体" w:hAnsi="宋体"/>
                <w:snapToGrid w:val="0"/>
                <w:kern w:val="0"/>
                <w:sz w:val="28"/>
                <w:szCs w:val="28"/>
              </w:rPr>
            </w:pPr>
          </w:p>
        </w:tc>
        <w:tc>
          <w:tcPr>
            <w:tcW w:w="1134" w:type="dxa"/>
            <w:vAlign w:val="center"/>
          </w:tcPr>
          <w:p w14:paraId="082B163E">
            <w:pPr>
              <w:autoSpaceDE w:val="0"/>
              <w:autoSpaceDN w:val="0"/>
              <w:adjustRightInd w:val="0"/>
              <w:snapToGrid w:val="0"/>
              <w:jc w:val="left"/>
              <w:rPr>
                <w:rFonts w:ascii="宋体" w:hAnsi="宋体"/>
                <w:snapToGrid w:val="0"/>
                <w:kern w:val="0"/>
                <w:sz w:val="28"/>
                <w:szCs w:val="28"/>
              </w:rPr>
            </w:pPr>
          </w:p>
        </w:tc>
        <w:tc>
          <w:tcPr>
            <w:tcW w:w="1418" w:type="dxa"/>
            <w:vAlign w:val="center"/>
          </w:tcPr>
          <w:p w14:paraId="69941BC5">
            <w:pPr>
              <w:autoSpaceDE w:val="0"/>
              <w:autoSpaceDN w:val="0"/>
              <w:adjustRightInd w:val="0"/>
              <w:snapToGrid w:val="0"/>
              <w:jc w:val="left"/>
              <w:rPr>
                <w:rFonts w:ascii="宋体" w:hAnsi="宋体"/>
                <w:snapToGrid w:val="0"/>
                <w:kern w:val="0"/>
                <w:sz w:val="28"/>
                <w:szCs w:val="28"/>
              </w:rPr>
            </w:pPr>
          </w:p>
        </w:tc>
        <w:tc>
          <w:tcPr>
            <w:tcW w:w="1275" w:type="dxa"/>
            <w:vAlign w:val="center"/>
          </w:tcPr>
          <w:p w14:paraId="75012D24">
            <w:pPr>
              <w:autoSpaceDE w:val="0"/>
              <w:autoSpaceDN w:val="0"/>
              <w:adjustRightInd w:val="0"/>
              <w:snapToGrid w:val="0"/>
              <w:jc w:val="left"/>
              <w:rPr>
                <w:rFonts w:ascii="宋体" w:hAnsi="宋体"/>
                <w:snapToGrid w:val="0"/>
                <w:kern w:val="0"/>
                <w:sz w:val="28"/>
                <w:szCs w:val="28"/>
              </w:rPr>
            </w:pPr>
          </w:p>
        </w:tc>
        <w:tc>
          <w:tcPr>
            <w:tcW w:w="1276" w:type="dxa"/>
            <w:vAlign w:val="center"/>
          </w:tcPr>
          <w:p w14:paraId="63B716E4">
            <w:pPr>
              <w:autoSpaceDE w:val="0"/>
              <w:autoSpaceDN w:val="0"/>
              <w:adjustRightInd w:val="0"/>
              <w:snapToGrid w:val="0"/>
              <w:jc w:val="left"/>
              <w:rPr>
                <w:rFonts w:ascii="宋体" w:hAnsi="宋体"/>
                <w:snapToGrid w:val="0"/>
                <w:kern w:val="0"/>
                <w:sz w:val="28"/>
                <w:szCs w:val="28"/>
              </w:rPr>
            </w:pPr>
          </w:p>
        </w:tc>
        <w:tc>
          <w:tcPr>
            <w:tcW w:w="1134" w:type="dxa"/>
            <w:vAlign w:val="center"/>
          </w:tcPr>
          <w:p w14:paraId="72F7BBFE">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0D644BEA">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6C589EC6">
            <w:pPr>
              <w:autoSpaceDE w:val="0"/>
              <w:autoSpaceDN w:val="0"/>
              <w:adjustRightInd w:val="0"/>
              <w:snapToGrid w:val="0"/>
              <w:jc w:val="left"/>
              <w:rPr>
                <w:rFonts w:ascii="宋体" w:hAnsi="宋体"/>
                <w:snapToGrid w:val="0"/>
                <w:kern w:val="0"/>
                <w:sz w:val="28"/>
                <w:szCs w:val="28"/>
              </w:rPr>
            </w:pPr>
          </w:p>
        </w:tc>
        <w:tc>
          <w:tcPr>
            <w:tcW w:w="1020" w:type="dxa"/>
            <w:vAlign w:val="center"/>
          </w:tcPr>
          <w:p w14:paraId="35B542FB">
            <w:pPr>
              <w:autoSpaceDE w:val="0"/>
              <w:autoSpaceDN w:val="0"/>
              <w:adjustRightInd w:val="0"/>
              <w:snapToGrid w:val="0"/>
              <w:jc w:val="left"/>
              <w:rPr>
                <w:rFonts w:ascii="宋体" w:hAnsi="宋体"/>
                <w:snapToGrid w:val="0"/>
                <w:kern w:val="0"/>
                <w:sz w:val="28"/>
                <w:szCs w:val="28"/>
              </w:rPr>
            </w:pPr>
          </w:p>
        </w:tc>
      </w:tr>
      <w:tr w14:paraId="7456DD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39C3B217">
            <w:pPr>
              <w:autoSpaceDE w:val="0"/>
              <w:autoSpaceDN w:val="0"/>
              <w:adjustRightInd w:val="0"/>
              <w:snapToGrid w:val="0"/>
              <w:jc w:val="left"/>
              <w:rPr>
                <w:rFonts w:ascii="宋体" w:hAnsi="宋体"/>
                <w:snapToGrid w:val="0"/>
                <w:kern w:val="0"/>
                <w:sz w:val="28"/>
                <w:szCs w:val="28"/>
              </w:rPr>
            </w:pPr>
          </w:p>
        </w:tc>
        <w:tc>
          <w:tcPr>
            <w:tcW w:w="3827" w:type="dxa"/>
            <w:vAlign w:val="center"/>
          </w:tcPr>
          <w:p w14:paraId="465AC33F">
            <w:pPr>
              <w:autoSpaceDE w:val="0"/>
              <w:autoSpaceDN w:val="0"/>
              <w:adjustRightInd w:val="0"/>
              <w:snapToGrid w:val="0"/>
              <w:jc w:val="left"/>
              <w:rPr>
                <w:rFonts w:ascii="宋体" w:hAnsi="宋体"/>
                <w:snapToGrid w:val="0"/>
                <w:kern w:val="0"/>
                <w:sz w:val="28"/>
                <w:szCs w:val="28"/>
              </w:rPr>
            </w:pPr>
          </w:p>
        </w:tc>
        <w:tc>
          <w:tcPr>
            <w:tcW w:w="1134" w:type="dxa"/>
            <w:vAlign w:val="center"/>
          </w:tcPr>
          <w:p w14:paraId="17B37881">
            <w:pPr>
              <w:autoSpaceDE w:val="0"/>
              <w:autoSpaceDN w:val="0"/>
              <w:adjustRightInd w:val="0"/>
              <w:snapToGrid w:val="0"/>
              <w:jc w:val="left"/>
              <w:rPr>
                <w:rFonts w:ascii="宋体" w:hAnsi="宋体"/>
                <w:snapToGrid w:val="0"/>
                <w:kern w:val="0"/>
                <w:sz w:val="28"/>
                <w:szCs w:val="28"/>
              </w:rPr>
            </w:pPr>
          </w:p>
        </w:tc>
        <w:tc>
          <w:tcPr>
            <w:tcW w:w="1418" w:type="dxa"/>
            <w:vAlign w:val="center"/>
          </w:tcPr>
          <w:p w14:paraId="2B3DBC56">
            <w:pPr>
              <w:autoSpaceDE w:val="0"/>
              <w:autoSpaceDN w:val="0"/>
              <w:adjustRightInd w:val="0"/>
              <w:snapToGrid w:val="0"/>
              <w:jc w:val="left"/>
              <w:rPr>
                <w:rFonts w:ascii="宋体" w:hAnsi="宋体"/>
                <w:snapToGrid w:val="0"/>
                <w:kern w:val="0"/>
                <w:sz w:val="28"/>
                <w:szCs w:val="28"/>
              </w:rPr>
            </w:pPr>
          </w:p>
        </w:tc>
        <w:tc>
          <w:tcPr>
            <w:tcW w:w="1275" w:type="dxa"/>
            <w:vAlign w:val="center"/>
          </w:tcPr>
          <w:p w14:paraId="10DEBE2A">
            <w:pPr>
              <w:autoSpaceDE w:val="0"/>
              <w:autoSpaceDN w:val="0"/>
              <w:adjustRightInd w:val="0"/>
              <w:snapToGrid w:val="0"/>
              <w:jc w:val="left"/>
              <w:rPr>
                <w:rFonts w:ascii="宋体" w:hAnsi="宋体"/>
                <w:snapToGrid w:val="0"/>
                <w:kern w:val="0"/>
                <w:sz w:val="28"/>
                <w:szCs w:val="28"/>
              </w:rPr>
            </w:pPr>
          </w:p>
        </w:tc>
        <w:tc>
          <w:tcPr>
            <w:tcW w:w="1276" w:type="dxa"/>
            <w:vAlign w:val="center"/>
          </w:tcPr>
          <w:p w14:paraId="7D067199">
            <w:pPr>
              <w:autoSpaceDE w:val="0"/>
              <w:autoSpaceDN w:val="0"/>
              <w:adjustRightInd w:val="0"/>
              <w:snapToGrid w:val="0"/>
              <w:jc w:val="left"/>
              <w:rPr>
                <w:rFonts w:ascii="宋体" w:hAnsi="宋体"/>
                <w:snapToGrid w:val="0"/>
                <w:kern w:val="0"/>
                <w:sz w:val="28"/>
                <w:szCs w:val="28"/>
              </w:rPr>
            </w:pPr>
          </w:p>
        </w:tc>
        <w:tc>
          <w:tcPr>
            <w:tcW w:w="1134" w:type="dxa"/>
            <w:vAlign w:val="center"/>
          </w:tcPr>
          <w:p w14:paraId="49EF8F64">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4531BA4B">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27DE7CC2">
            <w:pPr>
              <w:autoSpaceDE w:val="0"/>
              <w:autoSpaceDN w:val="0"/>
              <w:adjustRightInd w:val="0"/>
              <w:snapToGrid w:val="0"/>
              <w:jc w:val="left"/>
              <w:rPr>
                <w:rFonts w:ascii="宋体" w:hAnsi="宋体"/>
                <w:snapToGrid w:val="0"/>
                <w:kern w:val="0"/>
                <w:sz w:val="28"/>
                <w:szCs w:val="28"/>
              </w:rPr>
            </w:pPr>
          </w:p>
        </w:tc>
        <w:tc>
          <w:tcPr>
            <w:tcW w:w="1020" w:type="dxa"/>
            <w:vAlign w:val="center"/>
          </w:tcPr>
          <w:p w14:paraId="40D7617C">
            <w:pPr>
              <w:autoSpaceDE w:val="0"/>
              <w:autoSpaceDN w:val="0"/>
              <w:adjustRightInd w:val="0"/>
              <w:snapToGrid w:val="0"/>
              <w:jc w:val="left"/>
              <w:rPr>
                <w:rFonts w:ascii="宋体" w:hAnsi="宋体"/>
                <w:snapToGrid w:val="0"/>
                <w:kern w:val="0"/>
                <w:sz w:val="28"/>
                <w:szCs w:val="28"/>
              </w:rPr>
            </w:pPr>
          </w:p>
        </w:tc>
      </w:tr>
      <w:tr w14:paraId="33B009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jc w:val="center"/>
        </w:trPr>
        <w:tc>
          <w:tcPr>
            <w:tcW w:w="597" w:type="dxa"/>
            <w:vAlign w:val="center"/>
          </w:tcPr>
          <w:p w14:paraId="6C74443F">
            <w:pPr>
              <w:autoSpaceDE w:val="0"/>
              <w:autoSpaceDN w:val="0"/>
              <w:adjustRightInd w:val="0"/>
              <w:snapToGrid w:val="0"/>
              <w:jc w:val="left"/>
              <w:rPr>
                <w:rFonts w:ascii="宋体" w:hAnsi="宋体"/>
                <w:snapToGrid w:val="0"/>
                <w:kern w:val="0"/>
                <w:sz w:val="28"/>
                <w:szCs w:val="28"/>
              </w:rPr>
            </w:pPr>
          </w:p>
        </w:tc>
        <w:tc>
          <w:tcPr>
            <w:tcW w:w="3827" w:type="dxa"/>
            <w:vAlign w:val="center"/>
          </w:tcPr>
          <w:p w14:paraId="41D9EDD9">
            <w:pPr>
              <w:autoSpaceDE w:val="0"/>
              <w:autoSpaceDN w:val="0"/>
              <w:adjustRightInd w:val="0"/>
              <w:snapToGrid w:val="0"/>
              <w:jc w:val="left"/>
              <w:rPr>
                <w:rFonts w:ascii="宋体" w:hAnsi="宋体"/>
                <w:snapToGrid w:val="0"/>
                <w:kern w:val="0"/>
                <w:sz w:val="28"/>
                <w:szCs w:val="28"/>
              </w:rPr>
            </w:pPr>
          </w:p>
        </w:tc>
        <w:tc>
          <w:tcPr>
            <w:tcW w:w="1134" w:type="dxa"/>
            <w:vAlign w:val="center"/>
          </w:tcPr>
          <w:p w14:paraId="3A715B74">
            <w:pPr>
              <w:autoSpaceDE w:val="0"/>
              <w:autoSpaceDN w:val="0"/>
              <w:adjustRightInd w:val="0"/>
              <w:snapToGrid w:val="0"/>
              <w:jc w:val="left"/>
              <w:rPr>
                <w:rFonts w:ascii="宋体" w:hAnsi="宋体"/>
                <w:snapToGrid w:val="0"/>
                <w:kern w:val="0"/>
                <w:sz w:val="28"/>
                <w:szCs w:val="28"/>
              </w:rPr>
            </w:pPr>
          </w:p>
        </w:tc>
        <w:tc>
          <w:tcPr>
            <w:tcW w:w="1418" w:type="dxa"/>
            <w:vAlign w:val="center"/>
          </w:tcPr>
          <w:p w14:paraId="7BAA59DF">
            <w:pPr>
              <w:autoSpaceDE w:val="0"/>
              <w:autoSpaceDN w:val="0"/>
              <w:adjustRightInd w:val="0"/>
              <w:snapToGrid w:val="0"/>
              <w:jc w:val="left"/>
              <w:rPr>
                <w:rFonts w:ascii="宋体" w:hAnsi="宋体"/>
                <w:snapToGrid w:val="0"/>
                <w:kern w:val="0"/>
                <w:sz w:val="28"/>
                <w:szCs w:val="28"/>
              </w:rPr>
            </w:pPr>
          </w:p>
        </w:tc>
        <w:tc>
          <w:tcPr>
            <w:tcW w:w="1275" w:type="dxa"/>
            <w:vAlign w:val="center"/>
          </w:tcPr>
          <w:p w14:paraId="7328A069">
            <w:pPr>
              <w:autoSpaceDE w:val="0"/>
              <w:autoSpaceDN w:val="0"/>
              <w:adjustRightInd w:val="0"/>
              <w:snapToGrid w:val="0"/>
              <w:jc w:val="left"/>
              <w:rPr>
                <w:rFonts w:ascii="宋体" w:hAnsi="宋体"/>
                <w:snapToGrid w:val="0"/>
                <w:kern w:val="0"/>
                <w:sz w:val="28"/>
                <w:szCs w:val="28"/>
              </w:rPr>
            </w:pPr>
          </w:p>
        </w:tc>
        <w:tc>
          <w:tcPr>
            <w:tcW w:w="1276" w:type="dxa"/>
            <w:vAlign w:val="center"/>
          </w:tcPr>
          <w:p w14:paraId="20906429">
            <w:pPr>
              <w:autoSpaceDE w:val="0"/>
              <w:autoSpaceDN w:val="0"/>
              <w:adjustRightInd w:val="0"/>
              <w:snapToGrid w:val="0"/>
              <w:jc w:val="left"/>
              <w:rPr>
                <w:rFonts w:ascii="宋体" w:hAnsi="宋体"/>
                <w:snapToGrid w:val="0"/>
                <w:kern w:val="0"/>
                <w:sz w:val="28"/>
                <w:szCs w:val="28"/>
              </w:rPr>
            </w:pPr>
          </w:p>
        </w:tc>
        <w:tc>
          <w:tcPr>
            <w:tcW w:w="1134" w:type="dxa"/>
            <w:vAlign w:val="center"/>
          </w:tcPr>
          <w:p w14:paraId="09A83664">
            <w:pPr>
              <w:autoSpaceDE w:val="0"/>
              <w:autoSpaceDN w:val="0"/>
              <w:adjustRightInd w:val="0"/>
              <w:snapToGrid w:val="0"/>
              <w:jc w:val="left"/>
              <w:rPr>
                <w:rFonts w:ascii="宋体" w:hAnsi="宋体"/>
                <w:snapToGrid w:val="0"/>
                <w:kern w:val="0"/>
                <w:sz w:val="28"/>
                <w:szCs w:val="28"/>
              </w:rPr>
            </w:pPr>
          </w:p>
        </w:tc>
        <w:tc>
          <w:tcPr>
            <w:tcW w:w="1134" w:type="dxa"/>
            <w:tcBorders>
              <w:right w:val="single" w:color="auto" w:sz="4" w:space="0"/>
            </w:tcBorders>
            <w:vAlign w:val="center"/>
          </w:tcPr>
          <w:p w14:paraId="1B82AE83">
            <w:pPr>
              <w:autoSpaceDE w:val="0"/>
              <w:autoSpaceDN w:val="0"/>
              <w:adjustRightInd w:val="0"/>
              <w:snapToGrid w:val="0"/>
              <w:jc w:val="left"/>
              <w:rPr>
                <w:rFonts w:ascii="宋体" w:hAnsi="宋体"/>
                <w:snapToGrid w:val="0"/>
                <w:kern w:val="0"/>
                <w:sz w:val="28"/>
                <w:szCs w:val="28"/>
              </w:rPr>
            </w:pPr>
          </w:p>
        </w:tc>
        <w:tc>
          <w:tcPr>
            <w:tcW w:w="906" w:type="dxa"/>
            <w:tcBorders>
              <w:left w:val="single" w:color="auto" w:sz="4" w:space="0"/>
            </w:tcBorders>
            <w:vAlign w:val="center"/>
          </w:tcPr>
          <w:p w14:paraId="7A227AB3">
            <w:pPr>
              <w:autoSpaceDE w:val="0"/>
              <w:autoSpaceDN w:val="0"/>
              <w:adjustRightInd w:val="0"/>
              <w:snapToGrid w:val="0"/>
              <w:jc w:val="left"/>
              <w:rPr>
                <w:rFonts w:ascii="宋体" w:hAnsi="宋体"/>
                <w:snapToGrid w:val="0"/>
                <w:kern w:val="0"/>
                <w:sz w:val="28"/>
                <w:szCs w:val="28"/>
              </w:rPr>
            </w:pPr>
          </w:p>
        </w:tc>
        <w:tc>
          <w:tcPr>
            <w:tcW w:w="1020" w:type="dxa"/>
            <w:vAlign w:val="center"/>
          </w:tcPr>
          <w:p w14:paraId="182977A7">
            <w:pPr>
              <w:autoSpaceDE w:val="0"/>
              <w:autoSpaceDN w:val="0"/>
              <w:adjustRightInd w:val="0"/>
              <w:snapToGrid w:val="0"/>
              <w:jc w:val="left"/>
              <w:rPr>
                <w:rFonts w:ascii="宋体" w:hAnsi="宋体"/>
                <w:snapToGrid w:val="0"/>
                <w:kern w:val="0"/>
                <w:sz w:val="28"/>
                <w:szCs w:val="28"/>
              </w:rPr>
            </w:pPr>
          </w:p>
        </w:tc>
      </w:tr>
      <w:tr w14:paraId="2493D42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79" w:hRule="atLeast"/>
          <w:jc w:val="center"/>
        </w:trPr>
        <w:tc>
          <w:tcPr>
            <w:tcW w:w="4424" w:type="dxa"/>
            <w:gridSpan w:val="2"/>
            <w:vAlign w:val="center"/>
          </w:tcPr>
          <w:p w14:paraId="09DA6294">
            <w:pPr>
              <w:autoSpaceDE w:val="0"/>
              <w:autoSpaceDN w:val="0"/>
              <w:adjustRightInd w:val="0"/>
              <w:snapToGrid w:val="0"/>
              <w:jc w:val="center"/>
              <w:rPr>
                <w:rFonts w:ascii="宋体" w:hAnsi="宋体"/>
                <w:snapToGrid w:val="0"/>
                <w:kern w:val="0"/>
                <w:szCs w:val="21"/>
              </w:rPr>
            </w:pPr>
            <w:r>
              <w:rPr>
                <w:rFonts w:ascii="宋体" w:hAnsi="宋体"/>
                <w:snapToGrid w:val="0"/>
                <w:kern w:val="0"/>
                <w:szCs w:val="21"/>
              </w:rPr>
              <w:t>最高限价</w:t>
            </w:r>
          </w:p>
        </w:tc>
        <w:tc>
          <w:tcPr>
            <w:tcW w:w="9297" w:type="dxa"/>
            <w:gridSpan w:val="8"/>
            <w:vAlign w:val="center"/>
          </w:tcPr>
          <w:p w14:paraId="761786B9">
            <w:pPr>
              <w:autoSpaceDE w:val="0"/>
              <w:autoSpaceDN w:val="0"/>
              <w:adjustRightInd w:val="0"/>
              <w:snapToGrid w:val="0"/>
              <w:jc w:val="left"/>
              <w:rPr>
                <w:rFonts w:ascii="宋体" w:hAnsi="宋体"/>
                <w:snapToGrid w:val="0"/>
                <w:kern w:val="0"/>
                <w:szCs w:val="21"/>
              </w:rPr>
            </w:pPr>
          </w:p>
        </w:tc>
      </w:tr>
      <w:tr w14:paraId="1A837A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0A972820">
            <w:pPr>
              <w:autoSpaceDE w:val="0"/>
              <w:autoSpaceDN w:val="0"/>
              <w:adjustRightInd w:val="0"/>
              <w:snapToGrid w:val="0"/>
              <w:jc w:val="center"/>
              <w:rPr>
                <w:rFonts w:ascii="宋体" w:hAnsi="宋体"/>
                <w:snapToGrid w:val="0"/>
                <w:kern w:val="0"/>
                <w:szCs w:val="21"/>
              </w:rPr>
            </w:pPr>
            <w:r>
              <w:rPr>
                <w:rFonts w:hint="eastAsia"/>
                <w:szCs w:val="21"/>
              </w:rPr>
              <w:t>最高限价的8</w:t>
            </w:r>
            <w:r>
              <w:rPr>
                <w:szCs w:val="21"/>
              </w:rPr>
              <w:t>5</w:t>
            </w:r>
            <w:r>
              <w:rPr>
                <w:rFonts w:hint="eastAsia"/>
                <w:szCs w:val="21"/>
              </w:rPr>
              <w:t>%</w:t>
            </w:r>
          </w:p>
        </w:tc>
        <w:tc>
          <w:tcPr>
            <w:tcW w:w="9297" w:type="dxa"/>
            <w:gridSpan w:val="8"/>
            <w:vAlign w:val="center"/>
          </w:tcPr>
          <w:p w14:paraId="610A4D9B">
            <w:pPr>
              <w:autoSpaceDE w:val="0"/>
              <w:autoSpaceDN w:val="0"/>
              <w:adjustRightInd w:val="0"/>
              <w:snapToGrid w:val="0"/>
              <w:ind w:firstLine="420" w:firstLineChars="200"/>
              <w:jc w:val="left"/>
              <w:rPr>
                <w:rFonts w:ascii="宋体" w:hAnsi="宋体"/>
                <w:snapToGrid w:val="0"/>
                <w:kern w:val="0"/>
                <w:szCs w:val="21"/>
              </w:rPr>
            </w:pPr>
            <w:r>
              <w:rPr>
                <w:rFonts w:hint="eastAsia" w:ascii="宋体" w:hAnsi="宋体"/>
                <w:i/>
                <w:kern w:val="0"/>
                <w:szCs w:val="21"/>
              </w:rPr>
              <w:t>[提示：经评审的最低投标价法适用]</w:t>
            </w:r>
          </w:p>
        </w:tc>
      </w:tr>
      <w:tr w14:paraId="1C10CB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39" w:hRule="atLeast"/>
          <w:jc w:val="center"/>
        </w:trPr>
        <w:tc>
          <w:tcPr>
            <w:tcW w:w="4424" w:type="dxa"/>
            <w:gridSpan w:val="2"/>
            <w:vAlign w:val="center"/>
          </w:tcPr>
          <w:p w14:paraId="790E0366">
            <w:pPr>
              <w:autoSpaceDE w:val="0"/>
              <w:autoSpaceDN w:val="0"/>
              <w:adjustRightInd w:val="0"/>
              <w:snapToGrid w:val="0"/>
              <w:jc w:val="center"/>
              <w:rPr>
                <w:szCs w:val="21"/>
              </w:rPr>
            </w:pPr>
            <w:r>
              <w:rPr>
                <w:rFonts w:hint="eastAsia"/>
                <w:szCs w:val="21"/>
              </w:rPr>
              <w:t>异常情况</w:t>
            </w:r>
          </w:p>
        </w:tc>
        <w:tc>
          <w:tcPr>
            <w:tcW w:w="9297" w:type="dxa"/>
            <w:gridSpan w:val="8"/>
            <w:vAlign w:val="center"/>
          </w:tcPr>
          <w:p w14:paraId="4CF3FC54">
            <w:pPr>
              <w:autoSpaceDE w:val="0"/>
              <w:autoSpaceDN w:val="0"/>
              <w:adjustRightInd w:val="0"/>
              <w:snapToGrid w:val="0"/>
              <w:ind w:firstLine="420" w:firstLineChars="200"/>
              <w:jc w:val="left"/>
              <w:rPr>
                <w:rFonts w:hint="eastAsia" w:ascii="宋体" w:hAnsi="宋体"/>
                <w:i/>
                <w:kern w:val="0"/>
                <w:szCs w:val="21"/>
              </w:rPr>
            </w:pPr>
          </w:p>
        </w:tc>
      </w:tr>
    </w:tbl>
    <w:p w14:paraId="3735A7B3">
      <w:pPr>
        <w:tabs>
          <w:tab w:val="left" w:pos="2740"/>
          <w:tab w:val="left" w:pos="4940"/>
          <w:tab w:val="left" w:pos="7140"/>
        </w:tabs>
        <w:autoSpaceDE w:val="0"/>
        <w:autoSpaceDN w:val="0"/>
        <w:adjustRightInd w:val="0"/>
        <w:snapToGrid w:val="0"/>
        <w:spacing w:line="360" w:lineRule="auto"/>
        <w:jc w:val="left"/>
        <w:rPr>
          <w:rFonts w:ascii="宋体" w:hAnsi="宋体"/>
          <w:snapToGrid w:val="0"/>
          <w:kern w:val="0"/>
          <w:szCs w:val="21"/>
        </w:rPr>
      </w:pPr>
    </w:p>
    <w:p w14:paraId="3C9A21D8">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hint="eastAsia" w:ascii="宋体" w:hAnsi="宋体"/>
          <w:snapToGrid w:val="0"/>
          <w:kern w:val="0"/>
          <w:szCs w:val="21"/>
        </w:rPr>
        <w:t>主持人</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2AFD57D1">
      <w:pPr>
        <w:autoSpaceDE w:val="0"/>
        <w:autoSpaceDN w:val="0"/>
        <w:adjustRightInd w:val="0"/>
        <w:snapToGrid w:val="0"/>
        <w:spacing w:before="62" w:beforeLines="20" w:line="360" w:lineRule="auto"/>
        <w:jc w:val="right"/>
        <w:rPr>
          <w:rFonts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14:paraId="0C3DDA0D">
      <w:pPr>
        <w:autoSpaceDE w:val="0"/>
        <w:autoSpaceDN w:val="0"/>
        <w:adjustRightInd w:val="0"/>
        <w:snapToGrid w:val="0"/>
        <w:spacing w:before="62" w:beforeLines="20" w:line="360" w:lineRule="auto"/>
        <w:rPr>
          <w:rFonts w:ascii="宋体" w:hAnsi="宋体"/>
          <w:snapToGrid w:val="0"/>
          <w:kern w:val="0"/>
          <w:sz w:val="24"/>
        </w:rPr>
      </w:pPr>
      <w:r>
        <w:rPr>
          <w:rFonts w:ascii="宋体" w:hAnsi="宋体"/>
          <w:snapToGrid w:val="0"/>
          <w:kern w:val="0"/>
          <w:szCs w:val="21"/>
        </w:rPr>
        <w:br w:type="page"/>
      </w:r>
      <w:r>
        <w:rPr>
          <w:rFonts w:ascii="宋体" w:hAnsi="宋体"/>
          <w:b/>
          <w:snapToGrid w:val="0"/>
          <w:kern w:val="0"/>
        </w:rPr>
        <w:t>附表</w:t>
      </w:r>
      <w:r>
        <w:rPr>
          <w:rFonts w:hint="eastAsia" w:ascii="宋体" w:hAnsi="宋体"/>
          <w:b/>
          <w:snapToGrid w:val="0"/>
          <w:kern w:val="0"/>
        </w:rPr>
        <w:t>二</w:t>
      </w:r>
      <w:r>
        <w:rPr>
          <w:rFonts w:ascii="宋体" w:hAnsi="宋体"/>
          <w:b/>
          <w:snapToGrid w:val="0"/>
          <w:kern w:val="0"/>
        </w:rPr>
        <w:t>：纸质投标保函递交情况一览表（如有）</w:t>
      </w:r>
    </w:p>
    <w:p w14:paraId="2B419D40">
      <w:pPr>
        <w:autoSpaceDE w:val="0"/>
        <w:autoSpaceDN w:val="0"/>
        <w:adjustRightInd w:val="0"/>
        <w:snapToGrid w:val="0"/>
        <w:spacing w:before="62" w:beforeLines="20" w:line="360" w:lineRule="auto"/>
        <w:jc w:val="center"/>
        <w:rPr>
          <w:rFonts w:hint="eastAsia" w:ascii="宋体" w:hAnsi="宋体"/>
          <w:szCs w:val="21"/>
        </w:rPr>
      </w:pPr>
      <w:r>
        <w:rPr>
          <w:rFonts w:hint="eastAsia" w:ascii="宋体" w:hAnsi="宋体" w:cs="MingLiU"/>
          <w:snapToGrid w:val="0"/>
          <w:w w:val="198"/>
          <w:kern w:val="0"/>
          <w:sz w:val="28"/>
          <w:szCs w:val="28"/>
          <w:u w:val="single"/>
        </w:rPr>
        <w:t xml:space="preserve">              </w:t>
      </w:r>
      <w:r>
        <w:rPr>
          <w:rFonts w:hint="eastAsia" w:ascii="宋体" w:hAnsi="宋体"/>
          <w:snapToGrid w:val="0"/>
          <w:kern w:val="0"/>
          <w:sz w:val="28"/>
          <w:szCs w:val="28"/>
          <w:u w:val="single"/>
        </w:rPr>
        <w:t xml:space="preserve"> </w:t>
      </w:r>
      <w:r>
        <w:rPr>
          <w:rFonts w:ascii="宋体" w:hAnsi="宋体"/>
          <w:b/>
          <w:snapToGrid w:val="0"/>
          <w:w w:val="99"/>
          <w:kern w:val="0"/>
          <w:sz w:val="28"/>
          <w:szCs w:val="28"/>
          <w:u w:val="single"/>
        </w:rPr>
        <w:t>（项目名称）纸质投标保函</w:t>
      </w:r>
      <w:r>
        <w:rPr>
          <w:rFonts w:hint="eastAsia" w:ascii="宋体" w:hAnsi="宋体"/>
          <w:b/>
          <w:snapToGrid w:val="0"/>
          <w:w w:val="99"/>
          <w:kern w:val="0"/>
          <w:sz w:val="28"/>
          <w:szCs w:val="28"/>
          <w:u w:val="single"/>
        </w:rPr>
        <w:t>递交</w:t>
      </w:r>
      <w:r>
        <w:rPr>
          <w:rFonts w:ascii="宋体" w:hAnsi="宋体"/>
          <w:b/>
          <w:snapToGrid w:val="0"/>
          <w:w w:val="99"/>
          <w:kern w:val="0"/>
          <w:sz w:val="28"/>
          <w:szCs w:val="28"/>
          <w:u w:val="single"/>
        </w:rPr>
        <w:t>情况一览表</w:t>
      </w:r>
    </w:p>
    <w:p w14:paraId="0AB53149">
      <w:pPr>
        <w:autoSpaceDE w:val="0"/>
        <w:autoSpaceDN w:val="0"/>
        <w:adjustRightInd w:val="0"/>
        <w:snapToGrid w:val="0"/>
        <w:spacing w:before="62" w:beforeLines="20" w:line="360" w:lineRule="auto"/>
        <w:ind w:firstLine="8610" w:firstLineChars="4100"/>
        <w:rPr>
          <w:rFonts w:hint="eastAsia" w:ascii="宋体" w:hAnsi="宋体"/>
          <w:szCs w:val="21"/>
        </w:rPr>
      </w:pPr>
      <w:r>
        <w:rPr>
          <w:rFonts w:hint="eastAsia" w:ascii="宋体" w:hAnsi="宋体"/>
          <w:snapToGrid w:val="0"/>
          <w:kern w:val="0"/>
          <w:szCs w:val="21"/>
        </w:rPr>
        <w:t>投标截止时间</w:t>
      </w:r>
      <w:r>
        <w:rPr>
          <w:rFonts w:ascii="宋体" w:hAnsi="宋体"/>
          <w:snapToGrid w:val="0"/>
          <w:kern w:val="0"/>
          <w:szCs w:val="21"/>
        </w:rPr>
        <w:t>：</w:t>
      </w:r>
      <w:r>
        <w:rPr>
          <w:rFonts w:hint="eastAsia" w:ascii="宋体" w:hAnsi="宋体" w:cs="MingLiU"/>
          <w:snapToGrid w:val="0"/>
          <w:w w:val="200"/>
          <w:kern w:val="0"/>
          <w:szCs w:val="21"/>
          <w:u w:val="single"/>
        </w:rPr>
        <w:t xml:space="preserve">     </w:t>
      </w:r>
      <w:r>
        <w:rPr>
          <w:rFonts w:hint="eastAsia" w:ascii="宋体" w:hAnsi="宋体" w:cs="MingLiU"/>
          <w:snapToGrid w:val="0"/>
          <w:kern w:val="0"/>
          <w:szCs w:val="21"/>
        </w:rPr>
        <w:t>年</w:t>
      </w:r>
      <w:r>
        <w:rPr>
          <w:rFonts w:hint="eastAsia" w:ascii="宋体" w:hAnsi="宋体"/>
          <w:snapToGrid w:val="0"/>
          <w:kern w:val="0"/>
          <w:szCs w:val="21"/>
          <w:u w:val="single"/>
        </w:rPr>
        <w:t xml:space="preserve">     </w:t>
      </w:r>
      <w:r>
        <w:rPr>
          <w:rFonts w:hint="eastAsia" w:ascii="宋体" w:hAnsi="宋体" w:cs="MingLiU"/>
          <w:snapToGrid w:val="0"/>
          <w:kern w:val="0"/>
          <w:szCs w:val="21"/>
        </w:rPr>
        <w:t>月</w:t>
      </w:r>
      <w:r>
        <w:rPr>
          <w:rFonts w:hint="eastAsia" w:ascii="宋体" w:hAnsi="宋体"/>
          <w:snapToGrid w:val="0"/>
          <w:kern w:val="0"/>
          <w:szCs w:val="21"/>
          <w:u w:val="single"/>
        </w:rPr>
        <w:t xml:space="preserve">     </w:t>
      </w:r>
      <w:r>
        <w:rPr>
          <w:rFonts w:hint="eastAsia" w:ascii="宋体" w:hAnsi="宋体" w:cs="MingLiU"/>
          <w:snapToGrid w:val="0"/>
          <w:kern w:val="0"/>
          <w:szCs w:val="21"/>
        </w:rPr>
        <w:t>日</w:t>
      </w:r>
      <w:r>
        <w:rPr>
          <w:rFonts w:hint="eastAsia" w:ascii="宋体" w:hAnsi="宋体"/>
          <w:snapToGrid w:val="0"/>
          <w:kern w:val="0"/>
          <w:szCs w:val="21"/>
          <w:u w:val="single"/>
        </w:rPr>
        <w:t xml:space="preserve">     </w:t>
      </w:r>
      <w:r>
        <w:rPr>
          <w:rFonts w:hint="eastAsia" w:ascii="宋体" w:hAnsi="宋体" w:cs="MingLiU"/>
          <w:snapToGrid w:val="0"/>
          <w:kern w:val="0"/>
          <w:szCs w:val="21"/>
        </w:rPr>
        <w:t>时</w:t>
      </w:r>
      <w:r>
        <w:rPr>
          <w:rFonts w:hint="eastAsia" w:ascii="宋体" w:hAnsi="宋体"/>
          <w:snapToGrid w:val="0"/>
          <w:kern w:val="0"/>
          <w:szCs w:val="21"/>
          <w:u w:val="single"/>
        </w:rPr>
        <w:t xml:space="preserve">     </w:t>
      </w:r>
      <w:r>
        <w:rPr>
          <w:rFonts w:hint="eastAsia" w:ascii="宋体" w:hAnsi="宋体" w:cs="MingLiU"/>
          <w:snapToGrid w:val="0"/>
          <w:kern w:val="0"/>
          <w:szCs w:val="21"/>
        </w:rPr>
        <w:t>分</w:t>
      </w:r>
    </w:p>
    <w:tbl>
      <w:tblPr>
        <w:tblStyle w:val="31"/>
        <w:tblW w:w="14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4160"/>
        <w:gridCol w:w="3088"/>
        <w:gridCol w:w="2987"/>
        <w:gridCol w:w="3175"/>
      </w:tblGrid>
      <w:tr w14:paraId="309B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5C2E7701">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序号</w:t>
            </w:r>
          </w:p>
        </w:tc>
        <w:tc>
          <w:tcPr>
            <w:tcW w:w="4160" w:type="dxa"/>
            <w:vAlign w:val="top"/>
          </w:tcPr>
          <w:p w14:paraId="69727EE1">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投标人</w:t>
            </w:r>
          </w:p>
        </w:tc>
        <w:tc>
          <w:tcPr>
            <w:tcW w:w="3088" w:type="dxa"/>
            <w:vAlign w:val="top"/>
          </w:tcPr>
          <w:p w14:paraId="7630EE3E">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金额（元）</w:t>
            </w:r>
          </w:p>
        </w:tc>
        <w:tc>
          <w:tcPr>
            <w:tcW w:w="2987" w:type="dxa"/>
            <w:vAlign w:val="top"/>
          </w:tcPr>
          <w:p w14:paraId="45573531">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递交时间</w:t>
            </w:r>
          </w:p>
        </w:tc>
        <w:tc>
          <w:tcPr>
            <w:tcW w:w="3175" w:type="dxa"/>
            <w:vAlign w:val="top"/>
          </w:tcPr>
          <w:p w14:paraId="67A0F0A7">
            <w:pPr>
              <w:autoSpaceDE w:val="0"/>
              <w:autoSpaceDN w:val="0"/>
              <w:adjustRightInd w:val="0"/>
              <w:snapToGrid w:val="0"/>
              <w:spacing w:before="62" w:beforeLines="20" w:line="360" w:lineRule="auto"/>
              <w:jc w:val="center"/>
              <w:rPr>
                <w:rFonts w:ascii="宋体" w:hAnsi="宋体"/>
                <w:szCs w:val="21"/>
              </w:rPr>
            </w:pPr>
            <w:r>
              <w:rPr>
                <w:rFonts w:hint="eastAsia" w:ascii="宋体" w:hAnsi="宋体"/>
                <w:szCs w:val="21"/>
              </w:rPr>
              <w:t>备注</w:t>
            </w:r>
          </w:p>
        </w:tc>
      </w:tr>
      <w:tr w14:paraId="22D23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584F2F18">
            <w:pPr>
              <w:autoSpaceDE w:val="0"/>
              <w:autoSpaceDN w:val="0"/>
              <w:adjustRightInd w:val="0"/>
              <w:snapToGrid w:val="0"/>
              <w:spacing w:before="62" w:beforeLines="20" w:line="360" w:lineRule="auto"/>
              <w:rPr>
                <w:rFonts w:ascii="宋体" w:hAnsi="宋体"/>
                <w:szCs w:val="21"/>
              </w:rPr>
            </w:pPr>
          </w:p>
        </w:tc>
        <w:tc>
          <w:tcPr>
            <w:tcW w:w="4160" w:type="dxa"/>
            <w:vAlign w:val="top"/>
          </w:tcPr>
          <w:p w14:paraId="0C00D020">
            <w:pPr>
              <w:autoSpaceDE w:val="0"/>
              <w:autoSpaceDN w:val="0"/>
              <w:adjustRightInd w:val="0"/>
              <w:snapToGrid w:val="0"/>
              <w:spacing w:before="62" w:beforeLines="20" w:line="360" w:lineRule="auto"/>
              <w:rPr>
                <w:rFonts w:ascii="宋体" w:hAnsi="宋体"/>
                <w:szCs w:val="21"/>
              </w:rPr>
            </w:pPr>
          </w:p>
        </w:tc>
        <w:tc>
          <w:tcPr>
            <w:tcW w:w="3088" w:type="dxa"/>
            <w:vAlign w:val="top"/>
          </w:tcPr>
          <w:p w14:paraId="72893E3E">
            <w:pPr>
              <w:autoSpaceDE w:val="0"/>
              <w:autoSpaceDN w:val="0"/>
              <w:adjustRightInd w:val="0"/>
              <w:snapToGrid w:val="0"/>
              <w:spacing w:before="62" w:beforeLines="20" w:line="360" w:lineRule="auto"/>
              <w:rPr>
                <w:rFonts w:ascii="宋体" w:hAnsi="宋体"/>
                <w:szCs w:val="21"/>
              </w:rPr>
            </w:pPr>
          </w:p>
        </w:tc>
        <w:tc>
          <w:tcPr>
            <w:tcW w:w="2987" w:type="dxa"/>
            <w:vAlign w:val="top"/>
          </w:tcPr>
          <w:p w14:paraId="2A840031">
            <w:pPr>
              <w:autoSpaceDE w:val="0"/>
              <w:autoSpaceDN w:val="0"/>
              <w:adjustRightInd w:val="0"/>
              <w:snapToGrid w:val="0"/>
              <w:spacing w:before="62" w:beforeLines="20" w:line="360" w:lineRule="auto"/>
              <w:rPr>
                <w:rFonts w:ascii="宋体" w:hAnsi="宋体"/>
                <w:szCs w:val="21"/>
              </w:rPr>
            </w:pPr>
          </w:p>
        </w:tc>
        <w:tc>
          <w:tcPr>
            <w:tcW w:w="3175" w:type="dxa"/>
            <w:vAlign w:val="top"/>
          </w:tcPr>
          <w:p w14:paraId="0F96A8CE">
            <w:pPr>
              <w:autoSpaceDE w:val="0"/>
              <w:autoSpaceDN w:val="0"/>
              <w:adjustRightInd w:val="0"/>
              <w:snapToGrid w:val="0"/>
              <w:spacing w:before="62" w:beforeLines="20" w:line="360" w:lineRule="auto"/>
              <w:rPr>
                <w:rFonts w:ascii="宋体" w:hAnsi="宋体"/>
                <w:szCs w:val="21"/>
              </w:rPr>
            </w:pPr>
          </w:p>
        </w:tc>
      </w:tr>
      <w:tr w14:paraId="372C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0FF46874">
            <w:pPr>
              <w:autoSpaceDE w:val="0"/>
              <w:autoSpaceDN w:val="0"/>
              <w:adjustRightInd w:val="0"/>
              <w:snapToGrid w:val="0"/>
              <w:spacing w:before="62" w:beforeLines="20" w:line="360" w:lineRule="auto"/>
              <w:rPr>
                <w:rFonts w:ascii="宋体" w:hAnsi="宋体"/>
                <w:szCs w:val="21"/>
              </w:rPr>
            </w:pPr>
          </w:p>
        </w:tc>
        <w:tc>
          <w:tcPr>
            <w:tcW w:w="4160" w:type="dxa"/>
            <w:vAlign w:val="top"/>
          </w:tcPr>
          <w:p w14:paraId="37979882">
            <w:pPr>
              <w:autoSpaceDE w:val="0"/>
              <w:autoSpaceDN w:val="0"/>
              <w:adjustRightInd w:val="0"/>
              <w:snapToGrid w:val="0"/>
              <w:spacing w:before="62" w:beforeLines="20" w:line="360" w:lineRule="auto"/>
              <w:rPr>
                <w:rFonts w:ascii="宋体" w:hAnsi="宋体"/>
                <w:szCs w:val="21"/>
              </w:rPr>
            </w:pPr>
          </w:p>
        </w:tc>
        <w:tc>
          <w:tcPr>
            <w:tcW w:w="3088" w:type="dxa"/>
            <w:vAlign w:val="top"/>
          </w:tcPr>
          <w:p w14:paraId="01135B4A">
            <w:pPr>
              <w:autoSpaceDE w:val="0"/>
              <w:autoSpaceDN w:val="0"/>
              <w:adjustRightInd w:val="0"/>
              <w:snapToGrid w:val="0"/>
              <w:spacing w:before="62" w:beforeLines="20" w:line="360" w:lineRule="auto"/>
              <w:rPr>
                <w:rFonts w:ascii="宋体" w:hAnsi="宋体"/>
                <w:szCs w:val="21"/>
              </w:rPr>
            </w:pPr>
          </w:p>
        </w:tc>
        <w:tc>
          <w:tcPr>
            <w:tcW w:w="2987" w:type="dxa"/>
            <w:vAlign w:val="top"/>
          </w:tcPr>
          <w:p w14:paraId="18BDFDF6">
            <w:pPr>
              <w:autoSpaceDE w:val="0"/>
              <w:autoSpaceDN w:val="0"/>
              <w:adjustRightInd w:val="0"/>
              <w:snapToGrid w:val="0"/>
              <w:spacing w:before="62" w:beforeLines="20" w:line="360" w:lineRule="auto"/>
              <w:rPr>
                <w:rFonts w:ascii="宋体" w:hAnsi="宋体"/>
                <w:szCs w:val="21"/>
              </w:rPr>
            </w:pPr>
          </w:p>
        </w:tc>
        <w:tc>
          <w:tcPr>
            <w:tcW w:w="3175" w:type="dxa"/>
            <w:vAlign w:val="top"/>
          </w:tcPr>
          <w:p w14:paraId="443BF126">
            <w:pPr>
              <w:autoSpaceDE w:val="0"/>
              <w:autoSpaceDN w:val="0"/>
              <w:adjustRightInd w:val="0"/>
              <w:snapToGrid w:val="0"/>
              <w:spacing w:before="62" w:beforeLines="20" w:line="360" w:lineRule="auto"/>
              <w:rPr>
                <w:rFonts w:ascii="宋体" w:hAnsi="宋体"/>
                <w:szCs w:val="21"/>
              </w:rPr>
            </w:pPr>
          </w:p>
        </w:tc>
      </w:tr>
      <w:tr w14:paraId="50D02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7A71AE22">
            <w:pPr>
              <w:autoSpaceDE w:val="0"/>
              <w:autoSpaceDN w:val="0"/>
              <w:adjustRightInd w:val="0"/>
              <w:snapToGrid w:val="0"/>
              <w:spacing w:before="62" w:beforeLines="20" w:line="360" w:lineRule="auto"/>
              <w:rPr>
                <w:rFonts w:ascii="宋体" w:hAnsi="宋体"/>
                <w:szCs w:val="21"/>
              </w:rPr>
            </w:pPr>
          </w:p>
        </w:tc>
        <w:tc>
          <w:tcPr>
            <w:tcW w:w="4160" w:type="dxa"/>
            <w:vAlign w:val="top"/>
          </w:tcPr>
          <w:p w14:paraId="41A9B414">
            <w:pPr>
              <w:autoSpaceDE w:val="0"/>
              <w:autoSpaceDN w:val="0"/>
              <w:adjustRightInd w:val="0"/>
              <w:snapToGrid w:val="0"/>
              <w:spacing w:before="62" w:beforeLines="20" w:line="360" w:lineRule="auto"/>
              <w:rPr>
                <w:rFonts w:ascii="宋体" w:hAnsi="宋体"/>
                <w:szCs w:val="21"/>
              </w:rPr>
            </w:pPr>
          </w:p>
        </w:tc>
        <w:tc>
          <w:tcPr>
            <w:tcW w:w="3088" w:type="dxa"/>
            <w:vAlign w:val="top"/>
          </w:tcPr>
          <w:p w14:paraId="02ABBC70">
            <w:pPr>
              <w:autoSpaceDE w:val="0"/>
              <w:autoSpaceDN w:val="0"/>
              <w:adjustRightInd w:val="0"/>
              <w:snapToGrid w:val="0"/>
              <w:spacing w:before="62" w:beforeLines="20" w:line="360" w:lineRule="auto"/>
              <w:rPr>
                <w:rFonts w:ascii="宋体" w:hAnsi="宋体"/>
                <w:szCs w:val="21"/>
              </w:rPr>
            </w:pPr>
          </w:p>
        </w:tc>
        <w:tc>
          <w:tcPr>
            <w:tcW w:w="2987" w:type="dxa"/>
            <w:vAlign w:val="top"/>
          </w:tcPr>
          <w:p w14:paraId="4D1560A8">
            <w:pPr>
              <w:autoSpaceDE w:val="0"/>
              <w:autoSpaceDN w:val="0"/>
              <w:adjustRightInd w:val="0"/>
              <w:snapToGrid w:val="0"/>
              <w:spacing w:before="62" w:beforeLines="20" w:line="360" w:lineRule="auto"/>
              <w:rPr>
                <w:rFonts w:ascii="宋体" w:hAnsi="宋体"/>
                <w:szCs w:val="21"/>
              </w:rPr>
            </w:pPr>
          </w:p>
        </w:tc>
        <w:tc>
          <w:tcPr>
            <w:tcW w:w="3175" w:type="dxa"/>
            <w:vAlign w:val="top"/>
          </w:tcPr>
          <w:p w14:paraId="77773EA2">
            <w:pPr>
              <w:autoSpaceDE w:val="0"/>
              <w:autoSpaceDN w:val="0"/>
              <w:adjustRightInd w:val="0"/>
              <w:snapToGrid w:val="0"/>
              <w:spacing w:before="62" w:beforeLines="20" w:line="360" w:lineRule="auto"/>
              <w:rPr>
                <w:rFonts w:ascii="宋体" w:hAnsi="宋体"/>
                <w:szCs w:val="21"/>
              </w:rPr>
            </w:pPr>
          </w:p>
        </w:tc>
      </w:tr>
      <w:tr w14:paraId="691BD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62DF95E6">
            <w:pPr>
              <w:autoSpaceDE w:val="0"/>
              <w:autoSpaceDN w:val="0"/>
              <w:adjustRightInd w:val="0"/>
              <w:snapToGrid w:val="0"/>
              <w:spacing w:before="62" w:beforeLines="20" w:line="360" w:lineRule="auto"/>
              <w:rPr>
                <w:rFonts w:ascii="宋体" w:hAnsi="宋体"/>
                <w:szCs w:val="21"/>
              </w:rPr>
            </w:pPr>
          </w:p>
        </w:tc>
        <w:tc>
          <w:tcPr>
            <w:tcW w:w="4160" w:type="dxa"/>
            <w:vAlign w:val="top"/>
          </w:tcPr>
          <w:p w14:paraId="6C4C7674">
            <w:pPr>
              <w:autoSpaceDE w:val="0"/>
              <w:autoSpaceDN w:val="0"/>
              <w:adjustRightInd w:val="0"/>
              <w:snapToGrid w:val="0"/>
              <w:spacing w:before="62" w:beforeLines="20" w:line="360" w:lineRule="auto"/>
              <w:rPr>
                <w:rFonts w:ascii="宋体" w:hAnsi="宋体"/>
                <w:szCs w:val="21"/>
              </w:rPr>
            </w:pPr>
          </w:p>
        </w:tc>
        <w:tc>
          <w:tcPr>
            <w:tcW w:w="3088" w:type="dxa"/>
            <w:vAlign w:val="top"/>
          </w:tcPr>
          <w:p w14:paraId="35669202">
            <w:pPr>
              <w:autoSpaceDE w:val="0"/>
              <w:autoSpaceDN w:val="0"/>
              <w:adjustRightInd w:val="0"/>
              <w:snapToGrid w:val="0"/>
              <w:spacing w:before="62" w:beforeLines="20" w:line="360" w:lineRule="auto"/>
              <w:rPr>
                <w:rFonts w:ascii="宋体" w:hAnsi="宋体"/>
                <w:szCs w:val="21"/>
              </w:rPr>
            </w:pPr>
          </w:p>
        </w:tc>
        <w:tc>
          <w:tcPr>
            <w:tcW w:w="2987" w:type="dxa"/>
            <w:vAlign w:val="top"/>
          </w:tcPr>
          <w:p w14:paraId="032E6E6D">
            <w:pPr>
              <w:autoSpaceDE w:val="0"/>
              <w:autoSpaceDN w:val="0"/>
              <w:adjustRightInd w:val="0"/>
              <w:snapToGrid w:val="0"/>
              <w:spacing w:before="62" w:beforeLines="20" w:line="360" w:lineRule="auto"/>
              <w:rPr>
                <w:rFonts w:ascii="宋体" w:hAnsi="宋体"/>
                <w:szCs w:val="21"/>
              </w:rPr>
            </w:pPr>
          </w:p>
        </w:tc>
        <w:tc>
          <w:tcPr>
            <w:tcW w:w="3175" w:type="dxa"/>
            <w:vAlign w:val="top"/>
          </w:tcPr>
          <w:p w14:paraId="5A46D1C2">
            <w:pPr>
              <w:autoSpaceDE w:val="0"/>
              <w:autoSpaceDN w:val="0"/>
              <w:adjustRightInd w:val="0"/>
              <w:snapToGrid w:val="0"/>
              <w:spacing w:before="62" w:beforeLines="20" w:line="360" w:lineRule="auto"/>
              <w:rPr>
                <w:rFonts w:ascii="宋体" w:hAnsi="宋体"/>
                <w:szCs w:val="21"/>
              </w:rPr>
            </w:pPr>
          </w:p>
        </w:tc>
      </w:tr>
      <w:tr w14:paraId="4E8C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553F05BB">
            <w:pPr>
              <w:autoSpaceDE w:val="0"/>
              <w:autoSpaceDN w:val="0"/>
              <w:adjustRightInd w:val="0"/>
              <w:snapToGrid w:val="0"/>
              <w:spacing w:before="62" w:beforeLines="20" w:line="360" w:lineRule="auto"/>
              <w:rPr>
                <w:rFonts w:ascii="宋体" w:hAnsi="宋体"/>
                <w:szCs w:val="21"/>
              </w:rPr>
            </w:pPr>
          </w:p>
        </w:tc>
        <w:tc>
          <w:tcPr>
            <w:tcW w:w="4160" w:type="dxa"/>
            <w:vAlign w:val="top"/>
          </w:tcPr>
          <w:p w14:paraId="040EEAE6">
            <w:pPr>
              <w:autoSpaceDE w:val="0"/>
              <w:autoSpaceDN w:val="0"/>
              <w:adjustRightInd w:val="0"/>
              <w:snapToGrid w:val="0"/>
              <w:spacing w:before="62" w:beforeLines="20" w:line="360" w:lineRule="auto"/>
              <w:rPr>
                <w:rFonts w:ascii="宋体" w:hAnsi="宋体"/>
                <w:szCs w:val="21"/>
              </w:rPr>
            </w:pPr>
          </w:p>
        </w:tc>
        <w:tc>
          <w:tcPr>
            <w:tcW w:w="3088" w:type="dxa"/>
            <w:vAlign w:val="top"/>
          </w:tcPr>
          <w:p w14:paraId="03B095E4">
            <w:pPr>
              <w:autoSpaceDE w:val="0"/>
              <w:autoSpaceDN w:val="0"/>
              <w:adjustRightInd w:val="0"/>
              <w:snapToGrid w:val="0"/>
              <w:spacing w:before="62" w:beforeLines="20" w:line="360" w:lineRule="auto"/>
              <w:rPr>
                <w:rFonts w:ascii="宋体" w:hAnsi="宋体"/>
                <w:szCs w:val="21"/>
              </w:rPr>
            </w:pPr>
          </w:p>
        </w:tc>
        <w:tc>
          <w:tcPr>
            <w:tcW w:w="2987" w:type="dxa"/>
            <w:vAlign w:val="top"/>
          </w:tcPr>
          <w:p w14:paraId="731253D5">
            <w:pPr>
              <w:autoSpaceDE w:val="0"/>
              <w:autoSpaceDN w:val="0"/>
              <w:adjustRightInd w:val="0"/>
              <w:snapToGrid w:val="0"/>
              <w:spacing w:before="62" w:beforeLines="20" w:line="360" w:lineRule="auto"/>
              <w:rPr>
                <w:rFonts w:ascii="宋体" w:hAnsi="宋体"/>
                <w:szCs w:val="21"/>
              </w:rPr>
            </w:pPr>
          </w:p>
        </w:tc>
        <w:tc>
          <w:tcPr>
            <w:tcW w:w="3175" w:type="dxa"/>
            <w:vAlign w:val="top"/>
          </w:tcPr>
          <w:p w14:paraId="634F6D9C">
            <w:pPr>
              <w:autoSpaceDE w:val="0"/>
              <w:autoSpaceDN w:val="0"/>
              <w:adjustRightInd w:val="0"/>
              <w:snapToGrid w:val="0"/>
              <w:spacing w:before="62" w:beforeLines="20" w:line="360" w:lineRule="auto"/>
              <w:rPr>
                <w:rFonts w:ascii="宋体" w:hAnsi="宋体"/>
                <w:szCs w:val="21"/>
              </w:rPr>
            </w:pPr>
          </w:p>
        </w:tc>
      </w:tr>
      <w:tr w14:paraId="73C61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04768111">
            <w:pPr>
              <w:autoSpaceDE w:val="0"/>
              <w:autoSpaceDN w:val="0"/>
              <w:adjustRightInd w:val="0"/>
              <w:snapToGrid w:val="0"/>
              <w:spacing w:before="62" w:beforeLines="20" w:line="360" w:lineRule="auto"/>
              <w:rPr>
                <w:rFonts w:ascii="宋体" w:hAnsi="宋体"/>
                <w:szCs w:val="21"/>
              </w:rPr>
            </w:pPr>
          </w:p>
        </w:tc>
        <w:tc>
          <w:tcPr>
            <w:tcW w:w="4160" w:type="dxa"/>
            <w:vAlign w:val="top"/>
          </w:tcPr>
          <w:p w14:paraId="4E30D2BD">
            <w:pPr>
              <w:autoSpaceDE w:val="0"/>
              <w:autoSpaceDN w:val="0"/>
              <w:adjustRightInd w:val="0"/>
              <w:snapToGrid w:val="0"/>
              <w:spacing w:before="62" w:beforeLines="20" w:line="360" w:lineRule="auto"/>
              <w:rPr>
                <w:rFonts w:ascii="宋体" w:hAnsi="宋体"/>
                <w:szCs w:val="21"/>
              </w:rPr>
            </w:pPr>
          </w:p>
        </w:tc>
        <w:tc>
          <w:tcPr>
            <w:tcW w:w="3088" w:type="dxa"/>
            <w:vAlign w:val="top"/>
          </w:tcPr>
          <w:p w14:paraId="481D5899">
            <w:pPr>
              <w:autoSpaceDE w:val="0"/>
              <w:autoSpaceDN w:val="0"/>
              <w:adjustRightInd w:val="0"/>
              <w:snapToGrid w:val="0"/>
              <w:spacing w:before="62" w:beforeLines="20" w:line="360" w:lineRule="auto"/>
              <w:rPr>
                <w:rFonts w:ascii="宋体" w:hAnsi="宋体"/>
                <w:szCs w:val="21"/>
              </w:rPr>
            </w:pPr>
          </w:p>
        </w:tc>
        <w:tc>
          <w:tcPr>
            <w:tcW w:w="2987" w:type="dxa"/>
            <w:vAlign w:val="top"/>
          </w:tcPr>
          <w:p w14:paraId="62870A4B">
            <w:pPr>
              <w:autoSpaceDE w:val="0"/>
              <w:autoSpaceDN w:val="0"/>
              <w:adjustRightInd w:val="0"/>
              <w:snapToGrid w:val="0"/>
              <w:spacing w:before="62" w:beforeLines="20" w:line="360" w:lineRule="auto"/>
              <w:rPr>
                <w:rFonts w:ascii="宋体" w:hAnsi="宋体"/>
                <w:szCs w:val="21"/>
              </w:rPr>
            </w:pPr>
          </w:p>
        </w:tc>
        <w:tc>
          <w:tcPr>
            <w:tcW w:w="3175" w:type="dxa"/>
            <w:vAlign w:val="top"/>
          </w:tcPr>
          <w:p w14:paraId="71223756">
            <w:pPr>
              <w:autoSpaceDE w:val="0"/>
              <w:autoSpaceDN w:val="0"/>
              <w:adjustRightInd w:val="0"/>
              <w:snapToGrid w:val="0"/>
              <w:spacing w:before="62" w:beforeLines="20" w:line="360" w:lineRule="auto"/>
              <w:rPr>
                <w:rFonts w:ascii="宋体" w:hAnsi="宋体"/>
                <w:szCs w:val="21"/>
              </w:rPr>
            </w:pPr>
          </w:p>
        </w:tc>
      </w:tr>
      <w:tr w14:paraId="3D04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3A4D9C5F">
            <w:pPr>
              <w:autoSpaceDE w:val="0"/>
              <w:autoSpaceDN w:val="0"/>
              <w:adjustRightInd w:val="0"/>
              <w:snapToGrid w:val="0"/>
              <w:spacing w:before="62" w:beforeLines="20" w:line="360" w:lineRule="auto"/>
              <w:rPr>
                <w:rFonts w:ascii="宋体" w:hAnsi="宋体"/>
                <w:szCs w:val="21"/>
              </w:rPr>
            </w:pPr>
          </w:p>
        </w:tc>
        <w:tc>
          <w:tcPr>
            <w:tcW w:w="4160" w:type="dxa"/>
            <w:vAlign w:val="top"/>
          </w:tcPr>
          <w:p w14:paraId="34A07B32">
            <w:pPr>
              <w:autoSpaceDE w:val="0"/>
              <w:autoSpaceDN w:val="0"/>
              <w:adjustRightInd w:val="0"/>
              <w:snapToGrid w:val="0"/>
              <w:spacing w:before="62" w:beforeLines="20" w:line="360" w:lineRule="auto"/>
              <w:rPr>
                <w:rFonts w:ascii="宋体" w:hAnsi="宋体"/>
                <w:szCs w:val="21"/>
              </w:rPr>
            </w:pPr>
          </w:p>
        </w:tc>
        <w:tc>
          <w:tcPr>
            <w:tcW w:w="3088" w:type="dxa"/>
            <w:vAlign w:val="top"/>
          </w:tcPr>
          <w:p w14:paraId="2949873E">
            <w:pPr>
              <w:autoSpaceDE w:val="0"/>
              <w:autoSpaceDN w:val="0"/>
              <w:adjustRightInd w:val="0"/>
              <w:snapToGrid w:val="0"/>
              <w:spacing w:before="62" w:beforeLines="20" w:line="360" w:lineRule="auto"/>
              <w:rPr>
                <w:rFonts w:ascii="宋体" w:hAnsi="宋体"/>
                <w:szCs w:val="21"/>
              </w:rPr>
            </w:pPr>
          </w:p>
        </w:tc>
        <w:tc>
          <w:tcPr>
            <w:tcW w:w="2987" w:type="dxa"/>
            <w:vAlign w:val="top"/>
          </w:tcPr>
          <w:p w14:paraId="49C33E3A">
            <w:pPr>
              <w:autoSpaceDE w:val="0"/>
              <w:autoSpaceDN w:val="0"/>
              <w:adjustRightInd w:val="0"/>
              <w:snapToGrid w:val="0"/>
              <w:spacing w:before="62" w:beforeLines="20" w:line="360" w:lineRule="auto"/>
              <w:rPr>
                <w:rFonts w:ascii="宋体" w:hAnsi="宋体"/>
                <w:szCs w:val="21"/>
              </w:rPr>
            </w:pPr>
          </w:p>
        </w:tc>
        <w:tc>
          <w:tcPr>
            <w:tcW w:w="3175" w:type="dxa"/>
            <w:vAlign w:val="top"/>
          </w:tcPr>
          <w:p w14:paraId="7B8B50A1">
            <w:pPr>
              <w:autoSpaceDE w:val="0"/>
              <w:autoSpaceDN w:val="0"/>
              <w:adjustRightInd w:val="0"/>
              <w:snapToGrid w:val="0"/>
              <w:spacing w:before="62" w:beforeLines="20" w:line="360" w:lineRule="auto"/>
              <w:rPr>
                <w:rFonts w:ascii="宋体" w:hAnsi="宋体"/>
                <w:szCs w:val="21"/>
              </w:rPr>
            </w:pPr>
          </w:p>
        </w:tc>
      </w:tr>
      <w:tr w14:paraId="60BC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1396F99E">
            <w:pPr>
              <w:autoSpaceDE w:val="0"/>
              <w:autoSpaceDN w:val="0"/>
              <w:adjustRightInd w:val="0"/>
              <w:snapToGrid w:val="0"/>
              <w:spacing w:before="62" w:beforeLines="20" w:line="360" w:lineRule="auto"/>
              <w:rPr>
                <w:rFonts w:ascii="宋体" w:hAnsi="宋体"/>
                <w:szCs w:val="21"/>
              </w:rPr>
            </w:pPr>
          </w:p>
        </w:tc>
        <w:tc>
          <w:tcPr>
            <w:tcW w:w="4160" w:type="dxa"/>
            <w:vAlign w:val="top"/>
          </w:tcPr>
          <w:p w14:paraId="4818F822">
            <w:pPr>
              <w:autoSpaceDE w:val="0"/>
              <w:autoSpaceDN w:val="0"/>
              <w:adjustRightInd w:val="0"/>
              <w:snapToGrid w:val="0"/>
              <w:spacing w:before="62" w:beforeLines="20" w:line="360" w:lineRule="auto"/>
              <w:rPr>
                <w:rFonts w:ascii="宋体" w:hAnsi="宋体"/>
                <w:szCs w:val="21"/>
              </w:rPr>
            </w:pPr>
          </w:p>
        </w:tc>
        <w:tc>
          <w:tcPr>
            <w:tcW w:w="3088" w:type="dxa"/>
            <w:vAlign w:val="top"/>
          </w:tcPr>
          <w:p w14:paraId="6AA3AF20">
            <w:pPr>
              <w:autoSpaceDE w:val="0"/>
              <w:autoSpaceDN w:val="0"/>
              <w:adjustRightInd w:val="0"/>
              <w:snapToGrid w:val="0"/>
              <w:spacing w:before="62" w:beforeLines="20" w:line="360" w:lineRule="auto"/>
              <w:rPr>
                <w:rFonts w:ascii="宋体" w:hAnsi="宋体"/>
                <w:szCs w:val="21"/>
              </w:rPr>
            </w:pPr>
          </w:p>
        </w:tc>
        <w:tc>
          <w:tcPr>
            <w:tcW w:w="2987" w:type="dxa"/>
            <w:vAlign w:val="top"/>
          </w:tcPr>
          <w:p w14:paraId="0B593258">
            <w:pPr>
              <w:autoSpaceDE w:val="0"/>
              <w:autoSpaceDN w:val="0"/>
              <w:adjustRightInd w:val="0"/>
              <w:snapToGrid w:val="0"/>
              <w:spacing w:before="62" w:beforeLines="20" w:line="360" w:lineRule="auto"/>
              <w:rPr>
                <w:rFonts w:ascii="宋体" w:hAnsi="宋体"/>
                <w:szCs w:val="21"/>
              </w:rPr>
            </w:pPr>
          </w:p>
        </w:tc>
        <w:tc>
          <w:tcPr>
            <w:tcW w:w="3175" w:type="dxa"/>
            <w:vAlign w:val="top"/>
          </w:tcPr>
          <w:p w14:paraId="73E59E01">
            <w:pPr>
              <w:autoSpaceDE w:val="0"/>
              <w:autoSpaceDN w:val="0"/>
              <w:adjustRightInd w:val="0"/>
              <w:snapToGrid w:val="0"/>
              <w:spacing w:before="62" w:beforeLines="20" w:line="360" w:lineRule="auto"/>
              <w:rPr>
                <w:rFonts w:ascii="宋体" w:hAnsi="宋体"/>
                <w:szCs w:val="21"/>
              </w:rPr>
            </w:pPr>
          </w:p>
        </w:tc>
      </w:tr>
      <w:tr w14:paraId="5599C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0E114FA4">
            <w:pPr>
              <w:autoSpaceDE w:val="0"/>
              <w:autoSpaceDN w:val="0"/>
              <w:adjustRightInd w:val="0"/>
              <w:snapToGrid w:val="0"/>
              <w:spacing w:before="62" w:beforeLines="20" w:line="360" w:lineRule="auto"/>
              <w:rPr>
                <w:rFonts w:ascii="宋体" w:hAnsi="宋体"/>
                <w:szCs w:val="21"/>
              </w:rPr>
            </w:pPr>
          </w:p>
        </w:tc>
        <w:tc>
          <w:tcPr>
            <w:tcW w:w="4160" w:type="dxa"/>
            <w:vAlign w:val="top"/>
          </w:tcPr>
          <w:p w14:paraId="11C02FBA">
            <w:pPr>
              <w:autoSpaceDE w:val="0"/>
              <w:autoSpaceDN w:val="0"/>
              <w:adjustRightInd w:val="0"/>
              <w:snapToGrid w:val="0"/>
              <w:spacing w:before="62" w:beforeLines="20" w:line="360" w:lineRule="auto"/>
              <w:rPr>
                <w:rFonts w:ascii="宋体" w:hAnsi="宋体"/>
                <w:szCs w:val="21"/>
              </w:rPr>
            </w:pPr>
          </w:p>
        </w:tc>
        <w:tc>
          <w:tcPr>
            <w:tcW w:w="3088" w:type="dxa"/>
            <w:vAlign w:val="top"/>
          </w:tcPr>
          <w:p w14:paraId="4044B3BF">
            <w:pPr>
              <w:autoSpaceDE w:val="0"/>
              <w:autoSpaceDN w:val="0"/>
              <w:adjustRightInd w:val="0"/>
              <w:snapToGrid w:val="0"/>
              <w:spacing w:before="62" w:beforeLines="20" w:line="360" w:lineRule="auto"/>
              <w:rPr>
                <w:rFonts w:ascii="宋体" w:hAnsi="宋体"/>
                <w:szCs w:val="21"/>
              </w:rPr>
            </w:pPr>
          </w:p>
        </w:tc>
        <w:tc>
          <w:tcPr>
            <w:tcW w:w="2987" w:type="dxa"/>
            <w:vAlign w:val="top"/>
          </w:tcPr>
          <w:p w14:paraId="0A244C62">
            <w:pPr>
              <w:autoSpaceDE w:val="0"/>
              <w:autoSpaceDN w:val="0"/>
              <w:adjustRightInd w:val="0"/>
              <w:snapToGrid w:val="0"/>
              <w:spacing w:before="62" w:beforeLines="20" w:line="360" w:lineRule="auto"/>
              <w:rPr>
                <w:rFonts w:ascii="宋体" w:hAnsi="宋体"/>
                <w:szCs w:val="21"/>
              </w:rPr>
            </w:pPr>
          </w:p>
        </w:tc>
        <w:tc>
          <w:tcPr>
            <w:tcW w:w="3175" w:type="dxa"/>
            <w:vAlign w:val="top"/>
          </w:tcPr>
          <w:p w14:paraId="495F1006">
            <w:pPr>
              <w:autoSpaceDE w:val="0"/>
              <w:autoSpaceDN w:val="0"/>
              <w:adjustRightInd w:val="0"/>
              <w:snapToGrid w:val="0"/>
              <w:spacing w:before="62" w:beforeLines="20" w:line="360" w:lineRule="auto"/>
              <w:rPr>
                <w:rFonts w:ascii="宋体" w:hAnsi="宋体"/>
                <w:szCs w:val="21"/>
              </w:rPr>
            </w:pPr>
          </w:p>
        </w:tc>
      </w:tr>
      <w:tr w14:paraId="15E2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1B9F0C20">
            <w:pPr>
              <w:autoSpaceDE w:val="0"/>
              <w:autoSpaceDN w:val="0"/>
              <w:adjustRightInd w:val="0"/>
              <w:snapToGrid w:val="0"/>
              <w:spacing w:before="62" w:beforeLines="20" w:line="360" w:lineRule="auto"/>
              <w:rPr>
                <w:rFonts w:ascii="宋体" w:hAnsi="宋体"/>
                <w:szCs w:val="21"/>
              </w:rPr>
            </w:pPr>
          </w:p>
        </w:tc>
        <w:tc>
          <w:tcPr>
            <w:tcW w:w="4160" w:type="dxa"/>
            <w:vAlign w:val="top"/>
          </w:tcPr>
          <w:p w14:paraId="0F7F593B">
            <w:pPr>
              <w:autoSpaceDE w:val="0"/>
              <w:autoSpaceDN w:val="0"/>
              <w:adjustRightInd w:val="0"/>
              <w:snapToGrid w:val="0"/>
              <w:spacing w:before="62" w:beforeLines="20" w:line="360" w:lineRule="auto"/>
              <w:rPr>
                <w:rFonts w:ascii="宋体" w:hAnsi="宋体"/>
                <w:szCs w:val="21"/>
              </w:rPr>
            </w:pPr>
          </w:p>
        </w:tc>
        <w:tc>
          <w:tcPr>
            <w:tcW w:w="3088" w:type="dxa"/>
            <w:vAlign w:val="top"/>
          </w:tcPr>
          <w:p w14:paraId="6F1B6043">
            <w:pPr>
              <w:autoSpaceDE w:val="0"/>
              <w:autoSpaceDN w:val="0"/>
              <w:adjustRightInd w:val="0"/>
              <w:snapToGrid w:val="0"/>
              <w:spacing w:before="62" w:beforeLines="20" w:line="360" w:lineRule="auto"/>
              <w:rPr>
                <w:rFonts w:ascii="宋体" w:hAnsi="宋体"/>
                <w:szCs w:val="21"/>
              </w:rPr>
            </w:pPr>
          </w:p>
        </w:tc>
        <w:tc>
          <w:tcPr>
            <w:tcW w:w="2987" w:type="dxa"/>
            <w:vAlign w:val="top"/>
          </w:tcPr>
          <w:p w14:paraId="03EA206B">
            <w:pPr>
              <w:autoSpaceDE w:val="0"/>
              <w:autoSpaceDN w:val="0"/>
              <w:adjustRightInd w:val="0"/>
              <w:snapToGrid w:val="0"/>
              <w:spacing w:before="62" w:beforeLines="20" w:line="360" w:lineRule="auto"/>
              <w:rPr>
                <w:rFonts w:ascii="宋体" w:hAnsi="宋体"/>
                <w:szCs w:val="21"/>
              </w:rPr>
            </w:pPr>
          </w:p>
        </w:tc>
        <w:tc>
          <w:tcPr>
            <w:tcW w:w="3175" w:type="dxa"/>
            <w:vAlign w:val="top"/>
          </w:tcPr>
          <w:p w14:paraId="51DE317C">
            <w:pPr>
              <w:autoSpaceDE w:val="0"/>
              <w:autoSpaceDN w:val="0"/>
              <w:adjustRightInd w:val="0"/>
              <w:snapToGrid w:val="0"/>
              <w:spacing w:before="62" w:beforeLines="20" w:line="360" w:lineRule="auto"/>
              <w:rPr>
                <w:rFonts w:ascii="宋体" w:hAnsi="宋体"/>
                <w:szCs w:val="21"/>
              </w:rPr>
            </w:pPr>
          </w:p>
        </w:tc>
      </w:tr>
      <w:tr w14:paraId="160C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15324481">
            <w:pPr>
              <w:autoSpaceDE w:val="0"/>
              <w:autoSpaceDN w:val="0"/>
              <w:adjustRightInd w:val="0"/>
              <w:snapToGrid w:val="0"/>
              <w:spacing w:before="62" w:beforeLines="20" w:line="360" w:lineRule="auto"/>
              <w:rPr>
                <w:rFonts w:ascii="宋体" w:hAnsi="宋体"/>
                <w:szCs w:val="21"/>
              </w:rPr>
            </w:pPr>
          </w:p>
        </w:tc>
        <w:tc>
          <w:tcPr>
            <w:tcW w:w="4160" w:type="dxa"/>
            <w:vAlign w:val="top"/>
          </w:tcPr>
          <w:p w14:paraId="129BE8AE">
            <w:pPr>
              <w:autoSpaceDE w:val="0"/>
              <w:autoSpaceDN w:val="0"/>
              <w:adjustRightInd w:val="0"/>
              <w:snapToGrid w:val="0"/>
              <w:spacing w:before="62" w:beforeLines="20" w:line="360" w:lineRule="auto"/>
              <w:rPr>
                <w:rFonts w:ascii="宋体" w:hAnsi="宋体"/>
                <w:szCs w:val="21"/>
              </w:rPr>
            </w:pPr>
          </w:p>
        </w:tc>
        <w:tc>
          <w:tcPr>
            <w:tcW w:w="3088" w:type="dxa"/>
            <w:vAlign w:val="top"/>
          </w:tcPr>
          <w:p w14:paraId="69B179CC">
            <w:pPr>
              <w:autoSpaceDE w:val="0"/>
              <w:autoSpaceDN w:val="0"/>
              <w:adjustRightInd w:val="0"/>
              <w:snapToGrid w:val="0"/>
              <w:spacing w:before="62" w:beforeLines="20" w:line="360" w:lineRule="auto"/>
              <w:rPr>
                <w:rFonts w:ascii="宋体" w:hAnsi="宋体"/>
                <w:szCs w:val="21"/>
              </w:rPr>
            </w:pPr>
          </w:p>
        </w:tc>
        <w:tc>
          <w:tcPr>
            <w:tcW w:w="2987" w:type="dxa"/>
            <w:vAlign w:val="top"/>
          </w:tcPr>
          <w:p w14:paraId="79DE9C00">
            <w:pPr>
              <w:autoSpaceDE w:val="0"/>
              <w:autoSpaceDN w:val="0"/>
              <w:adjustRightInd w:val="0"/>
              <w:snapToGrid w:val="0"/>
              <w:spacing w:before="62" w:beforeLines="20" w:line="360" w:lineRule="auto"/>
              <w:rPr>
                <w:rFonts w:ascii="宋体" w:hAnsi="宋体"/>
                <w:szCs w:val="21"/>
              </w:rPr>
            </w:pPr>
          </w:p>
        </w:tc>
        <w:tc>
          <w:tcPr>
            <w:tcW w:w="3175" w:type="dxa"/>
            <w:vAlign w:val="top"/>
          </w:tcPr>
          <w:p w14:paraId="7A4A749D">
            <w:pPr>
              <w:autoSpaceDE w:val="0"/>
              <w:autoSpaceDN w:val="0"/>
              <w:adjustRightInd w:val="0"/>
              <w:snapToGrid w:val="0"/>
              <w:spacing w:before="62" w:beforeLines="20" w:line="360" w:lineRule="auto"/>
              <w:rPr>
                <w:rFonts w:ascii="宋体" w:hAnsi="宋体"/>
                <w:szCs w:val="21"/>
              </w:rPr>
            </w:pPr>
          </w:p>
        </w:tc>
      </w:tr>
      <w:tr w14:paraId="105E5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top"/>
          </w:tcPr>
          <w:p w14:paraId="4A3CE953">
            <w:pPr>
              <w:autoSpaceDE w:val="0"/>
              <w:autoSpaceDN w:val="0"/>
              <w:adjustRightInd w:val="0"/>
              <w:snapToGrid w:val="0"/>
              <w:spacing w:before="62" w:beforeLines="20" w:line="360" w:lineRule="auto"/>
              <w:rPr>
                <w:rFonts w:ascii="宋体" w:hAnsi="宋体"/>
                <w:szCs w:val="21"/>
              </w:rPr>
            </w:pPr>
          </w:p>
        </w:tc>
        <w:tc>
          <w:tcPr>
            <w:tcW w:w="4160" w:type="dxa"/>
            <w:vAlign w:val="top"/>
          </w:tcPr>
          <w:p w14:paraId="4D9B0D1A">
            <w:pPr>
              <w:autoSpaceDE w:val="0"/>
              <w:autoSpaceDN w:val="0"/>
              <w:adjustRightInd w:val="0"/>
              <w:snapToGrid w:val="0"/>
              <w:spacing w:before="62" w:beforeLines="20" w:line="360" w:lineRule="auto"/>
              <w:rPr>
                <w:rFonts w:ascii="宋体" w:hAnsi="宋体"/>
                <w:szCs w:val="21"/>
              </w:rPr>
            </w:pPr>
          </w:p>
        </w:tc>
        <w:tc>
          <w:tcPr>
            <w:tcW w:w="3088" w:type="dxa"/>
            <w:vAlign w:val="top"/>
          </w:tcPr>
          <w:p w14:paraId="7D965669">
            <w:pPr>
              <w:autoSpaceDE w:val="0"/>
              <w:autoSpaceDN w:val="0"/>
              <w:adjustRightInd w:val="0"/>
              <w:snapToGrid w:val="0"/>
              <w:spacing w:before="62" w:beforeLines="20" w:line="360" w:lineRule="auto"/>
              <w:rPr>
                <w:rFonts w:ascii="宋体" w:hAnsi="宋体"/>
                <w:szCs w:val="21"/>
              </w:rPr>
            </w:pPr>
          </w:p>
        </w:tc>
        <w:tc>
          <w:tcPr>
            <w:tcW w:w="2987" w:type="dxa"/>
            <w:vAlign w:val="top"/>
          </w:tcPr>
          <w:p w14:paraId="3A202F44">
            <w:pPr>
              <w:autoSpaceDE w:val="0"/>
              <w:autoSpaceDN w:val="0"/>
              <w:adjustRightInd w:val="0"/>
              <w:snapToGrid w:val="0"/>
              <w:spacing w:before="62" w:beforeLines="20" w:line="360" w:lineRule="auto"/>
              <w:rPr>
                <w:rFonts w:ascii="宋体" w:hAnsi="宋体"/>
                <w:szCs w:val="21"/>
              </w:rPr>
            </w:pPr>
          </w:p>
        </w:tc>
        <w:tc>
          <w:tcPr>
            <w:tcW w:w="3175" w:type="dxa"/>
            <w:vAlign w:val="top"/>
          </w:tcPr>
          <w:p w14:paraId="522DBB11">
            <w:pPr>
              <w:autoSpaceDE w:val="0"/>
              <w:autoSpaceDN w:val="0"/>
              <w:adjustRightInd w:val="0"/>
              <w:snapToGrid w:val="0"/>
              <w:spacing w:before="62" w:beforeLines="20" w:line="360" w:lineRule="auto"/>
              <w:rPr>
                <w:rFonts w:ascii="宋体" w:hAnsi="宋体"/>
                <w:szCs w:val="21"/>
              </w:rPr>
            </w:pPr>
          </w:p>
        </w:tc>
      </w:tr>
    </w:tbl>
    <w:p w14:paraId="17BCFF02">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kern w:val="0"/>
          <w:szCs w:val="21"/>
        </w:rPr>
      </w:pPr>
    </w:p>
    <w:p w14:paraId="7836EADF">
      <w:pPr>
        <w:tabs>
          <w:tab w:val="left" w:pos="2740"/>
          <w:tab w:val="left" w:pos="4940"/>
          <w:tab w:val="left" w:pos="6930"/>
        </w:tabs>
        <w:autoSpaceDE w:val="0"/>
        <w:autoSpaceDN w:val="0"/>
        <w:adjustRightInd w:val="0"/>
        <w:snapToGrid w:val="0"/>
        <w:spacing w:line="360" w:lineRule="auto"/>
        <w:ind w:firstLine="420"/>
        <w:jc w:val="left"/>
        <w:rPr>
          <w:rFonts w:hint="eastAsia" w:ascii="宋体" w:hAnsi="宋体" w:cs="MingLiU"/>
          <w:snapToGrid w:val="0"/>
          <w:w w:val="200"/>
          <w:kern w:val="0"/>
          <w:szCs w:val="21"/>
          <w:u w:val="single"/>
        </w:rPr>
      </w:pPr>
      <w:r>
        <w:rPr>
          <w:rFonts w:ascii="宋体" w:hAnsi="宋体"/>
          <w:snapToGrid w:val="0"/>
          <w:kern w:val="0"/>
          <w:szCs w:val="21"/>
        </w:rPr>
        <w:t>招标人代表：</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监标人：</w:t>
      </w:r>
      <w:r>
        <w:rPr>
          <w:rFonts w:hint="eastAsia" w:ascii="宋体" w:hAnsi="宋体" w:cs="MingLiU"/>
          <w:snapToGrid w:val="0"/>
          <w:w w:val="200"/>
          <w:kern w:val="0"/>
          <w:szCs w:val="21"/>
          <w:u w:val="single"/>
        </w:rPr>
        <w:t xml:space="preserve">      </w:t>
      </w:r>
      <w:r>
        <w:rPr>
          <w:rFonts w:hint="eastAsia" w:ascii="宋体" w:hAnsi="宋体" w:cs="MingLiU"/>
          <w:snapToGrid w:val="0"/>
          <w:w w:val="200"/>
          <w:kern w:val="0"/>
          <w:szCs w:val="21"/>
        </w:rPr>
        <w:t xml:space="preserve">            </w:t>
      </w:r>
      <w:r>
        <w:rPr>
          <w:rFonts w:ascii="宋体" w:hAnsi="宋体"/>
          <w:snapToGrid w:val="0"/>
          <w:kern w:val="0"/>
          <w:szCs w:val="21"/>
        </w:rPr>
        <w:t>记录人：</w:t>
      </w:r>
      <w:r>
        <w:rPr>
          <w:rFonts w:hint="eastAsia" w:ascii="宋体" w:hAnsi="宋体" w:cs="MingLiU"/>
          <w:snapToGrid w:val="0"/>
          <w:w w:val="200"/>
          <w:kern w:val="0"/>
          <w:szCs w:val="21"/>
          <w:u w:val="single"/>
        </w:rPr>
        <w:t xml:space="preserve">      </w:t>
      </w:r>
    </w:p>
    <w:p w14:paraId="6D170ACF">
      <w:pPr>
        <w:autoSpaceDE w:val="0"/>
        <w:autoSpaceDN w:val="0"/>
        <w:adjustRightInd w:val="0"/>
        <w:snapToGrid w:val="0"/>
        <w:spacing w:before="62" w:beforeLines="20" w:line="360" w:lineRule="auto"/>
        <w:jc w:val="right"/>
        <w:rPr>
          <w:rFonts w:ascii="宋体" w:hAnsi="宋体"/>
          <w:snapToGrid w:val="0"/>
          <w:kern w:val="0"/>
          <w:szCs w:val="21"/>
        </w:rPr>
        <w:sectPr>
          <w:pgSz w:w="16838" w:h="11906" w:orient="landscape"/>
          <w:pgMar w:top="1304" w:right="1304" w:bottom="1134" w:left="1304" w:header="851" w:footer="992" w:gutter="0"/>
          <w:cols w:space="720" w:num="1"/>
          <w:docGrid w:type="lines" w:linePitch="312" w:charSpace="0"/>
        </w:sectPr>
      </w:pPr>
      <w:r>
        <w:rPr>
          <w:rFonts w:ascii="宋体" w:hAnsi="宋体"/>
          <w:snapToGrid w:val="0"/>
          <w:kern w:val="0"/>
          <w:sz w:val="24"/>
          <w:u w:val="single"/>
        </w:rPr>
        <w:t xml:space="preserve">       </w:t>
      </w:r>
      <w:r>
        <w:rPr>
          <w:rFonts w:ascii="宋体" w:hAnsi="宋体"/>
          <w:snapToGrid w:val="0"/>
          <w:kern w:val="0"/>
          <w:sz w:val="24"/>
        </w:rPr>
        <w:t>年</w:t>
      </w:r>
      <w:r>
        <w:rPr>
          <w:rFonts w:ascii="宋体" w:hAnsi="宋体"/>
          <w:snapToGrid w:val="0"/>
          <w:kern w:val="0"/>
          <w:sz w:val="24"/>
          <w:u w:val="single"/>
        </w:rPr>
        <w:t xml:space="preserve">     </w:t>
      </w:r>
      <w:r>
        <w:rPr>
          <w:rFonts w:ascii="宋体" w:hAnsi="宋体"/>
          <w:snapToGrid w:val="0"/>
          <w:kern w:val="0"/>
          <w:sz w:val="24"/>
        </w:rPr>
        <w:t>月</w:t>
      </w:r>
      <w:r>
        <w:rPr>
          <w:rFonts w:ascii="宋体" w:hAnsi="宋体"/>
          <w:snapToGrid w:val="0"/>
          <w:kern w:val="0"/>
          <w:sz w:val="24"/>
          <w:u w:val="single"/>
        </w:rPr>
        <w:t xml:space="preserve">    </w:t>
      </w:r>
      <w:r>
        <w:rPr>
          <w:rFonts w:ascii="宋体" w:hAnsi="宋体"/>
          <w:snapToGrid w:val="0"/>
          <w:kern w:val="0"/>
          <w:sz w:val="24"/>
        </w:rPr>
        <w:t>日</w:t>
      </w:r>
    </w:p>
    <w:p w14:paraId="099334BE">
      <w:pPr>
        <w:autoSpaceDE w:val="0"/>
        <w:autoSpaceDN w:val="0"/>
        <w:adjustRightInd w:val="0"/>
        <w:snapToGrid w:val="0"/>
        <w:spacing w:before="62" w:beforeLines="20" w:line="360" w:lineRule="auto"/>
        <w:jc w:val="right"/>
        <w:rPr>
          <w:rFonts w:ascii="宋体" w:hAnsi="宋体"/>
          <w:snapToGrid w:val="0"/>
          <w:kern w:val="0"/>
          <w:sz w:val="24"/>
        </w:rPr>
      </w:pPr>
    </w:p>
    <w:p w14:paraId="1C4D0FCD">
      <w:pPr>
        <w:autoSpaceDE w:val="0"/>
        <w:autoSpaceDN w:val="0"/>
        <w:adjustRightInd w:val="0"/>
        <w:snapToGrid w:val="0"/>
        <w:spacing w:before="62" w:beforeLines="20" w:line="360" w:lineRule="auto"/>
        <w:jc w:val="right"/>
        <w:rPr>
          <w:rFonts w:ascii="宋体" w:hAnsi="宋体"/>
          <w:snapToGrid w:val="0"/>
          <w:kern w:val="0"/>
          <w:sz w:val="24"/>
        </w:rPr>
      </w:pPr>
    </w:p>
    <w:p w14:paraId="4CBA6523">
      <w:pPr>
        <w:pStyle w:val="2"/>
        <w:rPr>
          <w:rFonts w:ascii="宋体" w:hAnsi="宋体"/>
        </w:rPr>
      </w:pPr>
    </w:p>
    <w:p w14:paraId="38AD689C">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t>附表</w:t>
      </w:r>
      <w:r>
        <w:rPr>
          <w:rFonts w:hint="eastAsia" w:ascii="宋体" w:hAnsi="宋体"/>
          <w:b/>
          <w:snapToGrid w:val="0"/>
          <w:kern w:val="0"/>
        </w:rPr>
        <w:t>三</w:t>
      </w:r>
      <w:r>
        <w:rPr>
          <w:rFonts w:ascii="宋体" w:hAnsi="宋体"/>
          <w:b/>
          <w:snapToGrid w:val="0"/>
          <w:kern w:val="0"/>
        </w:rPr>
        <w:t>：问题澄清通知</w:t>
      </w:r>
    </w:p>
    <w:p w14:paraId="699732A6">
      <w:pPr>
        <w:pStyle w:val="2"/>
        <w:rPr>
          <w:rFonts w:ascii="宋体" w:hAnsi="宋体"/>
        </w:rPr>
      </w:pPr>
    </w:p>
    <w:p w14:paraId="0D568E40">
      <w:pPr>
        <w:autoSpaceDE w:val="0"/>
        <w:autoSpaceDN w:val="0"/>
        <w:adjustRightInd w:val="0"/>
        <w:snapToGrid w:val="0"/>
        <w:spacing w:line="360" w:lineRule="auto"/>
        <w:jc w:val="center"/>
        <w:rPr>
          <w:rFonts w:hint="eastAsia" w:ascii="宋体" w:hAnsi="宋体"/>
          <w:b/>
          <w:snapToGrid w:val="0"/>
          <w:kern w:val="0"/>
          <w:sz w:val="32"/>
          <w:szCs w:val="32"/>
        </w:rPr>
      </w:pPr>
      <w:r>
        <w:rPr>
          <w:rFonts w:hint="eastAsia" w:ascii="宋体" w:hAnsi="宋体"/>
          <w:b/>
          <w:snapToGrid w:val="0"/>
          <w:w w:val="99"/>
          <w:kern w:val="0"/>
          <w:sz w:val="32"/>
          <w:szCs w:val="32"/>
        </w:rPr>
        <w:t>问题澄清通知</w:t>
      </w:r>
    </w:p>
    <w:p w14:paraId="673131D1">
      <w:pPr>
        <w:autoSpaceDE w:val="0"/>
        <w:autoSpaceDN w:val="0"/>
        <w:adjustRightInd w:val="0"/>
        <w:snapToGrid w:val="0"/>
        <w:spacing w:line="360" w:lineRule="auto"/>
        <w:ind w:firstLine="3255" w:firstLineChars="1550"/>
        <w:jc w:val="left"/>
        <w:rPr>
          <w:rFonts w:ascii="宋体" w:hAnsi="宋体"/>
          <w:snapToGrid w:val="0"/>
          <w:kern w:val="0"/>
          <w:szCs w:val="21"/>
        </w:rPr>
      </w:pPr>
    </w:p>
    <w:p w14:paraId="46288D57">
      <w:pPr>
        <w:autoSpaceDE w:val="0"/>
        <w:autoSpaceDN w:val="0"/>
        <w:adjustRightInd w:val="0"/>
        <w:snapToGrid w:val="0"/>
        <w:spacing w:line="360" w:lineRule="auto"/>
        <w:ind w:firstLine="3255" w:firstLineChars="1550"/>
        <w:jc w:val="left"/>
        <w:rPr>
          <w:rFonts w:hint="eastAsia"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05033E07">
      <w:pPr>
        <w:autoSpaceDE w:val="0"/>
        <w:autoSpaceDN w:val="0"/>
        <w:adjustRightInd w:val="0"/>
        <w:snapToGrid w:val="0"/>
        <w:spacing w:line="360" w:lineRule="auto"/>
        <w:jc w:val="left"/>
        <w:rPr>
          <w:rFonts w:ascii="宋体" w:hAnsi="宋体"/>
          <w:b/>
          <w:snapToGrid w:val="0"/>
          <w:kern w:val="0"/>
          <w:sz w:val="24"/>
        </w:rPr>
      </w:pPr>
    </w:p>
    <w:p w14:paraId="6B27D29F">
      <w:pPr>
        <w:autoSpaceDE w:val="0"/>
        <w:autoSpaceDN w:val="0"/>
        <w:adjustRightInd w:val="0"/>
        <w:snapToGrid w:val="0"/>
        <w:spacing w:line="360" w:lineRule="auto"/>
        <w:rPr>
          <w:rFonts w:ascii="宋体" w:hAnsi="宋体"/>
          <w:snapToGrid w:val="0"/>
          <w:kern w:val="0"/>
          <w:sz w:val="28"/>
          <w:szCs w:val="28"/>
        </w:rPr>
      </w:pPr>
    </w:p>
    <w:p w14:paraId="4A377938">
      <w:pPr>
        <w:tabs>
          <w:tab w:val="left" w:pos="158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（投标人名称）</w:t>
      </w:r>
      <w:r>
        <w:rPr>
          <w:rFonts w:ascii="宋体" w:hAnsi="宋体"/>
          <w:snapToGrid w:val="0"/>
          <w:kern w:val="0"/>
          <w:szCs w:val="21"/>
        </w:rPr>
        <w:t>：</w:t>
      </w:r>
    </w:p>
    <w:p w14:paraId="3B6F4B36">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kern w:val="0"/>
          <w:szCs w:val="21"/>
        </w:rPr>
      </w:pP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（项目名称）</w:t>
      </w:r>
      <w:r>
        <w:rPr>
          <w:rFonts w:ascii="宋体" w:hAnsi="宋体"/>
          <w:snapToGrid w:val="0"/>
          <w:kern w:val="0"/>
          <w:szCs w:val="21"/>
        </w:rPr>
        <w:t>招标的评标委员会，对你方的投标文件进行了仔细的审查，现需你方对下列问题予以澄清：</w:t>
      </w:r>
    </w:p>
    <w:p w14:paraId="1096B821">
      <w:pPr>
        <w:autoSpaceDE w:val="0"/>
        <w:autoSpaceDN w:val="0"/>
        <w:adjustRightInd w:val="0"/>
        <w:snapToGrid w:val="0"/>
        <w:spacing w:line="360" w:lineRule="auto"/>
        <w:jc w:val="left"/>
        <w:rPr>
          <w:rFonts w:hint="eastAsia" w:ascii="宋体" w:hAnsi="宋体"/>
          <w:snapToGrid w:val="0"/>
          <w:kern w:val="0"/>
          <w:sz w:val="24"/>
        </w:rPr>
      </w:pPr>
    </w:p>
    <w:p w14:paraId="6DBE3DF9">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1. </w:t>
      </w:r>
    </w:p>
    <w:p w14:paraId="548F8E8D">
      <w:pPr>
        <w:autoSpaceDE w:val="0"/>
        <w:autoSpaceDN w:val="0"/>
        <w:adjustRightInd w:val="0"/>
        <w:snapToGrid w:val="0"/>
        <w:spacing w:line="360" w:lineRule="auto"/>
        <w:jc w:val="left"/>
        <w:rPr>
          <w:rFonts w:hint="eastAsia" w:ascii="宋体" w:hAnsi="宋体"/>
          <w:snapToGrid w:val="0"/>
          <w:kern w:val="0"/>
          <w:szCs w:val="21"/>
        </w:rPr>
      </w:pPr>
    </w:p>
    <w:p w14:paraId="190B3495">
      <w:pPr>
        <w:autoSpaceDE w:val="0"/>
        <w:autoSpaceDN w:val="0"/>
        <w:adjustRightInd w:val="0"/>
        <w:snapToGrid w:val="0"/>
        <w:spacing w:line="360" w:lineRule="auto"/>
        <w:jc w:val="left"/>
        <w:rPr>
          <w:rFonts w:hint="eastAsia" w:ascii="宋体" w:hAnsi="宋体"/>
          <w:snapToGrid w:val="0"/>
          <w:kern w:val="0"/>
          <w:szCs w:val="21"/>
        </w:rPr>
      </w:pPr>
    </w:p>
    <w:p w14:paraId="27039B8D">
      <w:pPr>
        <w:autoSpaceDE w:val="0"/>
        <w:autoSpaceDN w:val="0"/>
        <w:adjustRightInd w:val="0"/>
        <w:snapToGrid w:val="0"/>
        <w:spacing w:line="360" w:lineRule="auto"/>
        <w:jc w:val="left"/>
        <w:rPr>
          <w:rFonts w:hint="eastAsia" w:ascii="宋体" w:hAnsi="宋体"/>
          <w:snapToGrid w:val="0"/>
          <w:kern w:val="0"/>
          <w:szCs w:val="21"/>
        </w:rPr>
      </w:pPr>
    </w:p>
    <w:p w14:paraId="11671221">
      <w:pPr>
        <w:autoSpaceDE w:val="0"/>
        <w:autoSpaceDN w:val="0"/>
        <w:adjustRightInd w:val="0"/>
        <w:snapToGrid w:val="0"/>
        <w:spacing w:line="360" w:lineRule="auto"/>
        <w:jc w:val="left"/>
        <w:rPr>
          <w:rFonts w:hint="eastAsia" w:ascii="宋体" w:hAnsi="宋体"/>
          <w:snapToGrid w:val="0"/>
          <w:kern w:val="0"/>
          <w:szCs w:val="21"/>
        </w:rPr>
      </w:pPr>
      <w:r>
        <w:rPr>
          <w:rFonts w:ascii="宋体" w:hAnsi="宋体"/>
          <w:snapToGrid w:val="0"/>
          <w:kern w:val="0"/>
          <w:szCs w:val="21"/>
        </w:rPr>
        <w:t xml:space="preserve">2. </w:t>
      </w:r>
    </w:p>
    <w:p w14:paraId="38367058">
      <w:pPr>
        <w:autoSpaceDE w:val="0"/>
        <w:autoSpaceDN w:val="0"/>
        <w:adjustRightInd w:val="0"/>
        <w:snapToGrid w:val="0"/>
        <w:spacing w:line="360" w:lineRule="auto"/>
        <w:jc w:val="left"/>
        <w:rPr>
          <w:rFonts w:ascii="宋体" w:hAnsi="宋体"/>
          <w:snapToGrid w:val="0"/>
          <w:kern w:val="0"/>
          <w:sz w:val="18"/>
          <w:szCs w:val="18"/>
        </w:rPr>
      </w:pPr>
    </w:p>
    <w:p w14:paraId="69505893">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595E289D">
      <w:pPr>
        <w:autoSpaceDE w:val="0"/>
        <w:autoSpaceDN w:val="0"/>
        <w:adjustRightInd w:val="0"/>
        <w:snapToGrid w:val="0"/>
        <w:spacing w:line="360" w:lineRule="auto"/>
        <w:jc w:val="left"/>
        <w:rPr>
          <w:rFonts w:hint="eastAsia" w:ascii="宋体" w:hAnsi="宋体"/>
          <w:snapToGrid w:val="0"/>
          <w:kern w:val="0"/>
          <w:sz w:val="14"/>
          <w:szCs w:val="14"/>
        </w:rPr>
      </w:pPr>
    </w:p>
    <w:p w14:paraId="784402E8">
      <w:pPr>
        <w:autoSpaceDE w:val="0"/>
        <w:autoSpaceDN w:val="0"/>
        <w:adjustRightInd w:val="0"/>
        <w:snapToGrid w:val="0"/>
        <w:spacing w:line="360" w:lineRule="auto"/>
        <w:jc w:val="left"/>
        <w:rPr>
          <w:rFonts w:hint="eastAsia" w:ascii="宋体" w:hAnsi="宋体"/>
          <w:snapToGrid w:val="0"/>
          <w:kern w:val="0"/>
          <w:sz w:val="14"/>
          <w:szCs w:val="14"/>
        </w:rPr>
      </w:pPr>
    </w:p>
    <w:p w14:paraId="46A7C9A4">
      <w:pPr>
        <w:autoSpaceDE w:val="0"/>
        <w:autoSpaceDN w:val="0"/>
        <w:adjustRightInd w:val="0"/>
        <w:snapToGrid w:val="0"/>
        <w:spacing w:line="360" w:lineRule="auto"/>
        <w:jc w:val="left"/>
        <w:rPr>
          <w:rFonts w:hint="eastAsia" w:ascii="宋体" w:hAnsi="宋体"/>
          <w:snapToGrid w:val="0"/>
          <w:kern w:val="0"/>
          <w:sz w:val="14"/>
          <w:szCs w:val="14"/>
        </w:rPr>
      </w:pPr>
    </w:p>
    <w:p w14:paraId="06A3279D">
      <w:pPr>
        <w:autoSpaceDE w:val="0"/>
        <w:autoSpaceDN w:val="0"/>
        <w:adjustRightInd w:val="0"/>
        <w:snapToGrid w:val="0"/>
        <w:spacing w:line="360" w:lineRule="auto"/>
        <w:jc w:val="left"/>
        <w:rPr>
          <w:rFonts w:ascii="宋体" w:hAnsi="宋体"/>
          <w:snapToGrid w:val="0"/>
          <w:kern w:val="0"/>
          <w:sz w:val="20"/>
          <w:szCs w:val="20"/>
        </w:rPr>
      </w:pPr>
    </w:p>
    <w:p w14:paraId="085B4C5C">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hint="eastAsia" w:ascii="宋体" w:hAnsi="宋体"/>
          <w:snapToGrid w:val="0"/>
          <w:kern w:val="0"/>
          <w:szCs w:val="21"/>
        </w:rPr>
      </w:pPr>
      <w:r>
        <w:rPr>
          <w:rFonts w:ascii="宋体" w:hAnsi="宋体"/>
          <w:snapToGrid w:val="0"/>
          <w:kern w:val="0"/>
          <w:szCs w:val="21"/>
        </w:rPr>
        <w:t>请将上述问题的澄清于</w:t>
      </w:r>
      <w:r>
        <w:rPr>
          <w:rFonts w:hint="eastAsia"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ascii="宋体" w:hAnsi="宋体"/>
          <w:snapToGrid w:val="0"/>
          <w:w w:val="20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日</w:t>
      </w:r>
      <w:r>
        <w:rPr>
          <w:rFonts w:hint="eastAsia" w:ascii="宋体" w:hAnsi="宋体"/>
          <w:snapToGrid w:val="0"/>
          <w:kern w:val="0"/>
          <w:szCs w:val="21"/>
          <w:u w:val="single"/>
        </w:rPr>
        <w:t xml:space="preserve">     </w:t>
      </w:r>
      <w:r>
        <w:rPr>
          <w:rFonts w:ascii="宋体" w:hAnsi="宋体"/>
          <w:snapToGrid w:val="0"/>
          <w:kern w:val="0"/>
          <w:szCs w:val="21"/>
        </w:rPr>
        <w:t>时前</w:t>
      </w:r>
      <w:r>
        <w:rPr>
          <w:rFonts w:hint="eastAsia" w:ascii="宋体" w:hAnsi="宋体"/>
          <w:snapToGrid w:val="0"/>
          <w:kern w:val="0"/>
          <w:szCs w:val="21"/>
        </w:rPr>
        <w:t>通过重庆市电子招投标系统提交。</w:t>
      </w:r>
    </w:p>
    <w:p w14:paraId="7D6FA73E">
      <w:pPr>
        <w:pStyle w:val="2"/>
      </w:pPr>
    </w:p>
    <w:p w14:paraId="6428345F">
      <w:pPr>
        <w:tabs>
          <w:tab w:val="left" w:pos="6400"/>
        </w:tabs>
        <w:autoSpaceDE w:val="0"/>
        <w:autoSpaceDN w:val="0"/>
        <w:adjustRightInd w:val="0"/>
        <w:snapToGrid w:val="0"/>
        <w:spacing w:line="360" w:lineRule="auto"/>
        <w:jc w:val="right"/>
        <w:rPr>
          <w:rFonts w:hint="eastAsia" w:ascii="宋体" w:hAnsi="宋体"/>
          <w:snapToGrid w:val="0"/>
          <w:kern w:val="0"/>
          <w:szCs w:val="21"/>
        </w:rPr>
      </w:pPr>
      <w:r>
        <w:rPr>
          <w:rFonts w:ascii="宋体" w:hAnsi="宋体"/>
          <w:snapToGrid w:val="0"/>
          <w:kern w:val="0"/>
          <w:szCs w:val="21"/>
        </w:rPr>
        <w:t xml:space="preserve">                             评标委员会：</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762F96AA">
      <w:pPr>
        <w:pStyle w:val="2"/>
        <w:jc w:val="right"/>
        <w:rPr>
          <w:i/>
        </w:rPr>
      </w:pPr>
      <w:r>
        <w:rPr>
          <w:rFonts w:hint="eastAsia"/>
          <w:i/>
        </w:rPr>
        <w:t>[提示：重庆市电子招投标系统应实现投标人接收端口签名隐藏显示功能]</w:t>
      </w:r>
    </w:p>
    <w:p w14:paraId="3D786B96">
      <w:pPr>
        <w:autoSpaceDE w:val="0"/>
        <w:autoSpaceDN w:val="0"/>
        <w:adjustRightInd w:val="0"/>
        <w:snapToGrid w:val="0"/>
        <w:spacing w:line="360" w:lineRule="auto"/>
        <w:ind w:firstLine="315" w:firstLineChars="150"/>
        <w:jc w:val="right"/>
        <w:rPr>
          <w:rFonts w:ascii="宋体" w:hAnsi="宋体"/>
          <w:snapToGrid w:val="0"/>
          <w:kern w:val="0"/>
          <w:szCs w:val="21"/>
        </w:rPr>
      </w:pPr>
    </w:p>
    <w:p w14:paraId="1144C096">
      <w:pPr>
        <w:wordWrap w:val="0"/>
        <w:autoSpaceDE w:val="0"/>
        <w:autoSpaceDN w:val="0"/>
        <w:adjustRightInd w:val="0"/>
        <w:snapToGrid w:val="0"/>
        <w:spacing w:line="360" w:lineRule="auto"/>
        <w:ind w:firstLine="850" w:firstLineChars="405"/>
        <w:jc w:val="right"/>
        <w:rPr>
          <w:rFonts w:hint="eastAsia"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14:paraId="12AE8016">
      <w:pPr>
        <w:autoSpaceDE w:val="0"/>
        <w:autoSpaceDN w:val="0"/>
        <w:adjustRightInd w:val="0"/>
        <w:snapToGrid w:val="0"/>
        <w:spacing w:line="360" w:lineRule="auto"/>
        <w:jc w:val="left"/>
        <w:rPr>
          <w:rFonts w:ascii="宋体" w:hAnsi="宋体"/>
          <w:b/>
          <w:snapToGrid w:val="0"/>
          <w:kern w:val="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四</w:t>
      </w:r>
      <w:r>
        <w:rPr>
          <w:rFonts w:ascii="宋体" w:hAnsi="宋体"/>
          <w:b/>
          <w:snapToGrid w:val="0"/>
          <w:kern w:val="0"/>
        </w:rPr>
        <w:t>：问题的澄清</w:t>
      </w:r>
    </w:p>
    <w:p w14:paraId="5DC988DF">
      <w:pPr>
        <w:autoSpaceDE w:val="0"/>
        <w:autoSpaceDN w:val="0"/>
        <w:adjustRightInd w:val="0"/>
        <w:snapToGrid w:val="0"/>
        <w:spacing w:line="360" w:lineRule="auto"/>
        <w:jc w:val="left"/>
        <w:rPr>
          <w:rFonts w:ascii="宋体" w:hAnsi="宋体"/>
          <w:b/>
          <w:snapToGrid w:val="0"/>
          <w:kern w:val="0"/>
          <w:sz w:val="10"/>
          <w:szCs w:val="10"/>
        </w:rPr>
      </w:pPr>
    </w:p>
    <w:p w14:paraId="3A553DEC">
      <w:pPr>
        <w:autoSpaceDE w:val="0"/>
        <w:autoSpaceDN w:val="0"/>
        <w:adjustRightInd w:val="0"/>
        <w:snapToGrid w:val="0"/>
        <w:spacing w:line="360" w:lineRule="auto"/>
        <w:rPr>
          <w:rFonts w:hint="eastAsia" w:ascii="宋体" w:hAnsi="宋体"/>
          <w:b/>
          <w:snapToGrid w:val="0"/>
          <w:w w:val="99"/>
          <w:kern w:val="0"/>
          <w:sz w:val="32"/>
          <w:szCs w:val="32"/>
        </w:rPr>
      </w:pPr>
    </w:p>
    <w:p w14:paraId="2FC32C98">
      <w:pPr>
        <w:autoSpaceDE w:val="0"/>
        <w:autoSpaceDN w:val="0"/>
        <w:adjustRightInd w:val="0"/>
        <w:snapToGrid w:val="0"/>
        <w:spacing w:line="360" w:lineRule="auto"/>
        <w:jc w:val="center"/>
        <w:rPr>
          <w:rFonts w:ascii="宋体" w:hAnsi="宋体"/>
          <w:b/>
          <w:snapToGrid w:val="0"/>
          <w:kern w:val="0"/>
          <w:sz w:val="32"/>
          <w:szCs w:val="32"/>
        </w:rPr>
      </w:pPr>
      <w:r>
        <w:rPr>
          <w:rFonts w:ascii="宋体" w:hAnsi="宋体"/>
          <w:b/>
          <w:snapToGrid w:val="0"/>
          <w:w w:val="99"/>
          <w:kern w:val="0"/>
          <w:sz w:val="32"/>
          <w:szCs w:val="32"/>
        </w:rPr>
        <w:t>问题的澄清</w:t>
      </w:r>
    </w:p>
    <w:p w14:paraId="283D9F12">
      <w:pPr>
        <w:autoSpaceDE w:val="0"/>
        <w:autoSpaceDN w:val="0"/>
        <w:adjustRightInd w:val="0"/>
        <w:snapToGrid w:val="0"/>
        <w:spacing w:line="360" w:lineRule="auto"/>
        <w:jc w:val="left"/>
        <w:rPr>
          <w:rFonts w:hint="eastAsia" w:ascii="宋体" w:hAnsi="宋体"/>
          <w:snapToGrid w:val="0"/>
          <w:kern w:val="0"/>
          <w:szCs w:val="21"/>
        </w:rPr>
      </w:pPr>
    </w:p>
    <w:p w14:paraId="2F8C687D">
      <w:pPr>
        <w:autoSpaceDE w:val="0"/>
        <w:autoSpaceDN w:val="0"/>
        <w:adjustRightInd w:val="0"/>
        <w:snapToGrid w:val="0"/>
        <w:spacing w:line="360" w:lineRule="auto"/>
        <w:ind w:firstLine="3255" w:firstLineChars="1550"/>
        <w:jc w:val="left"/>
        <w:rPr>
          <w:rFonts w:ascii="宋体" w:hAnsi="宋体"/>
          <w:snapToGrid w:val="0"/>
          <w:kern w:val="0"/>
          <w:szCs w:val="21"/>
          <w:u w:val="single"/>
        </w:rPr>
      </w:pPr>
      <w:r>
        <w:rPr>
          <w:rFonts w:ascii="宋体" w:hAnsi="宋体"/>
          <w:snapToGrid w:val="0"/>
          <w:kern w:val="0"/>
          <w:szCs w:val="21"/>
        </w:rPr>
        <w:t>编号：</w:t>
      </w:r>
      <w:r>
        <w:rPr>
          <w:rFonts w:hint="eastAsia" w:ascii="宋体" w:hAnsi="宋体"/>
          <w:snapToGrid w:val="0"/>
          <w:kern w:val="0"/>
          <w:szCs w:val="21"/>
          <w:u w:val="single"/>
        </w:rPr>
        <w:t xml:space="preserve">                     </w:t>
      </w:r>
    </w:p>
    <w:p w14:paraId="4158D6D0">
      <w:pPr>
        <w:autoSpaceDE w:val="0"/>
        <w:autoSpaceDN w:val="0"/>
        <w:adjustRightInd w:val="0"/>
        <w:snapToGrid w:val="0"/>
        <w:spacing w:line="360" w:lineRule="auto"/>
        <w:rPr>
          <w:rFonts w:hint="eastAsia" w:ascii="宋体" w:hAnsi="宋体"/>
          <w:snapToGrid w:val="0"/>
          <w:kern w:val="0"/>
          <w:szCs w:val="21"/>
        </w:rPr>
      </w:pPr>
    </w:p>
    <w:p w14:paraId="6400AD44">
      <w:pPr>
        <w:autoSpaceDE w:val="0"/>
        <w:autoSpaceDN w:val="0"/>
        <w:adjustRightInd w:val="0"/>
        <w:snapToGrid w:val="0"/>
        <w:spacing w:line="360" w:lineRule="auto"/>
        <w:rPr>
          <w:rFonts w:hint="eastAsia" w:ascii="宋体" w:hAnsi="宋体"/>
          <w:snapToGrid w:val="0"/>
          <w:kern w:val="0"/>
          <w:szCs w:val="21"/>
        </w:rPr>
      </w:pPr>
    </w:p>
    <w:p w14:paraId="18CC9825">
      <w:pPr>
        <w:tabs>
          <w:tab w:val="left" w:pos="2415"/>
          <w:tab w:val="left" w:pos="3480"/>
          <w:tab w:val="left" w:pos="4200"/>
        </w:tabs>
        <w:autoSpaceDE w:val="0"/>
        <w:autoSpaceDN w:val="0"/>
        <w:adjustRightInd w:val="0"/>
        <w:snapToGrid w:val="0"/>
        <w:spacing w:line="480" w:lineRule="auto"/>
        <w:jc w:val="left"/>
        <w:rPr>
          <w:rFonts w:ascii="宋体" w:hAnsi="宋体"/>
          <w:snapToGrid w:val="0"/>
          <w:kern w:val="0"/>
          <w:szCs w:val="21"/>
        </w:rPr>
      </w:pP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（项目名称）</w:t>
      </w:r>
      <w:r>
        <w:rPr>
          <w:rFonts w:hint="eastAsia" w:ascii="宋体" w:hAnsi="宋体"/>
          <w:snapToGrid w:val="0"/>
          <w:kern w:val="0"/>
          <w:szCs w:val="21"/>
          <w:u w:val="single"/>
        </w:rPr>
        <w:t xml:space="preserve">   </w:t>
      </w:r>
      <w:r>
        <w:rPr>
          <w:rFonts w:ascii="宋体" w:hAnsi="宋体"/>
          <w:snapToGrid w:val="0"/>
          <w:kern w:val="0"/>
          <w:szCs w:val="21"/>
        </w:rPr>
        <w:t>招标评标委员会：</w:t>
      </w:r>
    </w:p>
    <w:p w14:paraId="04193B4D">
      <w:pPr>
        <w:tabs>
          <w:tab w:val="left" w:pos="2000"/>
          <w:tab w:val="left" w:pos="3480"/>
          <w:tab w:val="left" w:pos="4200"/>
        </w:tabs>
        <w:autoSpaceDE w:val="0"/>
        <w:autoSpaceDN w:val="0"/>
        <w:adjustRightInd w:val="0"/>
        <w:snapToGrid w:val="0"/>
        <w:spacing w:line="480" w:lineRule="auto"/>
        <w:jc w:val="left"/>
        <w:rPr>
          <w:rFonts w:hint="eastAsia" w:ascii="宋体" w:hAnsi="宋体"/>
          <w:snapToGrid w:val="0"/>
          <w:kern w:val="0"/>
          <w:szCs w:val="21"/>
        </w:rPr>
      </w:pPr>
      <w:r>
        <w:rPr>
          <w:rFonts w:ascii="宋体" w:hAnsi="宋体"/>
          <w:snapToGrid w:val="0"/>
          <w:kern w:val="0"/>
          <w:szCs w:val="21"/>
        </w:rPr>
        <w:t>问题澄清通知（编号：</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rPr>
        <w:t>）已收悉，现澄清如下：</w:t>
      </w:r>
    </w:p>
    <w:p w14:paraId="7D50E45B">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14:paraId="2ECE9C82">
      <w:pPr>
        <w:tabs>
          <w:tab w:val="left" w:pos="2000"/>
          <w:tab w:val="left" w:pos="3480"/>
          <w:tab w:val="left" w:pos="4200"/>
        </w:tabs>
        <w:autoSpaceDE w:val="0"/>
        <w:autoSpaceDN w:val="0"/>
        <w:adjustRightInd w:val="0"/>
        <w:snapToGrid w:val="0"/>
        <w:spacing w:line="360" w:lineRule="auto"/>
        <w:jc w:val="left"/>
        <w:rPr>
          <w:rFonts w:hint="eastAsia" w:ascii="宋体" w:hAnsi="宋体"/>
          <w:snapToGrid w:val="0"/>
          <w:kern w:val="0"/>
          <w:szCs w:val="21"/>
        </w:rPr>
      </w:pPr>
    </w:p>
    <w:p w14:paraId="7FEC6A5C">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1. </w:t>
      </w:r>
    </w:p>
    <w:p w14:paraId="7417C65E">
      <w:pPr>
        <w:autoSpaceDE w:val="0"/>
        <w:autoSpaceDN w:val="0"/>
        <w:adjustRightInd w:val="0"/>
        <w:snapToGrid w:val="0"/>
        <w:spacing w:line="360" w:lineRule="auto"/>
        <w:jc w:val="left"/>
        <w:rPr>
          <w:rFonts w:hint="eastAsia" w:ascii="宋体" w:hAnsi="宋体"/>
          <w:snapToGrid w:val="0"/>
          <w:kern w:val="0"/>
          <w:sz w:val="18"/>
          <w:szCs w:val="18"/>
        </w:rPr>
      </w:pPr>
    </w:p>
    <w:p w14:paraId="44127C0E">
      <w:pPr>
        <w:autoSpaceDE w:val="0"/>
        <w:autoSpaceDN w:val="0"/>
        <w:adjustRightInd w:val="0"/>
        <w:snapToGrid w:val="0"/>
        <w:spacing w:line="360" w:lineRule="auto"/>
        <w:jc w:val="left"/>
        <w:rPr>
          <w:rFonts w:hint="eastAsia" w:ascii="宋体" w:hAnsi="宋体"/>
          <w:snapToGrid w:val="0"/>
          <w:kern w:val="0"/>
          <w:sz w:val="18"/>
          <w:szCs w:val="18"/>
        </w:rPr>
      </w:pPr>
    </w:p>
    <w:p w14:paraId="6CE04725">
      <w:pPr>
        <w:autoSpaceDE w:val="0"/>
        <w:autoSpaceDN w:val="0"/>
        <w:adjustRightInd w:val="0"/>
        <w:snapToGrid w:val="0"/>
        <w:spacing w:line="360" w:lineRule="auto"/>
        <w:jc w:val="left"/>
        <w:rPr>
          <w:rFonts w:hint="eastAsia" w:ascii="宋体" w:hAnsi="宋体"/>
          <w:snapToGrid w:val="0"/>
          <w:kern w:val="0"/>
          <w:sz w:val="18"/>
          <w:szCs w:val="18"/>
        </w:rPr>
      </w:pPr>
    </w:p>
    <w:p w14:paraId="2A95942A">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 xml:space="preserve">2. </w:t>
      </w:r>
    </w:p>
    <w:p w14:paraId="28455A7B">
      <w:pPr>
        <w:autoSpaceDE w:val="0"/>
        <w:autoSpaceDN w:val="0"/>
        <w:adjustRightInd w:val="0"/>
        <w:snapToGrid w:val="0"/>
        <w:spacing w:line="360" w:lineRule="auto"/>
        <w:jc w:val="left"/>
        <w:rPr>
          <w:rFonts w:ascii="宋体" w:hAnsi="宋体"/>
          <w:snapToGrid w:val="0"/>
          <w:kern w:val="0"/>
          <w:sz w:val="20"/>
          <w:szCs w:val="20"/>
        </w:rPr>
      </w:pPr>
    </w:p>
    <w:p w14:paraId="2778F2FA">
      <w:pPr>
        <w:autoSpaceDE w:val="0"/>
        <w:autoSpaceDN w:val="0"/>
        <w:adjustRightInd w:val="0"/>
        <w:snapToGrid w:val="0"/>
        <w:spacing w:line="360" w:lineRule="auto"/>
        <w:jc w:val="left"/>
        <w:rPr>
          <w:rFonts w:hint="eastAsia" w:ascii="宋体" w:hAnsi="宋体"/>
          <w:snapToGrid w:val="0"/>
          <w:kern w:val="0"/>
          <w:sz w:val="20"/>
          <w:szCs w:val="20"/>
        </w:rPr>
      </w:pPr>
    </w:p>
    <w:p w14:paraId="7DE6B3AB">
      <w:pPr>
        <w:autoSpaceDE w:val="0"/>
        <w:autoSpaceDN w:val="0"/>
        <w:adjustRightInd w:val="0"/>
        <w:snapToGrid w:val="0"/>
        <w:spacing w:line="360" w:lineRule="auto"/>
        <w:jc w:val="left"/>
        <w:rPr>
          <w:rFonts w:ascii="宋体" w:hAnsi="宋体"/>
          <w:snapToGrid w:val="0"/>
          <w:kern w:val="0"/>
          <w:sz w:val="22"/>
          <w:szCs w:val="22"/>
        </w:rPr>
      </w:pPr>
    </w:p>
    <w:p w14:paraId="09F208CE">
      <w:pPr>
        <w:autoSpaceDE w:val="0"/>
        <w:autoSpaceDN w:val="0"/>
        <w:adjustRightInd w:val="0"/>
        <w:snapToGrid w:val="0"/>
        <w:spacing w:line="360" w:lineRule="auto"/>
        <w:jc w:val="left"/>
        <w:rPr>
          <w:rFonts w:ascii="宋体" w:hAnsi="宋体"/>
          <w:snapToGrid w:val="0"/>
          <w:kern w:val="0"/>
          <w:szCs w:val="21"/>
        </w:rPr>
      </w:pPr>
      <w:r>
        <w:rPr>
          <w:rFonts w:ascii="宋体" w:hAnsi="宋体"/>
          <w:snapToGrid w:val="0"/>
          <w:kern w:val="0"/>
          <w:szCs w:val="21"/>
        </w:rPr>
        <w:t>.....</w:t>
      </w:r>
    </w:p>
    <w:p w14:paraId="4FE1DA65">
      <w:pPr>
        <w:autoSpaceDE w:val="0"/>
        <w:autoSpaceDN w:val="0"/>
        <w:adjustRightInd w:val="0"/>
        <w:snapToGrid w:val="0"/>
        <w:spacing w:line="360" w:lineRule="auto"/>
        <w:jc w:val="left"/>
        <w:rPr>
          <w:rFonts w:ascii="宋体" w:hAnsi="宋体"/>
          <w:snapToGrid w:val="0"/>
          <w:kern w:val="0"/>
          <w:sz w:val="18"/>
          <w:szCs w:val="18"/>
        </w:rPr>
      </w:pPr>
    </w:p>
    <w:p w14:paraId="4C2AC166">
      <w:pPr>
        <w:autoSpaceDE w:val="0"/>
        <w:autoSpaceDN w:val="0"/>
        <w:adjustRightInd w:val="0"/>
        <w:snapToGrid w:val="0"/>
        <w:spacing w:line="360" w:lineRule="auto"/>
        <w:jc w:val="left"/>
        <w:rPr>
          <w:rFonts w:hint="eastAsia" w:ascii="宋体" w:hAnsi="宋体"/>
          <w:snapToGrid w:val="0"/>
          <w:kern w:val="0"/>
          <w:sz w:val="20"/>
          <w:szCs w:val="20"/>
        </w:rPr>
      </w:pPr>
    </w:p>
    <w:p w14:paraId="5D8B535C">
      <w:pPr>
        <w:autoSpaceDE w:val="0"/>
        <w:autoSpaceDN w:val="0"/>
        <w:adjustRightInd w:val="0"/>
        <w:snapToGrid w:val="0"/>
        <w:spacing w:line="360" w:lineRule="auto"/>
        <w:jc w:val="left"/>
        <w:rPr>
          <w:rFonts w:hint="eastAsia" w:ascii="宋体" w:hAnsi="宋体"/>
          <w:snapToGrid w:val="0"/>
          <w:kern w:val="0"/>
          <w:sz w:val="20"/>
          <w:szCs w:val="20"/>
        </w:rPr>
      </w:pPr>
    </w:p>
    <w:p w14:paraId="6EE9977E">
      <w:pPr>
        <w:autoSpaceDE w:val="0"/>
        <w:autoSpaceDN w:val="0"/>
        <w:adjustRightInd w:val="0"/>
        <w:snapToGrid w:val="0"/>
        <w:spacing w:line="360" w:lineRule="auto"/>
        <w:jc w:val="left"/>
        <w:rPr>
          <w:rFonts w:ascii="宋体" w:hAnsi="宋体"/>
          <w:snapToGrid w:val="0"/>
          <w:kern w:val="0"/>
          <w:sz w:val="20"/>
          <w:szCs w:val="20"/>
        </w:rPr>
      </w:pPr>
    </w:p>
    <w:p w14:paraId="73E27566">
      <w:pPr>
        <w:autoSpaceDE w:val="0"/>
        <w:autoSpaceDN w:val="0"/>
        <w:adjustRightInd w:val="0"/>
        <w:snapToGrid w:val="0"/>
        <w:spacing w:line="360" w:lineRule="auto"/>
        <w:jc w:val="left"/>
        <w:rPr>
          <w:rFonts w:ascii="宋体" w:hAnsi="宋体"/>
          <w:snapToGrid w:val="0"/>
          <w:kern w:val="0"/>
          <w:sz w:val="20"/>
          <w:szCs w:val="20"/>
        </w:rPr>
      </w:pPr>
    </w:p>
    <w:p w14:paraId="6513A8EE">
      <w:pPr>
        <w:tabs>
          <w:tab w:val="left" w:pos="7035"/>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投标人：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 xml:space="preserve">（盖单位法人章） </w:t>
      </w:r>
    </w:p>
    <w:p w14:paraId="0DF219AC">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ab/>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3A391F35">
      <w:pPr>
        <w:autoSpaceDE w:val="0"/>
        <w:autoSpaceDN w:val="0"/>
        <w:adjustRightInd w:val="0"/>
        <w:snapToGrid w:val="0"/>
        <w:spacing w:line="360" w:lineRule="auto"/>
        <w:jc w:val="right"/>
        <w:rPr>
          <w:rFonts w:ascii="宋体" w:hAnsi="宋体"/>
          <w:snapToGrid w:val="0"/>
          <w:kern w:val="0"/>
          <w:sz w:val="20"/>
          <w:szCs w:val="20"/>
        </w:rPr>
      </w:pPr>
    </w:p>
    <w:p w14:paraId="7409C730">
      <w:pPr>
        <w:wordWrap w:val="0"/>
        <w:autoSpaceDE w:val="0"/>
        <w:autoSpaceDN w:val="0"/>
        <w:adjustRightInd w:val="0"/>
        <w:snapToGrid w:val="0"/>
        <w:spacing w:line="360" w:lineRule="auto"/>
        <w:ind w:firstLine="315" w:firstLineChars="150"/>
        <w:jc w:val="right"/>
        <w:rPr>
          <w:rFonts w:hint="eastAsia" w:ascii="宋体" w:hAnsi="宋体"/>
          <w:snapToGrid w:val="0"/>
          <w:kern w:val="0"/>
          <w:szCs w:val="21"/>
        </w:rPr>
      </w:pPr>
      <w:r>
        <w:rPr>
          <w:rFonts w:ascii="宋体" w:hAnsi="宋体"/>
          <w:snapToGrid w:val="0"/>
          <w:kern w:val="0"/>
          <w:szCs w:val="21"/>
        </w:rPr>
        <w:t xml:space="preserve">                                          </w:t>
      </w:r>
      <w:r>
        <w:rPr>
          <w:rFonts w:ascii="宋体" w:hAnsi="宋体"/>
          <w:snapToGrid w:val="0"/>
          <w:kern w:val="0"/>
          <w:szCs w:val="21"/>
          <w:u w:val="single"/>
        </w:rPr>
        <w:t xml:space="preserve">       </w:t>
      </w:r>
      <w:r>
        <w:rPr>
          <w:rFonts w:ascii="宋体" w:hAnsi="宋体"/>
          <w:snapToGrid w:val="0"/>
          <w:kern w:val="0"/>
          <w:szCs w:val="21"/>
        </w:rPr>
        <w:t>年</w:t>
      </w:r>
      <w:r>
        <w:rPr>
          <w:rFonts w:hint="eastAsia" w:ascii="宋体" w:hAnsi="宋体"/>
          <w:snapToGrid w:val="0"/>
          <w:kern w:val="0"/>
          <w:szCs w:val="21"/>
          <w:u w:val="single"/>
        </w:rPr>
        <w:t xml:space="preserve">    </w:t>
      </w:r>
      <w:r>
        <w:rPr>
          <w:rFonts w:ascii="宋体" w:hAnsi="宋体"/>
          <w:snapToGrid w:val="0"/>
          <w:kern w:val="0"/>
          <w:szCs w:val="21"/>
        </w:rPr>
        <w:t>月</w:t>
      </w:r>
      <w:r>
        <w:rPr>
          <w:rFonts w:hint="eastAsia" w:ascii="宋体" w:hAnsi="宋体"/>
          <w:snapToGrid w:val="0"/>
          <w:kern w:val="0"/>
          <w:szCs w:val="21"/>
          <w:u w:val="single"/>
        </w:rPr>
        <w:t xml:space="preserve">    </w:t>
      </w:r>
      <w:r>
        <w:rPr>
          <w:rFonts w:ascii="宋体" w:hAnsi="宋体"/>
          <w:snapToGrid w:val="0"/>
          <w:kern w:val="0"/>
          <w:szCs w:val="21"/>
        </w:rPr>
        <w:t>日</w:t>
      </w:r>
    </w:p>
    <w:p w14:paraId="3B096D9E">
      <w:pPr>
        <w:autoSpaceDE w:val="0"/>
        <w:autoSpaceDN w:val="0"/>
        <w:adjustRightInd w:val="0"/>
        <w:snapToGrid w:val="0"/>
        <w:spacing w:line="360" w:lineRule="auto"/>
        <w:jc w:val="left"/>
        <w:rPr>
          <w:rFonts w:ascii="宋体" w:hAnsi="宋体"/>
          <w:snapToGrid w:val="0"/>
          <w:kern w:val="0"/>
          <w:sz w:val="20"/>
          <w:szCs w:val="20"/>
        </w:rPr>
      </w:pPr>
      <w:r>
        <w:rPr>
          <w:rFonts w:ascii="宋体" w:hAnsi="宋体"/>
          <w:b/>
          <w:snapToGrid w:val="0"/>
          <w:kern w:val="0"/>
        </w:rPr>
        <w:br w:type="page"/>
      </w:r>
      <w:r>
        <w:rPr>
          <w:rFonts w:ascii="宋体" w:hAnsi="宋体"/>
          <w:b/>
          <w:snapToGrid w:val="0"/>
          <w:kern w:val="0"/>
        </w:rPr>
        <w:t>附表</w:t>
      </w:r>
      <w:r>
        <w:rPr>
          <w:rFonts w:hint="eastAsia" w:ascii="宋体" w:hAnsi="宋体"/>
          <w:b/>
          <w:snapToGrid w:val="0"/>
          <w:kern w:val="0"/>
        </w:rPr>
        <w:t>五</w:t>
      </w:r>
      <w:r>
        <w:rPr>
          <w:rFonts w:ascii="宋体" w:hAnsi="宋体"/>
          <w:b/>
          <w:snapToGrid w:val="0"/>
          <w:kern w:val="0"/>
        </w:rPr>
        <w:t>：中标通知书</w:t>
      </w:r>
    </w:p>
    <w:p w14:paraId="7E5FE24A">
      <w:pPr>
        <w:autoSpaceDE w:val="0"/>
        <w:autoSpaceDN w:val="0"/>
        <w:adjustRightInd w:val="0"/>
        <w:spacing w:line="360" w:lineRule="auto"/>
        <w:jc w:val="left"/>
        <w:rPr>
          <w:rFonts w:ascii="宋体" w:hAnsi="宋体"/>
          <w:snapToGrid w:val="0"/>
          <w:kern w:val="0"/>
          <w:sz w:val="20"/>
          <w:szCs w:val="20"/>
        </w:rPr>
      </w:pPr>
    </w:p>
    <w:p w14:paraId="7E7E7C7B">
      <w:pPr>
        <w:widowControl/>
        <w:spacing w:before="100" w:beforeAutospacing="1" w:after="100" w:afterAutospacing="1" w:line="360" w:lineRule="auto"/>
        <w:jc w:val="center"/>
        <w:rPr>
          <w:rFonts w:hint="eastAsia" w:ascii="宋体" w:hAnsi="宋体"/>
          <w:b/>
          <w:kern w:val="0"/>
          <w:sz w:val="32"/>
          <w:szCs w:val="32"/>
        </w:rPr>
      </w:pPr>
      <w:r>
        <w:rPr>
          <w:rFonts w:hint="eastAsia" w:ascii="宋体" w:hAnsi="宋体"/>
          <w:b/>
          <w:bCs/>
          <w:kern w:val="0"/>
          <w:sz w:val="32"/>
          <w:szCs w:val="32"/>
        </w:rPr>
        <w:t>重庆市公路养护工程中标通知书</w:t>
      </w:r>
    </w:p>
    <w:p w14:paraId="011B7F9E">
      <w:pPr>
        <w:spacing w:line="360" w:lineRule="auto"/>
        <w:rPr>
          <w:rFonts w:hint="eastAsia" w:ascii="宋体" w:hAnsi="宋体"/>
          <w:bCs/>
          <w:kern w:val="0"/>
          <w:szCs w:val="21"/>
          <w:u w:val="single"/>
        </w:rPr>
      </w:pP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kern w:val="0"/>
          <w:szCs w:val="21"/>
          <w:u w:val="single"/>
        </w:rPr>
        <w:t>中标单位</w:t>
      </w:r>
      <w:r>
        <w:rPr>
          <w:rFonts w:ascii="宋体" w:hAnsi="宋体"/>
          <w:bCs/>
          <w:kern w:val="0"/>
          <w:sz w:val="24"/>
          <w:u w:val="single"/>
        </w:rPr>
        <w:t xml:space="preserve">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rPr>
        <w:t>：</w:t>
      </w:r>
    </w:p>
    <w:p w14:paraId="6BFFCD8C">
      <w:pPr>
        <w:spacing w:line="360" w:lineRule="auto"/>
        <w:ind w:firstLine="420" w:firstLineChars="200"/>
        <w:rPr>
          <w:rFonts w:hint="eastAsia" w:ascii="宋体" w:hAnsi="宋体"/>
          <w:kern w:val="0"/>
          <w:szCs w:val="21"/>
        </w:rPr>
      </w:pPr>
      <w:r>
        <w:rPr>
          <w:rFonts w:ascii="宋体" w:hAnsi="宋体"/>
          <w:kern w:val="0"/>
          <w:szCs w:val="21"/>
        </w:rPr>
        <w:t xml:space="preserve">我单位拟建的 </w:t>
      </w:r>
      <w:r>
        <w:rPr>
          <w:rFonts w:ascii="宋体" w:hAnsi="宋体"/>
          <w:bCs/>
          <w:kern w:val="0"/>
          <w:szCs w:val="21"/>
          <w:u w:val="single"/>
        </w:rPr>
        <w:t xml:space="preserve">  </w:t>
      </w:r>
      <w:r>
        <w:rPr>
          <w:rFonts w:hint="eastAsia" w:ascii="宋体" w:hAnsi="宋体"/>
          <w:bCs/>
          <w:kern w:val="0"/>
          <w:szCs w:val="21"/>
          <w:u w:val="single"/>
        </w:rPr>
        <w:t xml:space="preserve">  （项目名称）    </w:t>
      </w:r>
      <w:r>
        <w:rPr>
          <w:rFonts w:ascii="宋体" w:hAnsi="宋体"/>
          <w:kern w:val="0"/>
          <w:szCs w:val="21"/>
        </w:rPr>
        <w:t>于</w:t>
      </w:r>
      <w:r>
        <w:rPr>
          <w:rFonts w:hint="eastAsia" w:ascii="宋体" w:hAnsi="宋体"/>
          <w:bCs/>
          <w:kern w:val="0"/>
          <w:szCs w:val="21"/>
          <w:u w:val="single"/>
        </w:rPr>
        <w:t xml:space="preserve">    </w:t>
      </w:r>
      <w:r>
        <w:rPr>
          <w:rFonts w:ascii="宋体" w:hAnsi="宋体"/>
          <w:kern w:val="0"/>
          <w:szCs w:val="21"/>
        </w:rPr>
        <w:t>年</w:t>
      </w:r>
      <w:r>
        <w:rPr>
          <w:rFonts w:hint="eastAsia" w:ascii="宋体" w:hAnsi="宋体"/>
          <w:bCs/>
          <w:kern w:val="0"/>
          <w:szCs w:val="21"/>
          <w:u w:val="single"/>
        </w:rPr>
        <w:t xml:space="preserve">    </w:t>
      </w:r>
      <w:r>
        <w:rPr>
          <w:rFonts w:ascii="宋体" w:hAnsi="宋体"/>
          <w:kern w:val="0"/>
          <w:szCs w:val="21"/>
        </w:rPr>
        <w:t>月</w:t>
      </w:r>
      <w:r>
        <w:rPr>
          <w:rFonts w:hint="eastAsia" w:ascii="宋体" w:hAnsi="宋体"/>
          <w:bCs/>
          <w:kern w:val="0"/>
          <w:szCs w:val="21"/>
          <w:u w:val="single"/>
        </w:rPr>
        <w:t xml:space="preserve">    </w:t>
      </w:r>
      <w:r>
        <w:rPr>
          <w:rFonts w:ascii="宋体" w:hAnsi="宋体"/>
          <w:kern w:val="0"/>
          <w:szCs w:val="21"/>
        </w:rPr>
        <w:t>日开标，经评标委员会评定，确定你单位为中标人，中标额为</w:t>
      </w:r>
      <w:r>
        <w:rPr>
          <w:rFonts w:hint="eastAsia" w:ascii="宋体" w:hAnsi="宋体"/>
          <w:kern w:val="0"/>
          <w:szCs w:val="21"/>
        </w:rPr>
        <w:t>（大写）</w:t>
      </w:r>
      <w:r>
        <w:rPr>
          <w:rFonts w:hint="eastAsia" w:ascii="宋体" w:hAnsi="宋体"/>
          <w:kern w:val="0"/>
          <w:szCs w:val="21"/>
          <w:u w:val="single"/>
        </w:rPr>
        <w:t xml:space="preserve">        </w:t>
      </w:r>
      <w:r>
        <w:rPr>
          <w:rFonts w:hint="eastAsia" w:ascii="宋体" w:hAnsi="宋体"/>
          <w:kern w:val="0"/>
          <w:szCs w:val="21"/>
        </w:rPr>
        <w:t>，</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。中标工程范围：</w:t>
      </w:r>
      <w:r>
        <w:rPr>
          <w:rFonts w:ascii="宋体" w:hAnsi="宋体"/>
          <w:bCs/>
          <w:kern w:val="0"/>
          <w:szCs w:val="21"/>
          <w:u w:val="single"/>
        </w:rPr>
        <w:t xml:space="preserve">     </w:t>
      </w:r>
      <w:r>
        <w:rPr>
          <w:rFonts w:ascii="宋体" w:hAnsi="宋体"/>
          <w:kern w:val="0"/>
          <w:szCs w:val="21"/>
        </w:rPr>
        <w:t xml:space="preserve">，工程规模为 </w:t>
      </w:r>
      <w:r>
        <w:rPr>
          <w:rFonts w:ascii="宋体" w:hAnsi="宋体"/>
          <w:bCs/>
          <w:kern w:val="0"/>
          <w:szCs w:val="21"/>
          <w:u w:val="single"/>
        </w:rPr>
        <w:t xml:space="preserve">      </w:t>
      </w:r>
      <w:r>
        <w:rPr>
          <w:rFonts w:ascii="宋体" w:hAnsi="宋体"/>
          <w:kern w:val="0"/>
          <w:szCs w:val="21"/>
        </w:rPr>
        <w:t xml:space="preserve">，中标工期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u w:val="single"/>
        </w:rPr>
        <w:t>日历天</w:t>
      </w:r>
      <w:r>
        <w:rPr>
          <w:rFonts w:ascii="宋体" w:hAnsi="宋体"/>
          <w:kern w:val="0"/>
          <w:szCs w:val="21"/>
        </w:rPr>
        <w:t>，工程质量</w:t>
      </w:r>
      <w:r>
        <w:rPr>
          <w:rFonts w:hint="eastAsia" w:ascii="宋体" w:hAnsi="宋体"/>
          <w:kern w:val="0"/>
          <w:szCs w:val="21"/>
        </w:rPr>
        <w:t>要求：</w:t>
      </w:r>
      <w:r>
        <w:rPr>
          <w:rFonts w:hint="eastAsia" w:ascii="宋体" w:hAnsi="宋体"/>
          <w:kern w:val="0"/>
          <w:szCs w:val="21"/>
          <w:u w:val="single"/>
        </w:rPr>
        <w:t xml:space="preserve">              </w:t>
      </w:r>
      <w:r>
        <w:rPr>
          <w:rFonts w:hint="eastAsia" w:ascii="宋体" w:hAnsi="宋体"/>
          <w:kern w:val="0"/>
          <w:szCs w:val="21"/>
        </w:rPr>
        <w:t xml:space="preserve"> ，工程安全目标：</w:t>
      </w:r>
      <w:r>
        <w:rPr>
          <w:rFonts w:hint="eastAsia" w:ascii="宋体" w:hAnsi="宋体"/>
          <w:kern w:val="0"/>
          <w:szCs w:val="21"/>
          <w:u w:val="single"/>
        </w:rPr>
        <w:t xml:space="preserve">              </w:t>
      </w:r>
      <w:r>
        <w:rPr>
          <w:rFonts w:hint="eastAsia" w:ascii="宋体" w:hAnsi="宋体"/>
          <w:kern w:val="0"/>
          <w:szCs w:val="21"/>
        </w:rPr>
        <w:t xml:space="preserve"> ，</w:t>
      </w:r>
      <w:r>
        <w:rPr>
          <w:rFonts w:ascii="宋体" w:hAnsi="宋体"/>
          <w:kern w:val="0"/>
          <w:szCs w:val="21"/>
        </w:rPr>
        <w:t>项目经理由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r>
        <w:rPr>
          <w:rFonts w:hint="eastAsia" w:ascii="宋体" w:hAnsi="宋体"/>
          <w:kern w:val="0"/>
          <w:szCs w:val="21"/>
        </w:rPr>
        <w:t>，</w:t>
      </w:r>
      <w:r>
        <w:rPr>
          <w:rFonts w:ascii="宋体" w:hAnsi="宋体"/>
          <w:kern w:val="0"/>
          <w:szCs w:val="21"/>
        </w:rPr>
        <w:t>项目</w:t>
      </w:r>
      <w:r>
        <w:rPr>
          <w:rFonts w:hint="eastAsia" w:ascii="宋体" w:hAnsi="宋体"/>
          <w:kern w:val="0"/>
          <w:szCs w:val="21"/>
        </w:rPr>
        <w:t>总工</w:t>
      </w:r>
      <w:r>
        <w:rPr>
          <w:rFonts w:ascii="宋体" w:hAnsi="宋体"/>
          <w:kern w:val="0"/>
          <w:szCs w:val="21"/>
        </w:rPr>
        <w:t>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r>
        <w:rPr>
          <w:rFonts w:hint="eastAsia" w:ascii="宋体" w:hAnsi="宋体"/>
          <w:kern w:val="0"/>
          <w:szCs w:val="21"/>
        </w:rPr>
        <w:t>，</w:t>
      </w:r>
      <w:r>
        <w:rPr>
          <w:rFonts w:hint="eastAsia" w:ascii="宋体" w:hAnsi="宋体"/>
          <w:kern w:val="0"/>
        </w:rPr>
        <w:t>□</w:t>
      </w:r>
      <w:r>
        <w:rPr>
          <w:rFonts w:hint="eastAsia" w:ascii="宋体" w:hAnsi="宋体"/>
          <w:kern w:val="0"/>
          <w:szCs w:val="21"/>
        </w:rPr>
        <w:t>设计负责人</w:t>
      </w:r>
      <w:r>
        <w:rPr>
          <w:rFonts w:ascii="宋体" w:hAnsi="宋体"/>
          <w:kern w:val="0"/>
          <w:szCs w:val="21"/>
        </w:rPr>
        <w:t>由</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担任。</w:t>
      </w:r>
    </w:p>
    <w:p w14:paraId="07C2FD8A">
      <w:pPr>
        <w:spacing w:line="360" w:lineRule="auto"/>
        <w:ind w:firstLine="420" w:firstLineChars="200"/>
        <w:rPr>
          <w:rFonts w:hint="eastAsia" w:ascii="宋体" w:hAnsi="宋体"/>
          <w:kern w:val="0"/>
          <w:szCs w:val="21"/>
        </w:rPr>
      </w:pPr>
      <w:r>
        <w:rPr>
          <w:rFonts w:ascii="宋体" w:hAnsi="宋体"/>
          <w:kern w:val="0"/>
          <w:szCs w:val="21"/>
        </w:rPr>
        <w:t xml:space="preserve">你单位收到中标通知书后，在 </w:t>
      </w:r>
      <w:r>
        <w:rPr>
          <w:rFonts w:ascii="宋体" w:hAnsi="宋体"/>
          <w:bCs/>
          <w:kern w:val="0"/>
          <w:szCs w:val="21"/>
          <w:u w:val="single"/>
        </w:rPr>
        <w:t xml:space="preserve"> </w:t>
      </w:r>
      <w:r>
        <w:rPr>
          <w:rFonts w:hint="eastAsia" w:ascii="宋体" w:hAnsi="宋体"/>
          <w:bCs/>
          <w:kern w:val="0"/>
          <w:szCs w:val="21"/>
          <w:u w:val="single"/>
        </w:rPr>
        <w:t xml:space="preserve">      </w:t>
      </w:r>
      <w:r>
        <w:rPr>
          <w:rFonts w:ascii="宋体" w:hAnsi="宋体"/>
          <w:bCs/>
          <w:kern w:val="0"/>
          <w:szCs w:val="21"/>
          <w:u w:val="single"/>
        </w:rPr>
        <w:t xml:space="preserve">   </w:t>
      </w:r>
      <w:r>
        <w:rPr>
          <w:rFonts w:ascii="宋体" w:hAnsi="宋体"/>
          <w:kern w:val="0"/>
          <w:szCs w:val="21"/>
        </w:rPr>
        <w:t>日内到我单位签订承发包合同。</w:t>
      </w:r>
      <w:r>
        <w:rPr>
          <w:szCs w:val="21"/>
        </w:rPr>
        <w:t>在此之前按招标文件第二章</w:t>
      </w:r>
      <w:r>
        <w:rPr>
          <w:rFonts w:hint="eastAsia"/>
          <w:szCs w:val="21"/>
        </w:rPr>
        <w:t>“</w:t>
      </w:r>
      <w:r>
        <w:rPr>
          <w:szCs w:val="21"/>
        </w:rPr>
        <w:t>投标人须知</w:t>
      </w:r>
      <w:r>
        <w:rPr>
          <w:rFonts w:hint="eastAsia"/>
          <w:szCs w:val="21"/>
        </w:rPr>
        <w:t>”</w:t>
      </w:r>
      <w:r>
        <w:rPr>
          <w:szCs w:val="21"/>
        </w:rPr>
        <w:t>第</w:t>
      </w:r>
      <w:r>
        <w:rPr>
          <w:rFonts w:ascii="宋体" w:hAnsi="宋体"/>
          <w:szCs w:val="21"/>
        </w:rPr>
        <w:t>7.</w:t>
      </w:r>
      <w:r>
        <w:rPr>
          <w:rFonts w:hint="eastAsia" w:ascii="宋体" w:hAnsi="宋体"/>
          <w:szCs w:val="21"/>
        </w:rPr>
        <w:t>7</w:t>
      </w:r>
      <w:r>
        <w:rPr>
          <w:szCs w:val="21"/>
        </w:rPr>
        <w:t>款规定向我方提交</w:t>
      </w:r>
      <w:r>
        <w:rPr>
          <w:rFonts w:hint="eastAsia"/>
          <w:szCs w:val="21"/>
        </w:rPr>
        <w:t>履约保证金</w:t>
      </w:r>
      <w:r>
        <w:rPr>
          <w:szCs w:val="21"/>
        </w:rPr>
        <w:t>。</w:t>
      </w:r>
    </w:p>
    <w:p w14:paraId="3B44DC24">
      <w:pPr>
        <w:spacing w:line="360" w:lineRule="auto"/>
        <w:ind w:firstLine="420" w:firstLineChars="200"/>
        <w:rPr>
          <w:rFonts w:ascii="宋体" w:hAnsi="宋体"/>
          <w:kern w:val="0"/>
          <w:szCs w:val="21"/>
        </w:rPr>
      </w:pPr>
      <w:r>
        <w:rPr>
          <w:rFonts w:ascii="宋体" w:hAnsi="宋体"/>
          <w:kern w:val="0"/>
          <w:szCs w:val="21"/>
        </w:rPr>
        <w:t>特此通知。</w:t>
      </w:r>
    </w:p>
    <w:p w14:paraId="023EBD05">
      <w:pPr>
        <w:spacing w:line="480" w:lineRule="auto"/>
        <w:rPr>
          <w:rFonts w:ascii="宋体" w:hAnsi="宋体"/>
          <w:kern w:val="0"/>
          <w:szCs w:val="21"/>
        </w:rPr>
      </w:pPr>
    </w:p>
    <w:p w14:paraId="44EFD01E">
      <w:pPr>
        <w:spacing w:line="480" w:lineRule="auto"/>
        <w:rPr>
          <w:rFonts w:ascii="宋体" w:hAnsi="宋体"/>
          <w:kern w:val="0"/>
          <w:sz w:val="24"/>
        </w:rPr>
      </w:pPr>
    </w:p>
    <w:p w14:paraId="01F1CD99">
      <w:pPr>
        <w:spacing w:line="480" w:lineRule="auto"/>
        <w:rPr>
          <w:rFonts w:ascii="宋体" w:hAnsi="宋体"/>
          <w:kern w:val="0"/>
          <w:sz w:val="24"/>
        </w:rPr>
      </w:pPr>
    </w:p>
    <w:p w14:paraId="06943AEA">
      <w:pPr>
        <w:spacing w:line="480" w:lineRule="auto"/>
        <w:jc w:val="left"/>
        <w:rPr>
          <w:rFonts w:ascii="宋体" w:hAnsi="宋体"/>
          <w:kern w:val="0"/>
          <w:szCs w:val="21"/>
        </w:rPr>
      </w:pPr>
      <w:r>
        <w:rPr>
          <w:rFonts w:ascii="宋体" w:hAnsi="宋体"/>
          <w:kern w:val="0"/>
          <w:sz w:val="24"/>
        </w:rPr>
        <w:t xml:space="preserve">                             </w:t>
      </w:r>
      <w:r>
        <w:rPr>
          <w:rFonts w:ascii="宋体" w:hAnsi="宋体"/>
          <w:kern w:val="0"/>
          <w:szCs w:val="21"/>
        </w:rPr>
        <w:t>招标人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ascii="宋体" w:hAnsi="宋体"/>
          <w:snapToGrid w:val="0"/>
          <w:kern w:val="0"/>
          <w:szCs w:val="21"/>
        </w:rPr>
        <w:t>盖单位法人章</w:t>
      </w:r>
      <w:r>
        <w:rPr>
          <w:rFonts w:ascii="宋体" w:hAnsi="宋体"/>
          <w:kern w:val="0"/>
          <w:szCs w:val="21"/>
        </w:rPr>
        <w:t>）</w:t>
      </w:r>
    </w:p>
    <w:p w14:paraId="161CD2DE">
      <w:pPr>
        <w:spacing w:line="480" w:lineRule="auto"/>
        <w:jc w:val="left"/>
        <w:rPr>
          <w:rFonts w:ascii="宋体" w:hAnsi="宋体"/>
          <w:kern w:val="0"/>
          <w:szCs w:val="21"/>
        </w:rPr>
      </w:pPr>
      <w:r>
        <w:rPr>
          <w:rFonts w:ascii="宋体" w:hAnsi="宋体"/>
          <w:kern w:val="0"/>
          <w:szCs w:val="21"/>
        </w:rPr>
        <w:t xml:space="preserve">                                 法定代表人</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3642757C">
      <w:pPr>
        <w:spacing w:line="480" w:lineRule="auto"/>
        <w:jc w:val="left"/>
        <w:rPr>
          <w:rFonts w:ascii="宋体" w:hAnsi="宋体"/>
          <w:kern w:val="0"/>
          <w:szCs w:val="21"/>
          <w:u w:val="single"/>
        </w:rPr>
      </w:pPr>
      <w:r>
        <w:rPr>
          <w:rFonts w:ascii="宋体" w:hAnsi="宋体"/>
          <w:kern w:val="0"/>
          <w:szCs w:val="21"/>
        </w:rPr>
        <w:t xml:space="preserve">                                 联系人</w:t>
      </w:r>
      <w:r>
        <w:rPr>
          <w:rFonts w:ascii="宋体" w:hAnsi="宋体"/>
          <w:snapToGrid w:val="0"/>
          <w:kern w:val="0"/>
          <w:szCs w:val="21"/>
        </w:rPr>
        <w:t>：</w:t>
      </w:r>
      <w:r>
        <w:rPr>
          <w:rFonts w:ascii="宋体" w:hAnsi="宋体"/>
          <w:kern w:val="0"/>
          <w:szCs w:val="21"/>
          <w:u w:val="single"/>
        </w:rPr>
        <w:t xml:space="preserve">                          </w:t>
      </w:r>
    </w:p>
    <w:p w14:paraId="5D807D58">
      <w:pPr>
        <w:spacing w:line="480" w:lineRule="auto"/>
        <w:jc w:val="left"/>
        <w:rPr>
          <w:rFonts w:ascii="宋体" w:hAnsi="宋体"/>
          <w:kern w:val="0"/>
          <w:szCs w:val="21"/>
        </w:rPr>
      </w:pPr>
      <w:r>
        <w:rPr>
          <w:rFonts w:ascii="宋体" w:hAnsi="宋体"/>
          <w:kern w:val="0"/>
          <w:szCs w:val="21"/>
        </w:rPr>
        <w:t xml:space="preserve">                                 联系电话</w:t>
      </w:r>
      <w:r>
        <w:rPr>
          <w:rFonts w:ascii="宋体" w:hAnsi="宋体"/>
          <w:snapToGrid w:val="0"/>
          <w:kern w:val="0"/>
          <w:szCs w:val="21"/>
        </w:rPr>
        <w:t>：</w:t>
      </w:r>
      <w:r>
        <w:rPr>
          <w:rFonts w:ascii="宋体" w:hAnsi="宋体"/>
          <w:kern w:val="0"/>
          <w:szCs w:val="21"/>
          <w:u w:val="single"/>
        </w:rPr>
        <w:t xml:space="preserve">                        </w:t>
      </w:r>
    </w:p>
    <w:p w14:paraId="3FBA6890">
      <w:pPr>
        <w:spacing w:line="480" w:lineRule="auto"/>
        <w:jc w:val="right"/>
        <w:rPr>
          <w:rFonts w:hint="eastAsia" w:ascii="宋体" w:hAnsi="宋体"/>
          <w:kern w:val="0"/>
          <w:szCs w:val="21"/>
        </w:rPr>
      </w:pPr>
    </w:p>
    <w:p w14:paraId="0A478F7B">
      <w:pPr>
        <w:spacing w:line="480" w:lineRule="auto"/>
        <w:jc w:val="right"/>
        <w:rPr>
          <w:rFonts w:hint="eastAsia" w:ascii="宋体" w:hAnsi="宋体"/>
          <w:kern w:val="0"/>
          <w:szCs w:val="21"/>
        </w:rPr>
      </w:pPr>
    </w:p>
    <w:p w14:paraId="55FF9D2F">
      <w:pPr>
        <w:spacing w:line="480" w:lineRule="auto"/>
        <w:jc w:val="right"/>
        <w:rPr>
          <w:rFonts w:ascii="宋体" w:hAnsi="宋体"/>
          <w:kern w:val="0"/>
          <w:szCs w:val="21"/>
        </w:rPr>
      </w:pPr>
      <w:r>
        <w:rPr>
          <w:rFonts w:ascii="宋体" w:hAnsi="宋体"/>
          <w:kern w:val="0"/>
          <w:szCs w:val="21"/>
        </w:rPr>
        <w:t xml:space="preserve">                   签发日期</w:t>
      </w:r>
      <w:r>
        <w:rPr>
          <w:rFonts w:ascii="宋体" w:hAnsi="宋体"/>
          <w:snapToGrid w:val="0"/>
          <w:kern w:val="0"/>
          <w:szCs w:val="21"/>
        </w:rPr>
        <w:t>：</w:t>
      </w:r>
      <w:r>
        <w:rPr>
          <w:rFonts w:ascii="宋体" w:hAnsi="宋体"/>
          <w:kern w:val="0"/>
          <w:szCs w:val="21"/>
          <w:u w:val="single"/>
        </w:rPr>
        <w:t xml:space="preserve">        </w:t>
      </w:r>
      <w:r>
        <w:rPr>
          <w:rFonts w:ascii="宋体" w:hAnsi="宋体"/>
          <w:kern w:val="0"/>
          <w:szCs w:val="21"/>
        </w:rPr>
        <w:t>年</w:t>
      </w:r>
      <w:r>
        <w:rPr>
          <w:rFonts w:ascii="宋体" w:hAnsi="宋体"/>
          <w:kern w:val="0"/>
          <w:szCs w:val="21"/>
          <w:u w:val="single"/>
        </w:rPr>
        <w:t xml:space="preserve">     </w:t>
      </w:r>
      <w:r>
        <w:rPr>
          <w:rFonts w:ascii="宋体" w:hAnsi="宋体"/>
          <w:kern w:val="0"/>
          <w:szCs w:val="21"/>
        </w:rPr>
        <w:t>月</w:t>
      </w:r>
      <w:r>
        <w:rPr>
          <w:rFonts w:ascii="宋体" w:hAnsi="宋体"/>
          <w:kern w:val="0"/>
          <w:szCs w:val="21"/>
          <w:u w:val="single"/>
        </w:rPr>
        <w:t xml:space="preserve">     </w:t>
      </w:r>
      <w:r>
        <w:rPr>
          <w:rFonts w:ascii="宋体" w:hAnsi="宋体"/>
          <w:kern w:val="0"/>
          <w:szCs w:val="21"/>
        </w:rPr>
        <w:t>日</w:t>
      </w:r>
    </w:p>
    <w:p w14:paraId="63606DBE">
      <w:pPr>
        <w:spacing w:line="200" w:lineRule="exact"/>
        <w:rPr>
          <w:rFonts w:hint="eastAsia" w:ascii="宋体" w:hAnsi="宋体"/>
          <w:kern w:val="0"/>
        </w:rPr>
      </w:pPr>
      <w:r>
        <w:rPr>
          <w:rFonts w:ascii="宋体" w:hAnsi="宋体"/>
          <w:snapToGrid w:val="0"/>
          <w:kern w:val="0"/>
        </w:rPr>
        <w:br w:type="page"/>
      </w:r>
      <w:bookmarkStart w:id="292" w:name="_Toc224103370"/>
    </w:p>
    <w:bookmarkEnd w:id="292"/>
    <w:p w14:paraId="66534409">
      <w:pPr>
        <w:pStyle w:val="3"/>
        <w:spacing w:line="360" w:lineRule="auto"/>
        <w:jc w:val="center"/>
        <w:rPr>
          <w:rFonts w:hint="eastAsia" w:ascii="宋体" w:hAnsi="宋体" w:cs="宋体"/>
          <w:bCs w:val="0"/>
          <w:snapToGrid w:val="0"/>
          <w:kern w:val="0"/>
        </w:rPr>
      </w:pPr>
      <w:bookmarkStart w:id="293" w:name="招标文件03章02评标办法综合评估法"/>
      <w:bookmarkEnd w:id="293"/>
      <w:bookmarkStart w:id="294" w:name="招标文件03章02评标办法综合评估法00"/>
      <w:bookmarkEnd w:id="294"/>
      <w:bookmarkStart w:id="295" w:name="_Toc29317"/>
      <w:bookmarkStart w:id="296" w:name="_Toc509218763"/>
      <w:bookmarkStart w:id="297" w:name="_Toc57795916"/>
      <w:bookmarkStart w:id="298" w:name="_Toc277082608"/>
      <w:bookmarkStart w:id="299" w:name="_Toc287620740"/>
      <w:bookmarkStart w:id="300" w:name="_Toc287607801"/>
      <w:bookmarkStart w:id="301" w:name="_Toc209605549"/>
      <w:bookmarkStart w:id="302" w:name="_Toc224103373"/>
      <w:bookmarkStart w:id="303" w:name="_Toc287620749"/>
      <w:bookmarkStart w:id="304" w:name="_Toc287607810"/>
      <w:r>
        <w:rPr>
          <w:rFonts w:hint="eastAsia" w:ascii="宋体" w:hAnsi="宋体" w:cs="宋体"/>
          <w:bCs w:val="0"/>
          <w:snapToGrid w:val="0"/>
          <w:kern w:val="0"/>
        </w:rPr>
        <w:t>第三章  评标办法（经评审的最低投标价法）</w:t>
      </w:r>
      <w:bookmarkEnd w:id="295"/>
      <w:bookmarkEnd w:id="296"/>
      <w:bookmarkEnd w:id="297"/>
    </w:p>
    <w:p w14:paraId="5271A35C">
      <w:pPr>
        <w:pStyle w:val="4"/>
        <w:spacing w:before="100" w:after="100" w:line="360" w:lineRule="auto"/>
        <w:rPr>
          <w:rFonts w:hint="eastAsia" w:ascii="宋体" w:hAnsi="宋体" w:cs="宋体"/>
          <w:bCs w:val="0"/>
          <w:sz w:val="28"/>
          <w:szCs w:val="28"/>
        </w:rPr>
      </w:pPr>
      <w:bookmarkStart w:id="305" w:name="_Toc57795917"/>
      <w:bookmarkStart w:id="306" w:name="_Toc509218764"/>
      <w:bookmarkStart w:id="307" w:name="_Toc11837"/>
      <w:bookmarkStart w:id="308" w:name="_Toc536800697"/>
      <w:bookmarkStart w:id="309" w:name="_Toc536782033"/>
      <w:bookmarkStart w:id="310" w:name="_Toc277082606"/>
      <w:bookmarkStart w:id="311" w:name="_Toc430530489"/>
      <w:bookmarkStart w:id="312" w:name="_Toc287607800"/>
      <w:bookmarkStart w:id="313" w:name="_Toc224103371"/>
      <w:bookmarkStart w:id="314" w:name="_Toc287620739"/>
      <w:r>
        <w:rPr>
          <w:rFonts w:hint="eastAsia" w:ascii="宋体" w:hAnsi="宋体" w:cs="宋体"/>
          <w:bCs w:val="0"/>
          <w:sz w:val="28"/>
          <w:szCs w:val="28"/>
        </w:rPr>
        <w:t>评标办法前附表</w:t>
      </w:r>
      <w:bookmarkEnd w:id="305"/>
      <w:bookmarkEnd w:id="306"/>
      <w:bookmarkEnd w:id="307"/>
      <w:bookmarkEnd w:id="308"/>
      <w:bookmarkEnd w:id="309"/>
      <w:bookmarkStart w:id="315" w:name="_Toc13210726"/>
    </w:p>
    <w:p w14:paraId="75753F58">
      <w:pPr>
        <w:spacing w:line="400" w:lineRule="exact"/>
        <w:ind w:firstLine="436" w:firstLineChars="200"/>
        <w:rPr>
          <w:rFonts w:ascii="宋体" w:hAnsi="宋体"/>
          <w:spacing w:val="4"/>
          <w:kern w:val="0"/>
          <w:szCs w:val="21"/>
        </w:rPr>
      </w:pPr>
      <w:r>
        <w:rPr>
          <w:rFonts w:ascii="宋体" w:hAnsi="宋体"/>
          <w:spacing w:val="4"/>
          <w:kern w:val="0"/>
          <w:szCs w:val="21"/>
        </w:rPr>
        <w:t>评标办法中的评审内容必须和投标人须知中的对应内容一致，若投标人须知中未作要求的内容，不得列入评标办法作为评定依据。</w:t>
      </w:r>
      <w:bookmarkEnd w:id="315"/>
    </w:p>
    <w:tbl>
      <w:tblPr>
        <w:tblStyle w:val="31"/>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3"/>
        <w:gridCol w:w="1560"/>
        <w:gridCol w:w="2267"/>
        <w:gridCol w:w="4615"/>
      </w:tblGrid>
      <w:tr w14:paraId="2E10FA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243" w:type="dxa"/>
            <w:tcBorders>
              <w:right w:val="single" w:color="auto" w:sz="4" w:space="0"/>
            </w:tcBorders>
            <w:vAlign w:val="center"/>
          </w:tcPr>
          <w:p w14:paraId="04EC038A">
            <w:pPr>
              <w:spacing w:line="400" w:lineRule="exact"/>
              <w:jc w:val="center"/>
              <w:rPr>
                <w:rFonts w:ascii="宋体" w:hAnsi="宋体"/>
                <w:b/>
                <w:kern w:val="0"/>
              </w:rPr>
            </w:pPr>
            <w:r>
              <w:rPr>
                <w:rFonts w:ascii="宋体" w:hAnsi="宋体"/>
                <w:b/>
                <w:kern w:val="0"/>
              </w:rPr>
              <w:t>条款号</w:t>
            </w:r>
          </w:p>
        </w:tc>
        <w:tc>
          <w:tcPr>
            <w:tcW w:w="1560" w:type="dxa"/>
            <w:tcBorders>
              <w:left w:val="single" w:color="auto" w:sz="4" w:space="0"/>
            </w:tcBorders>
            <w:vAlign w:val="center"/>
          </w:tcPr>
          <w:p w14:paraId="4BDF842E">
            <w:pPr>
              <w:spacing w:line="400" w:lineRule="exact"/>
              <w:jc w:val="center"/>
              <w:rPr>
                <w:rFonts w:ascii="宋体" w:hAnsi="宋体"/>
                <w:b/>
                <w:kern w:val="0"/>
              </w:rPr>
            </w:pPr>
            <w:r>
              <w:rPr>
                <w:rFonts w:ascii="宋体" w:hAnsi="宋体"/>
                <w:b/>
                <w:kern w:val="0"/>
              </w:rPr>
              <w:t>评审因素</w:t>
            </w:r>
          </w:p>
        </w:tc>
        <w:tc>
          <w:tcPr>
            <w:tcW w:w="6882" w:type="dxa"/>
            <w:gridSpan w:val="2"/>
            <w:vAlign w:val="center"/>
          </w:tcPr>
          <w:p w14:paraId="5D3850F9">
            <w:pPr>
              <w:spacing w:line="400" w:lineRule="exact"/>
              <w:jc w:val="center"/>
              <w:rPr>
                <w:rFonts w:ascii="宋体" w:hAnsi="宋体"/>
                <w:b/>
                <w:kern w:val="0"/>
              </w:rPr>
            </w:pPr>
            <w:r>
              <w:rPr>
                <w:rFonts w:ascii="宋体" w:hAnsi="宋体"/>
                <w:b/>
                <w:kern w:val="0"/>
              </w:rPr>
              <w:t>评审标准</w:t>
            </w:r>
          </w:p>
        </w:tc>
      </w:tr>
      <w:tr w14:paraId="34CA9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243" w:type="dxa"/>
            <w:tcBorders>
              <w:right w:val="single" w:color="auto" w:sz="4" w:space="0"/>
            </w:tcBorders>
            <w:vAlign w:val="center"/>
          </w:tcPr>
          <w:p w14:paraId="053F2860">
            <w:pPr>
              <w:pStyle w:val="66"/>
              <w:spacing w:line="400" w:lineRule="exact"/>
              <w:ind w:firstLine="420"/>
              <w:rPr>
                <w:rFonts w:hAnsi="宋体"/>
                <w:sz w:val="21"/>
                <w:szCs w:val="21"/>
              </w:rPr>
            </w:pPr>
            <w:r>
              <w:rPr>
                <w:rFonts w:hAnsi="宋体"/>
                <w:sz w:val="21"/>
                <w:szCs w:val="21"/>
              </w:rPr>
              <w:t>1</w:t>
            </w:r>
          </w:p>
        </w:tc>
        <w:tc>
          <w:tcPr>
            <w:tcW w:w="1560" w:type="dxa"/>
            <w:tcBorders>
              <w:left w:val="single" w:color="auto" w:sz="4" w:space="0"/>
            </w:tcBorders>
            <w:vAlign w:val="center"/>
          </w:tcPr>
          <w:p w14:paraId="69ACF839">
            <w:pPr>
              <w:pStyle w:val="66"/>
              <w:spacing w:line="400" w:lineRule="exact"/>
              <w:ind w:firstLine="0" w:firstLineChars="0"/>
              <w:jc w:val="center"/>
              <w:rPr>
                <w:rFonts w:hAnsi="宋体"/>
                <w:sz w:val="21"/>
                <w:szCs w:val="21"/>
              </w:rPr>
            </w:pPr>
            <w:r>
              <w:rPr>
                <w:rFonts w:hint="eastAsia" w:hAnsi="宋体"/>
                <w:sz w:val="21"/>
                <w:szCs w:val="21"/>
              </w:rPr>
              <w:t>评标办法</w:t>
            </w:r>
          </w:p>
        </w:tc>
        <w:tc>
          <w:tcPr>
            <w:tcW w:w="6882" w:type="dxa"/>
            <w:gridSpan w:val="2"/>
            <w:vAlign w:val="center"/>
          </w:tcPr>
          <w:p w14:paraId="76F8C2C2">
            <w:pPr>
              <w:spacing w:line="400" w:lineRule="exact"/>
              <w:ind w:firstLine="427" w:firstLineChars="196"/>
              <w:rPr>
                <w:rFonts w:ascii="宋体" w:hAnsi="宋体"/>
                <w:spacing w:val="4"/>
                <w:kern w:val="0"/>
                <w:szCs w:val="21"/>
              </w:rPr>
            </w:pPr>
            <w:r>
              <w:rPr>
                <w:rFonts w:hint="eastAsia" w:ascii="宋体" w:hAnsi="宋体"/>
                <w:spacing w:val="4"/>
                <w:kern w:val="0"/>
                <w:szCs w:val="21"/>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14:paraId="28661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72F7D8A2">
            <w:pPr>
              <w:spacing w:line="400" w:lineRule="exact"/>
              <w:jc w:val="center"/>
              <w:rPr>
                <w:rFonts w:ascii="宋体" w:hAnsi="宋体"/>
                <w:kern w:val="0"/>
              </w:rPr>
            </w:pPr>
            <w:r>
              <w:rPr>
                <w:rFonts w:hint="eastAsia" w:ascii="宋体" w:hAnsi="宋体"/>
                <w:kern w:val="0"/>
              </w:rPr>
              <w:t>2.1</w:t>
            </w:r>
          </w:p>
        </w:tc>
        <w:tc>
          <w:tcPr>
            <w:tcW w:w="1560" w:type="dxa"/>
            <w:tcBorders>
              <w:left w:val="single" w:color="auto" w:sz="4" w:space="0"/>
              <w:right w:val="single" w:color="auto" w:sz="4" w:space="0"/>
            </w:tcBorders>
            <w:vAlign w:val="center"/>
          </w:tcPr>
          <w:p w14:paraId="091B66F3">
            <w:pPr>
              <w:spacing w:line="400" w:lineRule="exact"/>
              <w:jc w:val="center"/>
              <w:rPr>
                <w:rFonts w:ascii="宋体" w:hAnsi="宋体"/>
                <w:kern w:val="0"/>
              </w:rPr>
            </w:pPr>
            <w:r>
              <w:rPr>
                <w:rFonts w:ascii="宋体" w:hAnsi="宋体"/>
                <w:kern w:val="0"/>
              </w:rPr>
              <w:t>报价</w:t>
            </w:r>
            <w:r>
              <w:rPr>
                <w:rFonts w:hint="eastAsia" w:ascii="宋体" w:hAnsi="宋体"/>
                <w:kern w:val="0"/>
              </w:rPr>
              <w:t>排序</w:t>
            </w:r>
          </w:p>
        </w:tc>
        <w:tc>
          <w:tcPr>
            <w:tcW w:w="6882" w:type="dxa"/>
            <w:gridSpan w:val="2"/>
            <w:tcBorders>
              <w:left w:val="single" w:color="auto" w:sz="4" w:space="0"/>
            </w:tcBorders>
            <w:vAlign w:val="center"/>
          </w:tcPr>
          <w:p w14:paraId="2633C355">
            <w:pPr>
              <w:spacing w:line="400" w:lineRule="exact"/>
              <w:ind w:firstLine="420" w:firstLineChars="200"/>
              <w:jc w:val="left"/>
              <w:rPr>
                <w:rFonts w:ascii="宋体" w:hAnsi="宋体"/>
                <w:kern w:val="0"/>
              </w:rPr>
            </w:pPr>
            <w:r>
              <w:rPr>
                <w:rFonts w:hint="eastAsia" w:ascii="宋体" w:hAnsi="宋体"/>
                <w:kern w:val="0"/>
              </w:rPr>
              <w:t>对报价不高于最高限价的所有投标人的投标文件，按照报价由低到高的顺序排序。需技术方案评审的，由电子评标系统对技术方案进行自动随机编号。在投标函评审前，推送给评标委员会的投标文件不得显示排序。</w:t>
            </w:r>
          </w:p>
        </w:tc>
      </w:tr>
      <w:tr w14:paraId="0D9F6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tcBorders>
              <w:right w:val="single" w:color="auto" w:sz="4" w:space="0"/>
            </w:tcBorders>
            <w:vAlign w:val="center"/>
          </w:tcPr>
          <w:p w14:paraId="7857F2FD">
            <w:pPr>
              <w:spacing w:line="400" w:lineRule="exact"/>
              <w:jc w:val="center"/>
              <w:rPr>
                <w:rFonts w:hint="eastAsia" w:ascii="宋体" w:hAnsi="宋体"/>
                <w:kern w:val="0"/>
              </w:rPr>
            </w:pPr>
            <w:r>
              <w:rPr>
                <w:rFonts w:hint="eastAsia" w:ascii="宋体" w:hAnsi="宋体"/>
                <w:kern w:val="0"/>
              </w:rPr>
              <w:t>2.2</w:t>
            </w:r>
          </w:p>
        </w:tc>
        <w:tc>
          <w:tcPr>
            <w:tcW w:w="1560" w:type="dxa"/>
            <w:tcBorders>
              <w:left w:val="single" w:color="auto" w:sz="4" w:space="0"/>
              <w:right w:val="single" w:color="auto" w:sz="4" w:space="0"/>
            </w:tcBorders>
            <w:vAlign w:val="center"/>
          </w:tcPr>
          <w:p w14:paraId="50CA47D1">
            <w:pPr>
              <w:spacing w:line="400" w:lineRule="exact"/>
              <w:jc w:val="center"/>
              <w:rPr>
                <w:rFonts w:ascii="宋体" w:hAnsi="宋体"/>
                <w:kern w:val="0"/>
              </w:rPr>
            </w:pPr>
            <w:r>
              <w:rPr>
                <w:rFonts w:hint="eastAsia" w:ascii="宋体" w:hAnsi="宋体"/>
                <w:kern w:val="0"/>
              </w:rPr>
              <w:t>符合性审查</w:t>
            </w:r>
          </w:p>
        </w:tc>
        <w:tc>
          <w:tcPr>
            <w:tcW w:w="6882" w:type="dxa"/>
            <w:gridSpan w:val="2"/>
            <w:tcBorders>
              <w:left w:val="single" w:color="auto" w:sz="4" w:space="0"/>
            </w:tcBorders>
            <w:vAlign w:val="center"/>
          </w:tcPr>
          <w:p w14:paraId="79AAF870">
            <w:pPr>
              <w:spacing w:line="400" w:lineRule="exact"/>
              <w:ind w:firstLine="420" w:firstLineChars="200"/>
              <w:jc w:val="left"/>
              <w:rPr>
                <w:rFonts w:hint="eastAsia" w:ascii="宋体" w:hAnsi="宋体"/>
                <w:kern w:val="0"/>
              </w:rPr>
            </w:pPr>
            <w:r>
              <w:rPr>
                <w:rFonts w:hint="eastAsia" w:ascii="宋体" w:hAnsi="宋体"/>
                <w:kern w:val="0"/>
              </w:rPr>
              <w:t>取报价排序前□5□6□7名（若实际投标人数量小于勾选数量，</w:t>
            </w:r>
            <w:r>
              <w:rPr>
                <w:rFonts w:hint="eastAsia" w:ascii="宋体" w:hAnsi="宋体"/>
                <w:spacing w:val="4"/>
                <w:kern w:val="0"/>
                <w:szCs w:val="21"/>
              </w:rPr>
              <w:t>则全部纳入）进行符合性审查。符合性审查内容：□技术部分评审、资格评审、形式评审、响应性评审、投标函部分及经济部分评审。符合性审查</w:t>
            </w:r>
            <w:r>
              <w:rPr>
                <w:rFonts w:hint="eastAsia" w:ascii="宋体" w:hAnsi="宋体"/>
                <w:kern w:val="0"/>
              </w:rPr>
              <w:t>合格的投标人中，报价最低的成为第一中标候选人，报价次低的成为第二中标候选人，依次类推。</w:t>
            </w:r>
          </w:p>
          <w:p w14:paraId="79ACC9BF">
            <w:pPr>
              <w:spacing w:line="400" w:lineRule="exact"/>
              <w:ind w:firstLine="420" w:firstLineChars="200"/>
              <w:jc w:val="left"/>
              <w:rPr>
                <w:rFonts w:hint="eastAsia" w:ascii="宋体" w:hAnsi="宋体"/>
                <w:kern w:val="0"/>
              </w:rPr>
            </w:pPr>
            <w:r>
              <w:rPr>
                <w:rFonts w:hint="eastAsia" w:ascii="宋体" w:hAnsi="宋体"/>
                <w:i/>
                <w:kern w:val="0"/>
              </w:rPr>
              <w:t>[提示：勾选技术方案评审的，符合性审查应首先进行技术部分评审，再按照资格、形式、响应性、投标函部分及经济部分的顺序进行评审。]</w:t>
            </w:r>
          </w:p>
        </w:tc>
      </w:tr>
      <w:tr w14:paraId="37265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243" w:type="dxa"/>
            <w:vMerge w:val="restart"/>
            <w:tcBorders>
              <w:right w:val="single" w:color="auto" w:sz="4" w:space="0"/>
            </w:tcBorders>
            <w:vAlign w:val="center"/>
          </w:tcPr>
          <w:p w14:paraId="78DF0D3F">
            <w:pPr>
              <w:spacing w:line="400" w:lineRule="exact"/>
              <w:jc w:val="center"/>
              <w:rPr>
                <w:rFonts w:ascii="宋体" w:hAnsi="宋体"/>
                <w:kern w:val="0"/>
              </w:rPr>
            </w:pPr>
            <w:r>
              <w:rPr>
                <w:rFonts w:hint="eastAsia" w:ascii="宋体" w:hAnsi="宋体" w:cs="宋体"/>
                <w:szCs w:val="21"/>
              </w:rPr>
              <w:t>□</w:t>
            </w:r>
            <w:r>
              <w:rPr>
                <w:rFonts w:hint="eastAsia" w:ascii="宋体" w:hAnsi="宋体"/>
                <w:kern w:val="0"/>
              </w:rPr>
              <w:t>2.2.1</w:t>
            </w:r>
          </w:p>
        </w:tc>
        <w:tc>
          <w:tcPr>
            <w:tcW w:w="1560" w:type="dxa"/>
            <w:vMerge w:val="restart"/>
            <w:tcBorders>
              <w:left w:val="single" w:color="auto" w:sz="4" w:space="0"/>
              <w:right w:val="single" w:color="auto" w:sz="4" w:space="0"/>
            </w:tcBorders>
            <w:vAlign w:val="center"/>
          </w:tcPr>
          <w:p w14:paraId="4BF65A7C">
            <w:pPr>
              <w:jc w:val="center"/>
              <w:rPr>
                <w:rFonts w:ascii="宋体" w:hAnsi="宋体"/>
              </w:rPr>
            </w:pPr>
            <w:r>
              <w:rPr>
                <w:rFonts w:ascii="宋体" w:hAnsi="宋体"/>
                <w:kern w:val="0"/>
              </w:rPr>
              <w:t>技术</w:t>
            </w:r>
            <w:r>
              <w:rPr>
                <w:rFonts w:hint="eastAsia" w:ascii="宋体" w:hAnsi="宋体"/>
                <w:kern w:val="0"/>
              </w:rPr>
              <w:t>部分评审</w:t>
            </w:r>
            <w:r>
              <w:rPr>
                <w:rFonts w:ascii="宋体" w:hAnsi="宋体"/>
                <w:kern w:val="0"/>
              </w:rPr>
              <w:t>标准</w:t>
            </w:r>
          </w:p>
        </w:tc>
        <w:tc>
          <w:tcPr>
            <w:tcW w:w="2267" w:type="dxa"/>
            <w:tcBorders>
              <w:left w:val="single" w:color="auto" w:sz="4" w:space="0"/>
              <w:right w:val="single" w:color="auto" w:sz="4" w:space="0"/>
            </w:tcBorders>
            <w:vAlign w:val="center"/>
          </w:tcPr>
          <w:p w14:paraId="7AA997E9">
            <w:pPr>
              <w:widowControl/>
              <w:jc w:val="left"/>
              <w:rPr>
                <w:rFonts w:hint="eastAsia" w:ascii="宋体" w:hAnsi="宋体" w:cs="宋体"/>
                <w:kern w:val="0"/>
                <w:szCs w:val="21"/>
                <w:lang w:bidi="ar"/>
              </w:rPr>
            </w:pPr>
            <w:r>
              <w:rPr>
                <w:rFonts w:hint="eastAsia" w:ascii="宋体" w:hAnsi="宋体" w:cs="宋体"/>
                <w:kern w:val="0"/>
                <w:szCs w:val="21"/>
                <w:lang w:bidi="ar"/>
              </w:rPr>
              <w:t>总体施工组织布置及规划</w:t>
            </w:r>
          </w:p>
        </w:tc>
        <w:tc>
          <w:tcPr>
            <w:tcW w:w="4615" w:type="dxa"/>
            <w:vMerge w:val="restart"/>
            <w:tcBorders>
              <w:left w:val="single" w:color="auto" w:sz="4" w:space="0"/>
            </w:tcBorders>
            <w:vAlign w:val="center"/>
          </w:tcPr>
          <w:p w14:paraId="1A9E309E">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评标委员会对投标人递交的技术方案进行综合性评审，综合评判是否满足本工程需求：满足/不满足</w:t>
            </w:r>
          </w:p>
        </w:tc>
      </w:tr>
      <w:tr w14:paraId="3751A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11E4D8FA">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0A631094">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04052179">
            <w:pPr>
              <w:widowControl/>
              <w:jc w:val="left"/>
              <w:rPr>
                <w:rFonts w:ascii="宋体" w:hAnsi="宋体" w:cs="宋体"/>
                <w:kern w:val="0"/>
              </w:rPr>
            </w:pPr>
            <w:r>
              <w:rPr>
                <w:rFonts w:hint="eastAsia" w:ascii="宋体" w:hAnsi="宋体" w:cs="宋体"/>
                <w:kern w:val="0"/>
                <w:szCs w:val="21"/>
                <w:lang w:bidi="ar"/>
              </w:rPr>
              <w:t>主要工程项目的施工方案、方法与技术措施</w:t>
            </w:r>
          </w:p>
        </w:tc>
        <w:tc>
          <w:tcPr>
            <w:tcW w:w="4615" w:type="dxa"/>
            <w:vMerge w:val="continue"/>
            <w:tcBorders>
              <w:left w:val="single" w:color="auto" w:sz="4" w:space="0"/>
            </w:tcBorders>
            <w:vAlign w:val="center"/>
          </w:tcPr>
          <w:p w14:paraId="51B2C132">
            <w:pPr>
              <w:snapToGrid w:val="0"/>
              <w:spacing w:after="31" w:afterLines="10" w:line="400" w:lineRule="exact"/>
              <w:ind w:firstLine="420" w:firstLineChars="200"/>
              <w:rPr>
                <w:rFonts w:ascii="宋体" w:hAnsi="宋体" w:cs="宋体"/>
                <w:kern w:val="0"/>
              </w:rPr>
            </w:pPr>
          </w:p>
        </w:tc>
      </w:tr>
      <w:tr w14:paraId="261BC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5EB66675">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1C7547B6">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4839AAD4">
            <w:pPr>
              <w:widowControl/>
              <w:jc w:val="left"/>
              <w:rPr>
                <w:rFonts w:hint="eastAsia" w:ascii="宋体" w:hAnsi="宋体" w:cs="宋体"/>
                <w:kern w:val="0"/>
                <w:szCs w:val="21"/>
                <w:lang w:bidi="ar"/>
              </w:rPr>
            </w:pPr>
            <w:r>
              <w:rPr>
                <w:rFonts w:hint="eastAsia" w:ascii="宋体" w:hAnsi="宋体" w:cs="宋体"/>
                <w:kern w:val="0"/>
                <w:szCs w:val="21"/>
                <w:lang w:bidi="ar"/>
              </w:rPr>
              <w:t>对本工程的特点、重点与难点分析及针对性措施</w:t>
            </w:r>
          </w:p>
        </w:tc>
        <w:tc>
          <w:tcPr>
            <w:tcW w:w="4615" w:type="dxa"/>
            <w:vMerge w:val="continue"/>
            <w:tcBorders>
              <w:left w:val="single" w:color="auto" w:sz="4" w:space="0"/>
            </w:tcBorders>
            <w:vAlign w:val="center"/>
          </w:tcPr>
          <w:p w14:paraId="0BB11702">
            <w:pPr>
              <w:snapToGrid w:val="0"/>
              <w:spacing w:after="31" w:afterLines="10" w:line="400" w:lineRule="exact"/>
              <w:ind w:firstLine="420" w:firstLineChars="200"/>
              <w:rPr>
                <w:rFonts w:ascii="宋体" w:hAnsi="宋体" w:cs="宋体"/>
                <w:kern w:val="0"/>
              </w:rPr>
            </w:pPr>
          </w:p>
        </w:tc>
      </w:tr>
      <w:tr w14:paraId="6553A2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0F19C58D">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436D9B67">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2B2DF1F8">
            <w:pPr>
              <w:widowControl/>
              <w:jc w:val="left"/>
              <w:rPr>
                <w:rFonts w:ascii="宋体" w:hAnsi="宋体" w:cs="宋体"/>
                <w:kern w:val="0"/>
              </w:rPr>
            </w:pPr>
            <w:r>
              <w:rPr>
                <w:rFonts w:hint="eastAsia" w:ascii="宋体" w:hAnsi="宋体" w:cs="宋体"/>
                <w:kern w:val="0"/>
                <w:szCs w:val="21"/>
                <w:lang w:bidi="ar"/>
              </w:rPr>
              <w:t>工期保证体系及保证措施</w:t>
            </w:r>
          </w:p>
        </w:tc>
        <w:tc>
          <w:tcPr>
            <w:tcW w:w="4615" w:type="dxa"/>
            <w:vMerge w:val="continue"/>
            <w:tcBorders>
              <w:left w:val="single" w:color="auto" w:sz="4" w:space="0"/>
            </w:tcBorders>
            <w:vAlign w:val="center"/>
          </w:tcPr>
          <w:p w14:paraId="1279A761">
            <w:pPr>
              <w:snapToGrid w:val="0"/>
              <w:spacing w:after="31" w:afterLines="10" w:line="400" w:lineRule="exact"/>
              <w:ind w:firstLine="420" w:firstLineChars="200"/>
              <w:rPr>
                <w:rFonts w:ascii="宋体" w:hAnsi="宋体" w:cs="宋体"/>
                <w:kern w:val="0"/>
              </w:rPr>
            </w:pPr>
          </w:p>
        </w:tc>
      </w:tr>
      <w:tr w14:paraId="6AB95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45E79180">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20067552">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70CFFAA0">
            <w:pPr>
              <w:widowControl/>
              <w:jc w:val="left"/>
              <w:rPr>
                <w:rFonts w:ascii="宋体" w:hAnsi="宋体" w:cs="宋体"/>
                <w:kern w:val="0"/>
              </w:rPr>
            </w:pPr>
            <w:r>
              <w:rPr>
                <w:rFonts w:hint="eastAsia" w:ascii="宋体" w:hAnsi="宋体" w:cs="宋体"/>
                <w:kern w:val="0"/>
                <w:szCs w:val="21"/>
                <w:lang w:bidi="ar"/>
              </w:rPr>
              <w:t>工程质量管理体系及保证措施</w:t>
            </w:r>
          </w:p>
        </w:tc>
        <w:tc>
          <w:tcPr>
            <w:tcW w:w="4615" w:type="dxa"/>
            <w:vMerge w:val="continue"/>
            <w:tcBorders>
              <w:left w:val="single" w:color="auto" w:sz="4" w:space="0"/>
            </w:tcBorders>
            <w:vAlign w:val="center"/>
          </w:tcPr>
          <w:p w14:paraId="7751A2C4">
            <w:pPr>
              <w:snapToGrid w:val="0"/>
              <w:spacing w:after="31" w:afterLines="10" w:line="400" w:lineRule="exact"/>
              <w:ind w:firstLine="420" w:firstLineChars="200"/>
              <w:rPr>
                <w:rFonts w:ascii="宋体" w:hAnsi="宋体" w:cs="宋体"/>
                <w:kern w:val="0"/>
              </w:rPr>
            </w:pPr>
          </w:p>
        </w:tc>
      </w:tr>
      <w:tr w14:paraId="4EA191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042102B6">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3AFBB301">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028CBB2E">
            <w:pPr>
              <w:widowControl/>
              <w:jc w:val="left"/>
              <w:rPr>
                <w:rFonts w:ascii="宋体" w:hAnsi="宋体" w:cs="宋体"/>
                <w:kern w:val="0"/>
              </w:rPr>
            </w:pPr>
            <w:r>
              <w:rPr>
                <w:rFonts w:hint="eastAsia" w:ascii="宋体" w:hAnsi="宋体" w:cs="宋体"/>
                <w:kern w:val="0"/>
                <w:szCs w:val="21"/>
                <w:lang w:bidi="ar"/>
              </w:rPr>
              <w:t>安全生产管理体系及保证措施</w:t>
            </w:r>
          </w:p>
        </w:tc>
        <w:tc>
          <w:tcPr>
            <w:tcW w:w="4615" w:type="dxa"/>
            <w:vMerge w:val="continue"/>
            <w:tcBorders>
              <w:left w:val="single" w:color="auto" w:sz="4" w:space="0"/>
            </w:tcBorders>
            <w:vAlign w:val="center"/>
          </w:tcPr>
          <w:p w14:paraId="14515529">
            <w:pPr>
              <w:snapToGrid w:val="0"/>
              <w:spacing w:after="31" w:afterLines="10" w:line="400" w:lineRule="exact"/>
              <w:ind w:firstLine="420" w:firstLineChars="200"/>
              <w:rPr>
                <w:rFonts w:ascii="宋体" w:hAnsi="宋体" w:cs="宋体"/>
                <w:kern w:val="0"/>
              </w:rPr>
            </w:pPr>
          </w:p>
        </w:tc>
      </w:tr>
      <w:tr w14:paraId="3361A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3DADABA1">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4D015B95">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15BDA4C8">
            <w:pPr>
              <w:widowControl/>
              <w:jc w:val="left"/>
              <w:rPr>
                <w:rFonts w:ascii="宋体" w:hAnsi="宋体" w:cs="宋体"/>
                <w:kern w:val="0"/>
              </w:rPr>
            </w:pPr>
            <w:r>
              <w:rPr>
                <w:rFonts w:hint="eastAsia" w:ascii="宋体" w:hAnsi="宋体" w:cs="宋体"/>
                <w:color w:val="000000"/>
                <w:kern w:val="0"/>
                <w:szCs w:val="21"/>
                <w:lang w:bidi="ar"/>
              </w:rPr>
              <w:t>文明施工与环境保护</w:t>
            </w:r>
            <w:r>
              <w:rPr>
                <w:rFonts w:hint="eastAsia" w:ascii="宋体" w:hAnsi="宋体" w:cs="宋体"/>
                <w:kern w:val="0"/>
                <w:szCs w:val="21"/>
                <w:lang w:bidi="ar"/>
              </w:rPr>
              <w:t>保证体系及保证措施</w:t>
            </w:r>
          </w:p>
        </w:tc>
        <w:tc>
          <w:tcPr>
            <w:tcW w:w="4615" w:type="dxa"/>
            <w:vMerge w:val="continue"/>
            <w:tcBorders>
              <w:left w:val="single" w:color="auto" w:sz="4" w:space="0"/>
            </w:tcBorders>
            <w:vAlign w:val="center"/>
          </w:tcPr>
          <w:p w14:paraId="1431024E">
            <w:pPr>
              <w:snapToGrid w:val="0"/>
              <w:spacing w:after="31" w:afterLines="10" w:line="400" w:lineRule="exact"/>
              <w:ind w:firstLine="420" w:firstLineChars="200"/>
              <w:rPr>
                <w:rFonts w:ascii="宋体" w:hAnsi="宋体" w:cs="宋体"/>
                <w:kern w:val="0"/>
              </w:rPr>
            </w:pPr>
          </w:p>
        </w:tc>
      </w:tr>
      <w:tr w14:paraId="2E3BF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20729116">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624D17B9">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29F5A51F">
            <w:pPr>
              <w:widowControl/>
              <w:jc w:val="left"/>
              <w:rPr>
                <w:rFonts w:ascii="宋体" w:hAnsi="宋体" w:cs="宋体"/>
                <w:kern w:val="0"/>
              </w:rPr>
            </w:pPr>
            <w:r>
              <w:rPr>
                <w:rFonts w:hint="eastAsia" w:ascii="宋体" w:hAnsi="宋体" w:cs="宋体"/>
                <w:kern w:val="0"/>
                <w:szCs w:val="21"/>
                <w:lang w:bidi="ar"/>
              </w:rPr>
              <w:t>施工过程中的交通组织措施</w:t>
            </w:r>
          </w:p>
        </w:tc>
        <w:tc>
          <w:tcPr>
            <w:tcW w:w="4615" w:type="dxa"/>
            <w:vMerge w:val="continue"/>
            <w:tcBorders>
              <w:left w:val="single" w:color="auto" w:sz="4" w:space="0"/>
            </w:tcBorders>
            <w:vAlign w:val="center"/>
          </w:tcPr>
          <w:p w14:paraId="29A086C5">
            <w:pPr>
              <w:snapToGrid w:val="0"/>
              <w:spacing w:after="31" w:afterLines="10" w:line="400" w:lineRule="exact"/>
              <w:ind w:firstLine="420" w:firstLineChars="200"/>
              <w:rPr>
                <w:rFonts w:ascii="宋体" w:hAnsi="宋体" w:cs="宋体"/>
                <w:kern w:val="0"/>
              </w:rPr>
            </w:pPr>
          </w:p>
        </w:tc>
      </w:tr>
      <w:tr w14:paraId="25D7B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1CCED85A">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7AEED758">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center"/>
          </w:tcPr>
          <w:p w14:paraId="5395D98F">
            <w:pPr>
              <w:widowControl/>
              <w:jc w:val="left"/>
              <w:rPr>
                <w:rFonts w:ascii="宋体" w:hAnsi="宋体" w:cs="宋体"/>
                <w:kern w:val="0"/>
              </w:rPr>
            </w:pPr>
            <w:r>
              <w:rPr>
                <w:rFonts w:hint="eastAsia" w:ascii="宋体" w:hAnsi="宋体" w:cs="宋体"/>
                <w:kern w:val="0"/>
                <w:szCs w:val="21"/>
                <w:lang w:bidi="ar"/>
              </w:rPr>
              <w:t>项目风险预测与防范，事故应急预案</w:t>
            </w:r>
          </w:p>
        </w:tc>
        <w:tc>
          <w:tcPr>
            <w:tcW w:w="4615" w:type="dxa"/>
            <w:vMerge w:val="continue"/>
            <w:tcBorders>
              <w:left w:val="single" w:color="auto" w:sz="4" w:space="0"/>
            </w:tcBorders>
            <w:vAlign w:val="center"/>
          </w:tcPr>
          <w:p w14:paraId="4ED5958D">
            <w:pPr>
              <w:snapToGrid w:val="0"/>
              <w:spacing w:after="31" w:afterLines="10" w:line="400" w:lineRule="exact"/>
              <w:ind w:firstLine="420" w:firstLineChars="200"/>
              <w:rPr>
                <w:rFonts w:ascii="宋体" w:hAnsi="宋体" w:cs="宋体"/>
                <w:kern w:val="0"/>
              </w:rPr>
            </w:pPr>
          </w:p>
        </w:tc>
      </w:tr>
      <w:tr w14:paraId="641234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3" w:type="dxa"/>
            <w:vMerge w:val="continue"/>
            <w:tcBorders>
              <w:right w:val="single" w:color="auto" w:sz="4" w:space="0"/>
            </w:tcBorders>
            <w:vAlign w:val="center"/>
          </w:tcPr>
          <w:p w14:paraId="2BCC7DF2">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5DA3E52B">
            <w:pPr>
              <w:spacing w:line="400" w:lineRule="exact"/>
              <w:jc w:val="center"/>
              <w:rPr>
                <w:rFonts w:ascii="宋体" w:hAnsi="宋体"/>
                <w:kern w:val="0"/>
              </w:rPr>
            </w:pPr>
          </w:p>
        </w:tc>
        <w:tc>
          <w:tcPr>
            <w:tcW w:w="2267" w:type="dxa"/>
            <w:tcBorders>
              <w:left w:val="single" w:color="auto" w:sz="4" w:space="0"/>
              <w:bottom w:val="single" w:color="auto" w:sz="4" w:space="0"/>
              <w:right w:val="single" w:color="auto" w:sz="4" w:space="0"/>
            </w:tcBorders>
            <w:vAlign w:val="top"/>
          </w:tcPr>
          <w:p w14:paraId="241A07B6">
            <w:pPr>
              <w:snapToGrid w:val="0"/>
              <w:spacing w:line="400" w:lineRule="exact"/>
              <w:jc w:val="left"/>
              <w:rPr>
                <w:rFonts w:ascii="宋体" w:hAnsi="宋体" w:cs="宋体"/>
                <w:kern w:val="0"/>
              </w:rPr>
            </w:pPr>
            <w:r>
              <w:rPr>
                <w:rFonts w:hint="eastAsia" w:ascii="宋体" w:hAnsi="宋体" w:cs="宋体"/>
                <w:kern w:val="0"/>
              </w:rPr>
              <w:t>□</w:t>
            </w:r>
            <w:r>
              <w:rPr>
                <w:rFonts w:ascii="宋体" w:hAnsi="宋体" w:cs="宋体"/>
                <w:kern w:val="0"/>
              </w:rPr>
              <w:t>……</w:t>
            </w:r>
          </w:p>
        </w:tc>
        <w:tc>
          <w:tcPr>
            <w:tcW w:w="4615" w:type="dxa"/>
            <w:vMerge w:val="continue"/>
            <w:tcBorders>
              <w:left w:val="single" w:color="auto" w:sz="4" w:space="0"/>
              <w:bottom w:val="single" w:color="auto" w:sz="4" w:space="0"/>
            </w:tcBorders>
            <w:vAlign w:val="center"/>
          </w:tcPr>
          <w:p w14:paraId="316AA11A">
            <w:pPr>
              <w:snapToGrid w:val="0"/>
              <w:spacing w:after="31" w:afterLines="10" w:line="400" w:lineRule="exact"/>
              <w:ind w:firstLine="420" w:firstLineChars="200"/>
              <w:rPr>
                <w:rFonts w:ascii="宋体" w:hAnsi="宋体" w:cs="宋体"/>
                <w:kern w:val="0"/>
              </w:rPr>
            </w:pPr>
          </w:p>
        </w:tc>
      </w:tr>
      <w:tr w14:paraId="3F257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restart"/>
            <w:tcBorders>
              <w:right w:val="single" w:color="auto" w:sz="4" w:space="0"/>
            </w:tcBorders>
            <w:vAlign w:val="center"/>
          </w:tcPr>
          <w:p w14:paraId="6BD017AD">
            <w:pPr>
              <w:spacing w:line="400" w:lineRule="exact"/>
              <w:jc w:val="center"/>
              <w:rPr>
                <w:rFonts w:hint="eastAsia" w:ascii="宋体" w:hAnsi="宋体" w:cs="宋体"/>
                <w:szCs w:val="21"/>
              </w:rPr>
            </w:pPr>
            <w:r>
              <w:rPr>
                <w:rFonts w:hint="eastAsia" w:ascii="宋体" w:hAnsi="宋体" w:cs="宋体"/>
                <w:szCs w:val="21"/>
              </w:rPr>
              <w:t>2.2.2</w:t>
            </w:r>
          </w:p>
        </w:tc>
        <w:tc>
          <w:tcPr>
            <w:tcW w:w="1560" w:type="dxa"/>
            <w:vMerge w:val="restart"/>
            <w:tcBorders>
              <w:left w:val="single" w:color="auto" w:sz="4" w:space="0"/>
              <w:right w:val="single" w:color="auto" w:sz="4" w:space="0"/>
            </w:tcBorders>
            <w:vAlign w:val="center"/>
          </w:tcPr>
          <w:p w14:paraId="02FFCA34">
            <w:pPr>
              <w:spacing w:line="400" w:lineRule="exact"/>
              <w:jc w:val="center"/>
              <w:rPr>
                <w:rFonts w:ascii="宋体" w:hAnsi="宋体"/>
                <w:kern w:val="0"/>
              </w:rPr>
            </w:pPr>
            <w:r>
              <w:rPr>
                <w:rFonts w:hint="eastAsia" w:ascii="宋体" w:hAnsi="宋体"/>
                <w:kern w:val="0"/>
              </w:rPr>
              <w:t>资格评审标准</w:t>
            </w:r>
          </w:p>
        </w:tc>
        <w:tc>
          <w:tcPr>
            <w:tcW w:w="2267" w:type="dxa"/>
            <w:tcBorders>
              <w:top w:val="single" w:color="auto" w:sz="4" w:space="0"/>
              <w:left w:val="single" w:color="auto" w:sz="4" w:space="0"/>
              <w:right w:val="single" w:color="auto" w:sz="4" w:space="0"/>
            </w:tcBorders>
            <w:vAlign w:val="center"/>
          </w:tcPr>
          <w:p w14:paraId="6B95B44B">
            <w:pPr>
              <w:snapToGrid w:val="0"/>
              <w:spacing w:line="400" w:lineRule="exact"/>
              <w:jc w:val="left"/>
              <w:rPr>
                <w:rFonts w:ascii="宋体" w:hAnsi="宋体" w:cs="宋体"/>
                <w:kern w:val="0"/>
              </w:rPr>
            </w:pPr>
            <w:r>
              <w:rPr>
                <w:rFonts w:hint="eastAsia" w:ascii="宋体" w:hAnsi="宋体" w:cs="宋体"/>
                <w:kern w:val="0"/>
              </w:rPr>
              <w:t>资质条件</w:t>
            </w:r>
          </w:p>
        </w:tc>
        <w:tc>
          <w:tcPr>
            <w:tcW w:w="4615" w:type="dxa"/>
            <w:tcBorders>
              <w:top w:val="single" w:color="auto" w:sz="4" w:space="0"/>
              <w:left w:val="single" w:color="auto" w:sz="4" w:space="0"/>
            </w:tcBorders>
            <w:vAlign w:val="center"/>
          </w:tcPr>
          <w:p w14:paraId="36A3E3EE">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78B6E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0971A74">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03ACEAAC">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6D9338A5">
            <w:pPr>
              <w:snapToGrid w:val="0"/>
              <w:spacing w:line="400" w:lineRule="exact"/>
              <w:jc w:val="left"/>
              <w:rPr>
                <w:rFonts w:ascii="宋体" w:hAnsi="宋体" w:cs="宋体"/>
                <w:kern w:val="0"/>
              </w:rPr>
            </w:pPr>
            <w:r>
              <w:rPr>
                <w:rFonts w:hint="eastAsia" w:ascii="宋体" w:hAnsi="宋体" w:cs="宋体"/>
                <w:kern w:val="0"/>
              </w:rPr>
              <w:t>营业执照</w:t>
            </w:r>
          </w:p>
        </w:tc>
        <w:tc>
          <w:tcPr>
            <w:tcW w:w="4615" w:type="dxa"/>
            <w:tcBorders>
              <w:top w:val="single" w:color="auto" w:sz="4" w:space="0"/>
              <w:left w:val="single" w:color="auto" w:sz="4" w:space="0"/>
            </w:tcBorders>
            <w:vAlign w:val="center"/>
          </w:tcPr>
          <w:p w14:paraId="652E85CA">
            <w:pPr>
              <w:snapToGrid w:val="0"/>
              <w:spacing w:after="78" w:afterLines="25"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2889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F24A8A8">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0495158C">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04126F40">
            <w:pPr>
              <w:snapToGrid w:val="0"/>
              <w:spacing w:line="400" w:lineRule="exact"/>
              <w:jc w:val="left"/>
              <w:rPr>
                <w:rFonts w:ascii="宋体" w:hAnsi="宋体" w:cs="宋体"/>
                <w:kern w:val="0"/>
              </w:rPr>
            </w:pPr>
            <w:r>
              <w:rPr>
                <w:rFonts w:hint="eastAsia" w:ascii="宋体" w:hAnsi="宋体" w:cs="宋体"/>
                <w:kern w:val="0"/>
              </w:rPr>
              <w:t>安全生产条件</w:t>
            </w:r>
          </w:p>
        </w:tc>
        <w:tc>
          <w:tcPr>
            <w:tcW w:w="4615" w:type="dxa"/>
            <w:tcBorders>
              <w:top w:val="single" w:color="auto" w:sz="4" w:space="0"/>
              <w:left w:val="single" w:color="auto" w:sz="4" w:space="0"/>
            </w:tcBorders>
            <w:vAlign w:val="center"/>
          </w:tcPr>
          <w:p w14:paraId="51C7E4FB">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3AF812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0DE8DC6">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50625A74">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D6429F8">
            <w:pPr>
              <w:snapToGrid w:val="0"/>
              <w:spacing w:line="400" w:lineRule="exact"/>
              <w:jc w:val="left"/>
              <w:rPr>
                <w:rFonts w:ascii="宋体" w:hAnsi="宋体" w:cs="宋体"/>
                <w:kern w:val="0"/>
              </w:rPr>
            </w:pPr>
            <w:r>
              <w:rPr>
                <w:rFonts w:hint="eastAsia" w:ascii="宋体" w:hAnsi="宋体" w:cs="宋体"/>
                <w:kern w:val="0"/>
              </w:rPr>
              <w:t>□财务要求</w:t>
            </w:r>
          </w:p>
        </w:tc>
        <w:tc>
          <w:tcPr>
            <w:tcW w:w="4615" w:type="dxa"/>
            <w:tcBorders>
              <w:top w:val="single" w:color="auto" w:sz="4" w:space="0"/>
              <w:left w:val="single" w:color="auto" w:sz="4" w:space="0"/>
            </w:tcBorders>
            <w:vAlign w:val="center"/>
          </w:tcPr>
          <w:p w14:paraId="46F78759">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057D2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679297A">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22858210">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6F3A271D">
            <w:pPr>
              <w:snapToGrid w:val="0"/>
              <w:spacing w:after="78" w:afterLines="25" w:line="400" w:lineRule="exact"/>
              <w:jc w:val="left"/>
              <w:rPr>
                <w:rFonts w:ascii="宋体" w:hAnsi="宋体" w:cs="宋体"/>
                <w:kern w:val="0"/>
              </w:rPr>
            </w:pPr>
            <w:r>
              <w:rPr>
                <w:rFonts w:hint="eastAsia" w:ascii="宋体" w:hAnsi="宋体" w:cs="宋体"/>
                <w:kern w:val="0"/>
              </w:rPr>
              <w:t>□业绩要求</w:t>
            </w:r>
          </w:p>
        </w:tc>
        <w:tc>
          <w:tcPr>
            <w:tcW w:w="4615" w:type="dxa"/>
            <w:tcBorders>
              <w:top w:val="single" w:color="auto" w:sz="4" w:space="0"/>
              <w:left w:val="single" w:color="auto" w:sz="4" w:space="0"/>
            </w:tcBorders>
            <w:vAlign w:val="center"/>
          </w:tcPr>
          <w:p w14:paraId="714FBDB5">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1A69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4A9222A0">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4A191A26">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46D4B881">
            <w:pPr>
              <w:snapToGrid w:val="0"/>
              <w:spacing w:after="78" w:afterLines="25" w:line="400" w:lineRule="exact"/>
              <w:jc w:val="left"/>
              <w:rPr>
                <w:rFonts w:ascii="宋体" w:hAnsi="宋体" w:cs="宋体"/>
                <w:kern w:val="0"/>
              </w:rPr>
            </w:pPr>
            <w:r>
              <w:rPr>
                <w:rFonts w:hint="eastAsia" w:ascii="宋体" w:hAnsi="宋体" w:cs="宋体"/>
                <w:szCs w:val="21"/>
              </w:rPr>
              <w:t>投标截止日投标资格情况</w:t>
            </w:r>
          </w:p>
        </w:tc>
        <w:tc>
          <w:tcPr>
            <w:tcW w:w="4615" w:type="dxa"/>
            <w:tcBorders>
              <w:top w:val="single" w:color="auto" w:sz="4" w:space="0"/>
              <w:left w:val="single" w:color="auto" w:sz="4" w:space="0"/>
            </w:tcBorders>
            <w:vAlign w:val="center"/>
          </w:tcPr>
          <w:p w14:paraId="0E005899">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039D41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032C516F">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20138243">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0689F5CF">
            <w:pPr>
              <w:snapToGrid w:val="0"/>
              <w:spacing w:line="400" w:lineRule="exact"/>
              <w:jc w:val="left"/>
              <w:rPr>
                <w:rFonts w:ascii="宋体" w:hAnsi="宋体" w:cs="宋体"/>
                <w:kern w:val="0"/>
              </w:rPr>
            </w:pPr>
            <w:r>
              <w:rPr>
                <w:rFonts w:hint="eastAsia" w:ascii="宋体" w:hAnsi="宋体" w:cs="宋体"/>
                <w:kern w:val="0"/>
              </w:rPr>
              <w:t>项目经理资格要求</w:t>
            </w:r>
          </w:p>
        </w:tc>
        <w:tc>
          <w:tcPr>
            <w:tcW w:w="4615" w:type="dxa"/>
            <w:tcBorders>
              <w:top w:val="single" w:color="auto" w:sz="4" w:space="0"/>
              <w:left w:val="single" w:color="auto" w:sz="4" w:space="0"/>
            </w:tcBorders>
            <w:vAlign w:val="center"/>
          </w:tcPr>
          <w:p w14:paraId="1EAED96B">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符合第二章“投标人须知”第1.4.1项规定</w:t>
            </w:r>
          </w:p>
        </w:tc>
      </w:tr>
      <w:tr w14:paraId="453B3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2F5A950A">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668A24D8">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644E2D9B">
            <w:pPr>
              <w:snapToGrid w:val="0"/>
              <w:spacing w:line="400" w:lineRule="exact"/>
              <w:jc w:val="left"/>
              <w:rPr>
                <w:rFonts w:hint="eastAsia" w:ascii="宋体" w:hAnsi="宋体" w:cs="宋体"/>
                <w:kern w:val="0"/>
              </w:rPr>
            </w:pPr>
            <w:r>
              <w:rPr>
                <w:rFonts w:hint="eastAsia" w:ascii="宋体" w:hAnsi="宋体" w:cs="宋体"/>
                <w:kern w:val="0"/>
              </w:rPr>
              <w:t>项目总工资格要求</w:t>
            </w:r>
          </w:p>
        </w:tc>
        <w:tc>
          <w:tcPr>
            <w:tcW w:w="4615" w:type="dxa"/>
            <w:tcBorders>
              <w:top w:val="single" w:color="auto" w:sz="4" w:space="0"/>
              <w:left w:val="single" w:color="auto" w:sz="4" w:space="0"/>
            </w:tcBorders>
            <w:vAlign w:val="center"/>
          </w:tcPr>
          <w:p w14:paraId="655498A7">
            <w:pPr>
              <w:snapToGrid w:val="0"/>
              <w:spacing w:line="400" w:lineRule="exact"/>
              <w:ind w:firstLine="420" w:firstLineChars="200"/>
              <w:rPr>
                <w:rFonts w:hint="eastAsia" w:ascii="宋体" w:hAnsi="宋体" w:cs="宋体"/>
                <w:kern w:val="0"/>
              </w:rPr>
            </w:pPr>
            <w:r>
              <w:rPr>
                <w:rFonts w:hint="eastAsia" w:ascii="宋体" w:hAnsi="宋体" w:cs="宋体"/>
                <w:kern w:val="0"/>
              </w:rPr>
              <w:t>符合第二章“投标人须知”第1.4.1项规定</w:t>
            </w:r>
          </w:p>
        </w:tc>
      </w:tr>
      <w:tr w14:paraId="53907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2D8342E">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2DF1667B">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1E96ACB9">
            <w:pPr>
              <w:snapToGrid w:val="0"/>
              <w:spacing w:line="400" w:lineRule="exact"/>
              <w:jc w:val="left"/>
              <w:rPr>
                <w:rFonts w:ascii="宋体" w:hAnsi="宋体" w:cs="宋体"/>
                <w:kern w:val="0"/>
              </w:rPr>
            </w:pPr>
            <w:r>
              <w:rPr>
                <w:rFonts w:hint="eastAsia" w:ascii="宋体" w:hAnsi="宋体" w:cs="宋体"/>
                <w:kern w:val="0"/>
              </w:rPr>
              <w:t>□设计负责人资格要求</w:t>
            </w:r>
          </w:p>
        </w:tc>
        <w:tc>
          <w:tcPr>
            <w:tcW w:w="4615" w:type="dxa"/>
            <w:tcBorders>
              <w:top w:val="single" w:color="auto" w:sz="4" w:space="0"/>
              <w:left w:val="single" w:color="auto" w:sz="4" w:space="0"/>
            </w:tcBorders>
            <w:vAlign w:val="center"/>
          </w:tcPr>
          <w:p w14:paraId="4BED7C69">
            <w:pPr>
              <w:snapToGrid w:val="0"/>
              <w:spacing w:line="400" w:lineRule="exact"/>
              <w:ind w:firstLine="420" w:firstLineChars="200"/>
              <w:rPr>
                <w:rFonts w:hint="eastAsia" w:ascii="宋体" w:hAnsi="宋体" w:cs="宋体"/>
                <w:kern w:val="0"/>
              </w:rPr>
            </w:pPr>
            <w:r>
              <w:rPr>
                <w:rFonts w:hint="eastAsia" w:ascii="宋体" w:hAnsi="宋体" w:cs="宋体"/>
                <w:kern w:val="0"/>
              </w:rPr>
              <w:t>符合第二章“投标人须知”第1.4.1项规定</w:t>
            </w:r>
          </w:p>
        </w:tc>
      </w:tr>
      <w:tr w14:paraId="41F2FC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65D58022">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6E16E1DA">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top"/>
          </w:tcPr>
          <w:p w14:paraId="299A5B63">
            <w:pPr>
              <w:spacing w:line="400" w:lineRule="exact"/>
              <w:jc w:val="left"/>
              <w:rPr>
                <w:rFonts w:hint="eastAsia" w:ascii="宋体" w:hAnsi="宋体"/>
                <w:kern w:val="0"/>
              </w:rPr>
            </w:pPr>
            <w:r>
              <w:rPr>
                <w:rFonts w:hint="eastAsia" w:ascii="宋体" w:hAnsi="宋体" w:cs="宋体"/>
                <w:kern w:val="0"/>
              </w:rPr>
              <w:t>□</w:t>
            </w:r>
            <w:r>
              <w:rPr>
                <w:rFonts w:hint="eastAsia" w:ascii="宋体" w:hAnsi="宋体"/>
                <w:kern w:val="0"/>
              </w:rPr>
              <w:t>其他管理和技术人员要求</w:t>
            </w:r>
          </w:p>
        </w:tc>
        <w:tc>
          <w:tcPr>
            <w:tcW w:w="4615" w:type="dxa"/>
            <w:tcBorders>
              <w:top w:val="single" w:color="auto" w:sz="4" w:space="0"/>
              <w:left w:val="single" w:color="auto" w:sz="4" w:space="0"/>
            </w:tcBorders>
            <w:vAlign w:val="center"/>
          </w:tcPr>
          <w:p w14:paraId="37596510">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464614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3EF377A4">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6AA12EC1">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top"/>
          </w:tcPr>
          <w:p w14:paraId="020A7CF3">
            <w:pPr>
              <w:spacing w:line="400" w:lineRule="exact"/>
              <w:rPr>
                <w:rFonts w:hint="eastAsia" w:ascii="宋体" w:hAnsi="宋体"/>
                <w:kern w:val="0"/>
              </w:rPr>
            </w:pPr>
            <w:r>
              <w:rPr>
                <w:rFonts w:hint="eastAsia" w:ascii="宋体" w:hAnsi="宋体" w:cs="宋体"/>
                <w:kern w:val="0"/>
              </w:rPr>
              <w:t>□</w:t>
            </w:r>
            <w:r>
              <w:rPr>
                <w:rFonts w:ascii="宋体" w:hAnsi="宋体"/>
                <w:kern w:val="0"/>
              </w:rPr>
              <w:t>主要机械设备和试验检测设备要求</w:t>
            </w:r>
          </w:p>
        </w:tc>
        <w:tc>
          <w:tcPr>
            <w:tcW w:w="4615" w:type="dxa"/>
            <w:tcBorders>
              <w:top w:val="single" w:color="auto" w:sz="4" w:space="0"/>
              <w:left w:val="single" w:color="auto" w:sz="4" w:space="0"/>
            </w:tcBorders>
            <w:vAlign w:val="center"/>
          </w:tcPr>
          <w:p w14:paraId="1D43C791">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396EB3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124977F6">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0EC3CE5D">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75805FAC">
            <w:pPr>
              <w:snapToGrid w:val="0"/>
              <w:spacing w:line="400" w:lineRule="exact"/>
              <w:jc w:val="left"/>
              <w:rPr>
                <w:rFonts w:ascii="宋体" w:hAnsi="宋体" w:cs="宋体"/>
                <w:kern w:val="0"/>
              </w:rPr>
            </w:pPr>
            <w:r>
              <w:rPr>
                <w:rFonts w:hint="eastAsia" w:ascii="宋体" w:hAnsi="宋体" w:cs="宋体"/>
                <w:kern w:val="0"/>
              </w:rPr>
              <w:t>其他要求</w:t>
            </w:r>
          </w:p>
        </w:tc>
        <w:tc>
          <w:tcPr>
            <w:tcW w:w="4615" w:type="dxa"/>
            <w:tcBorders>
              <w:top w:val="single" w:color="auto" w:sz="4" w:space="0"/>
              <w:left w:val="single" w:color="auto" w:sz="4" w:space="0"/>
            </w:tcBorders>
            <w:vAlign w:val="center"/>
          </w:tcPr>
          <w:p w14:paraId="4907A8DC">
            <w:pPr>
              <w:snapToGrid w:val="0"/>
              <w:spacing w:line="400" w:lineRule="exact"/>
              <w:ind w:firstLine="420" w:firstLineChars="200"/>
              <w:rPr>
                <w:rFonts w:ascii="宋体" w:hAnsi="宋体" w:cs="宋体"/>
                <w:kern w:val="0"/>
                <w:u w:val="single"/>
              </w:rPr>
            </w:pPr>
            <w:r>
              <w:rPr>
                <w:rFonts w:hint="eastAsia" w:ascii="宋体" w:hAnsi="宋体" w:cs="宋体"/>
                <w:kern w:val="0"/>
              </w:rPr>
              <w:t>符合第二章“投标人须知”第1.4.1项规定</w:t>
            </w:r>
          </w:p>
        </w:tc>
      </w:tr>
      <w:tr w14:paraId="0AECD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243" w:type="dxa"/>
            <w:vMerge w:val="continue"/>
            <w:tcBorders>
              <w:right w:val="single" w:color="auto" w:sz="4" w:space="0"/>
            </w:tcBorders>
            <w:vAlign w:val="center"/>
          </w:tcPr>
          <w:p w14:paraId="59E9664F">
            <w:pPr>
              <w:spacing w:line="400" w:lineRule="exact"/>
              <w:jc w:val="center"/>
              <w:rPr>
                <w:rFonts w:hint="eastAsia" w:ascii="宋体" w:hAnsi="宋体" w:cs="宋体"/>
                <w:szCs w:val="21"/>
              </w:rPr>
            </w:pPr>
          </w:p>
        </w:tc>
        <w:tc>
          <w:tcPr>
            <w:tcW w:w="1560" w:type="dxa"/>
            <w:vMerge w:val="continue"/>
            <w:tcBorders>
              <w:left w:val="single" w:color="auto" w:sz="4" w:space="0"/>
              <w:right w:val="single" w:color="auto" w:sz="4" w:space="0"/>
            </w:tcBorders>
            <w:vAlign w:val="center"/>
          </w:tcPr>
          <w:p w14:paraId="56AFB5B4">
            <w:pPr>
              <w:spacing w:line="400" w:lineRule="exact"/>
              <w:jc w:val="center"/>
              <w:rPr>
                <w:rFonts w:ascii="宋体" w:hAnsi="宋体"/>
                <w:kern w:val="0"/>
              </w:rPr>
            </w:pPr>
          </w:p>
        </w:tc>
        <w:tc>
          <w:tcPr>
            <w:tcW w:w="2267" w:type="dxa"/>
            <w:tcBorders>
              <w:top w:val="single" w:color="auto" w:sz="4" w:space="0"/>
              <w:left w:val="single" w:color="auto" w:sz="4" w:space="0"/>
              <w:right w:val="single" w:color="auto" w:sz="4" w:space="0"/>
            </w:tcBorders>
            <w:vAlign w:val="center"/>
          </w:tcPr>
          <w:p w14:paraId="33841097">
            <w:pPr>
              <w:snapToGrid w:val="0"/>
              <w:spacing w:line="400" w:lineRule="exact"/>
              <w:jc w:val="left"/>
              <w:rPr>
                <w:rFonts w:ascii="宋体" w:hAnsi="宋体" w:cs="宋体"/>
                <w:kern w:val="0"/>
              </w:rPr>
            </w:pPr>
            <w:r>
              <w:rPr>
                <w:rFonts w:hint="eastAsia" w:ascii="宋体" w:hAnsi="宋体" w:cs="宋体"/>
                <w:kern w:val="0"/>
              </w:rPr>
              <w:t>□联合体投标人</w:t>
            </w:r>
          </w:p>
        </w:tc>
        <w:tc>
          <w:tcPr>
            <w:tcW w:w="4615" w:type="dxa"/>
            <w:tcBorders>
              <w:top w:val="single" w:color="auto" w:sz="4" w:space="0"/>
              <w:left w:val="single" w:color="auto" w:sz="4" w:space="0"/>
            </w:tcBorders>
            <w:vAlign w:val="center"/>
          </w:tcPr>
          <w:p w14:paraId="360D3E74">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符合第二章“投标人须知”第1.4.2项规定</w:t>
            </w:r>
          </w:p>
        </w:tc>
      </w:tr>
      <w:tr w14:paraId="1DAB8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right w:val="single" w:color="auto" w:sz="4" w:space="0"/>
            </w:tcBorders>
            <w:vAlign w:val="center"/>
          </w:tcPr>
          <w:p w14:paraId="2702B56A">
            <w:pPr>
              <w:spacing w:line="400" w:lineRule="exact"/>
              <w:jc w:val="center"/>
              <w:rPr>
                <w:rFonts w:ascii="宋体" w:hAnsi="宋体"/>
                <w:kern w:val="0"/>
              </w:rPr>
            </w:pPr>
            <w:r>
              <w:rPr>
                <w:rFonts w:ascii="宋体" w:hAnsi="宋体"/>
                <w:kern w:val="0"/>
              </w:rPr>
              <w:t>2.</w:t>
            </w:r>
            <w:r>
              <w:rPr>
                <w:rFonts w:hint="eastAsia" w:ascii="宋体" w:hAnsi="宋体"/>
                <w:kern w:val="0"/>
              </w:rPr>
              <w:t>2</w:t>
            </w:r>
            <w:r>
              <w:rPr>
                <w:rFonts w:ascii="宋体" w:hAnsi="宋体"/>
                <w:kern w:val="0"/>
              </w:rPr>
              <w:t>.</w:t>
            </w:r>
            <w:r>
              <w:rPr>
                <w:rFonts w:hint="eastAsia" w:ascii="宋体" w:hAnsi="宋体"/>
                <w:kern w:val="0"/>
              </w:rPr>
              <w:t>3</w:t>
            </w:r>
          </w:p>
        </w:tc>
        <w:tc>
          <w:tcPr>
            <w:tcW w:w="1560" w:type="dxa"/>
            <w:vMerge w:val="restart"/>
            <w:tcBorders>
              <w:left w:val="single" w:color="auto" w:sz="4" w:space="0"/>
            </w:tcBorders>
            <w:vAlign w:val="center"/>
          </w:tcPr>
          <w:p w14:paraId="0FA856BD">
            <w:pPr>
              <w:spacing w:line="400" w:lineRule="exact"/>
              <w:jc w:val="center"/>
              <w:rPr>
                <w:rFonts w:ascii="宋体" w:hAnsi="宋体"/>
                <w:kern w:val="0"/>
              </w:rPr>
            </w:pPr>
            <w:r>
              <w:rPr>
                <w:rFonts w:hint="eastAsia" w:ascii="宋体" w:hAnsi="宋体"/>
                <w:kern w:val="0"/>
              </w:rPr>
              <w:t>形式评审标准</w:t>
            </w:r>
          </w:p>
        </w:tc>
        <w:tc>
          <w:tcPr>
            <w:tcW w:w="2267" w:type="dxa"/>
            <w:tcBorders>
              <w:right w:val="single" w:color="auto" w:sz="4" w:space="0"/>
            </w:tcBorders>
            <w:vAlign w:val="center"/>
          </w:tcPr>
          <w:p w14:paraId="394E5703">
            <w:pPr>
              <w:spacing w:line="400" w:lineRule="exact"/>
              <w:jc w:val="left"/>
              <w:rPr>
                <w:rFonts w:ascii="宋体" w:hAnsi="宋体" w:cs="宋体"/>
                <w:kern w:val="0"/>
              </w:rPr>
            </w:pPr>
            <w:r>
              <w:rPr>
                <w:rFonts w:hint="eastAsia" w:ascii="宋体" w:hAnsi="宋体" w:cs="宋体"/>
                <w:kern w:val="0"/>
              </w:rPr>
              <w:t>投标人名称</w:t>
            </w:r>
          </w:p>
        </w:tc>
        <w:tc>
          <w:tcPr>
            <w:tcW w:w="4615" w:type="dxa"/>
            <w:tcBorders>
              <w:left w:val="single" w:color="auto" w:sz="4" w:space="0"/>
            </w:tcBorders>
            <w:vAlign w:val="center"/>
          </w:tcPr>
          <w:p w14:paraId="3C205B8A">
            <w:pPr>
              <w:snapToGrid w:val="0"/>
              <w:spacing w:line="400" w:lineRule="exact"/>
              <w:ind w:firstLine="420" w:firstLineChars="200"/>
              <w:rPr>
                <w:rFonts w:ascii="宋体" w:hAnsi="宋体" w:cs="宋体"/>
                <w:kern w:val="0"/>
              </w:rPr>
            </w:pPr>
            <w:r>
              <w:rPr>
                <w:rFonts w:hint="eastAsia" w:ascii="宋体" w:hAnsi="宋体" w:cs="宋体"/>
                <w:kern w:val="0"/>
              </w:rPr>
              <w:t>与营业执照、资质证书、安全生产许可证一致，依法变更名称的应提交相应证明材料。</w:t>
            </w:r>
          </w:p>
        </w:tc>
      </w:tr>
      <w:tr w14:paraId="1CA8A4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228DF13B">
            <w:pPr>
              <w:spacing w:line="400" w:lineRule="exact"/>
              <w:jc w:val="center"/>
              <w:rPr>
                <w:rFonts w:ascii="宋体" w:hAnsi="宋体"/>
                <w:b/>
                <w:kern w:val="0"/>
              </w:rPr>
            </w:pPr>
          </w:p>
        </w:tc>
        <w:tc>
          <w:tcPr>
            <w:tcW w:w="1560" w:type="dxa"/>
            <w:vMerge w:val="continue"/>
            <w:tcBorders>
              <w:left w:val="single" w:color="auto" w:sz="4" w:space="0"/>
            </w:tcBorders>
            <w:vAlign w:val="center"/>
          </w:tcPr>
          <w:p w14:paraId="1CE7A3F5">
            <w:pPr>
              <w:spacing w:line="400" w:lineRule="exact"/>
              <w:jc w:val="center"/>
              <w:rPr>
                <w:rFonts w:ascii="宋体" w:hAnsi="宋体"/>
                <w:b/>
                <w:kern w:val="0"/>
              </w:rPr>
            </w:pPr>
          </w:p>
        </w:tc>
        <w:tc>
          <w:tcPr>
            <w:tcW w:w="2267" w:type="dxa"/>
            <w:tcBorders>
              <w:right w:val="single" w:color="auto" w:sz="4" w:space="0"/>
            </w:tcBorders>
            <w:vAlign w:val="center"/>
          </w:tcPr>
          <w:p w14:paraId="3CD86C1A">
            <w:pPr>
              <w:spacing w:line="400" w:lineRule="exact"/>
              <w:jc w:val="left"/>
              <w:rPr>
                <w:rFonts w:ascii="宋体" w:hAnsi="宋体" w:cs="宋体"/>
                <w:kern w:val="0"/>
              </w:rPr>
            </w:pPr>
            <w:r>
              <w:rPr>
                <w:rFonts w:hint="eastAsia" w:ascii="宋体" w:hAnsi="宋体" w:cs="宋体"/>
                <w:kern w:val="0"/>
              </w:rPr>
              <w:t>投标文件格式</w:t>
            </w:r>
          </w:p>
        </w:tc>
        <w:tc>
          <w:tcPr>
            <w:tcW w:w="4615" w:type="dxa"/>
            <w:tcBorders>
              <w:left w:val="single" w:color="auto" w:sz="4" w:space="0"/>
            </w:tcBorders>
            <w:vAlign w:val="center"/>
          </w:tcPr>
          <w:p w14:paraId="2193209A">
            <w:pPr>
              <w:snapToGrid w:val="0"/>
              <w:spacing w:line="400" w:lineRule="exact"/>
              <w:ind w:firstLine="380" w:firstLineChars="181"/>
              <w:rPr>
                <w:rFonts w:ascii="宋体" w:hAnsi="宋体" w:cs="宋体"/>
                <w:kern w:val="0"/>
              </w:rPr>
            </w:pPr>
            <w:r>
              <w:rPr>
                <w:rFonts w:hint="eastAsia" w:ascii="宋体" w:hAnsi="宋体" w:cs="宋体"/>
                <w:kern w:val="0"/>
              </w:rPr>
              <w:t>符合第二章“投标人须知”第3.7款的要求（不含投标函部分）。</w:t>
            </w:r>
          </w:p>
        </w:tc>
      </w:tr>
      <w:tr w14:paraId="1DDFB4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C730FF9">
            <w:pPr>
              <w:spacing w:line="400" w:lineRule="exact"/>
              <w:jc w:val="center"/>
              <w:rPr>
                <w:rFonts w:ascii="宋体" w:hAnsi="宋体"/>
                <w:b/>
                <w:kern w:val="0"/>
              </w:rPr>
            </w:pPr>
          </w:p>
        </w:tc>
        <w:tc>
          <w:tcPr>
            <w:tcW w:w="1560" w:type="dxa"/>
            <w:vMerge w:val="continue"/>
            <w:tcBorders>
              <w:left w:val="single" w:color="auto" w:sz="4" w:space="0"/>
            </w:tcBorders>
            <w:vAlign w:val="center"/>
          </w:tcPr>
          <w:p w14:paraId="0664F57F">
            <w:pPr>
              <w:spacing w:line="400" w:lineRule="exact"/>
              <w:jc w:val="center"/>
              <w:rPr>
                <w:rFonts w:ascii="宋体" w:hAnsi="宋体"/>
                <w:b/>
                <w:kern w:val="0"/>
              </w:rPr>
            </w:pPr>
          </w:p>
        </w:tc>
        <w:tc>
          <w:tcPr>
            <w:tcW w:w="2267" w:type="dxa"/>
            <w:tcBorders>
              <w:right w:val="single" w:color="auto" w:sz="4" w:space="0"/>
            </w:tcBorders>
            <w:vAlign w:val="center"/>
          </w:tcPr>
          <w:p w14:paraId="3EA56CE8">
            <w:pPr>
              <w:spacing w:line="400" w:lineRule="exact"/>
              <w:jc w:val="left"/>
              <w:rPr>
                <w:rFonts w:ascii="宋体" w:hAnsi="宋体" w:cs="宋体"/>
                <w:kern w:val="0"/>
              </w:rPr>
            </w:pPr>
            <w:r>
              <w:rPr>
                <w:rFonts w:hint="eastAsia" w:ascii="宋体" w:hAnsi="宋体" w:cs="宋体"/>
                <w:kern w:val="0"/>
              </w:rPr>
              <w:t>□联合体投标人</w:t>
            </w:r>
          </w:p>
        </w:tc>
        <w:tc>
          <w:tcPr>
            <w:tcW w:w="4615" w:type="dxa"/>
            <w:tcBorders>
              <w:left w:val="single" w:color="auto" w:sz="4" w:space="0"/>
            </w:tcBorders>
            <w:vAlign w:val="center"/>
          </w:tcPr>
          <w:p w14:paraId="399C8B40">
            <w:pPr>
              <w:snapToGrid w:val="0"/>
              <w:spacing w:line="400" w:lineRule="exact"/>
              <w:ind w:firstLine="420" w:firstLineChars="200"/>
              <w:rPr>
                <w:rFonts w:ascii="宋体" w:hAnsi="宋体" w:cs="宋体"/>
                <w:kern w:val="0"/>
              </w:rPr>
            </w:pPr>
            <w:r>
              <w:rPr>
                <w:rFonts w:hint="eastAsia" w:ascii="宋体" w:hAnsi="宋体" w:cs="宋体"/>
                <w:kern w:val="0"/>
              </w:rPr>
              <w:t>提交联合体协议书，并明确联合体牵头人。在联合体协议书第5条联合体各成员单位内部的职责分工中填写的联合体所有成员单位名称应与其营业执照、资质证书、安全生产许可证一致，依法变更名称的应提交相应证明材料。</w:t>
            </w:r>
          </w:p>
        </w:tc>
      </w:tr>
      <w:tr w14:paraId="660D4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9D854FD">
            <w:pPr>
              <w:spacing w:line="400" w:lineRule="exact"/>
              <w:jc w:val="center"/>
              <w:rPr>
                <w:rFonts w:ascii="宋体" w:hAnsi="宋体"/>
                <w:b/>
                <w:kern w:val="0"/>
              </w:rPr>
            </w:pPr>
          </w:p>
        </w:tc>
        <w:tc>
          <w:tcPr>
            <w:tcW w:w="1560" w:type="dxa"/>
            <w:vMerge w:val="continue"/>
            <w:tcBorders>
              <w:left w:val="single" w:color="auto" w:sz="4" w:space="0"/>
            </w:tcBorders>
            <w:vAlign w:val="center"/>
          </w:tcPr>
          <w:p w14:paraId="053EA4E5">
            <w:pPr>
              <w:spacing w:line="400" w:lineRule="exact"/>
              <w:jc w:val="center"/>
              <w:rPr>
                <w:rFonts w:ascii="宋体" w:hAnsi="宋体"/>
                <w:b/>
                <w:kern w:val="0"/>
              </w:rPr>
            </w:pPr>
          </w:p>
        </w:tc>
        <w:tc>
          <w:tcPr>
            <w:tcW w:w="2267" w:type="dxa"/>
            <w:tcBorders>
              <w:right w:val="single" w:color="auto" w:sz="4" w:space="0"/>
            </w:tcBorders>
            <w:vAlign w:val="center"/>
          </w:tcPr>
          <w:p w14:paraId="0E1B1EC0">
            <w:pPr>
              <w:spacing w:line="400" w:lineRule="exact"/>
              <w:jc w:val="left"/>
              <w:rPr>
                <w:rFonts w:ascii="宋体" w:hAnsi="宋体" w:cs="宋体"/>
                <w:kern w:val="0"/>
              </w:rPr>
            </w:pPr>
            <w:r>
              <w:rPr>
                <w:rFonts w:hint="eastAsia" w:ascii="宋体" w:hAnsi="宋体" w:cs="宋体"/>
                <w:kern w:val="0"/>
              </w:rPr>
              <w:t>投标文件的签署</w:t>
            </w:r>
          </w:p>
        </w:tc>
        <w:tc>
          <w:tcPr>
            <w:tcW w:w="4615" w:type="dxa"/>
            <w:tcBorders>
              <w:left w:val="single" w:color="auto" w:sz="4" w:space="0"/>
            </w:tcBorders>
            <w:vAlign w:val="center"/>
          </w:tcPr>
          <w:p w14:paraId="6EECAAEC">
            <w:pPr>
              <w:autoSpaceDE w:val="0"/>
              <w:autoSpaceDN w:val="0"/>
              <w:adjustRightInd w:val="0"/>
              <w:snapToGrid w:val="0"/>
              <w:spacing w:line="400" w:lineRule="exact"/>
              <w:ind w:firstLine="420" w:firstLineChars="200"/>
              <w:rPr>
                <w:rFonts w:ascii="宋体" w:hAnsi="宋体" w:cs="宋体"/>
                <w:kern w:val="0"/>
              </w:rPr>
            </w:pPr>
            <w:r>
              <w:rPr>
                <w:rFonts w:hint="eastAsia" w:ascii="宋体" w:hAnsi="宋体" w:cs="宋体"/>
                <w:kern w:val="0"/>
              </w:rPr>
              <w:t>第九章 投标文件格式（不含投标函部分）要求法定代表人或其委托代理人签名（或盖章）的须齐全。要求签名的，签名采用手写签名或签章或加盖CA数字证书均可。</w:t>
            </w:r>
          </w:p>
          <w:p w14:paraId="2DDFCCB7">
            <w:pPr>
              <w:autoSpaceDE w:val="0"/>
              <w:autoSpaceDN w:val="0"/>
              <w:adjustRightInd w:val="0"/>
              <w:snapToGrid w:val="0"/>
              <w:spacing w:line="400" w:lineRule="exact"/>
              <w:ind w:firstLine="420" w:firstLineChars="200"/>
              <w:rPr>
                <w:rFonts w:hint="eastAsia" w:ascii="宋体" w:hAnsi="宋体" w:cs="宋体"/>
                <w:kern w:val="0"/>
              </w:rPr>
            </w:pPr>
            <w:r>
              <w:rPr>
                <w:rFonts w:hint="eastAsia" w:ascii="宋体" w:hAnsi="宋体" w:cs="宋体"/>
                <w:snapToGrid w:val="0"/>
                <w:kern w:val="0"/>
                <w:szCs w:val="21"/>
              </w:rPr>
              <w:t>若投标单位为联合体，则联合体协议书中各联合体成员单位签名（或盖章）须齐全，联合体协议书以外的</w:t>
            </w:r>
            <w:r>
              <w:rPr>
                <w:rFonts w:hint="eastAsia" w:ascii="宋体" w:hAnsi="宋体" w:cs="宋体"/>
                <w:kern w:val="0"/>
              </w:rPr>
              <w:t>投标文件格式中，要求法定代表人或其委托代理人签名（或盖章）的均由联合体牵头人法定代表人或其委托代理人签名（或盖章）。</w:t>
            </w:r>
          </w:p>
          <w:p w14:paraId="3358D4FE">
            <w:pPr>
              <w:pStyle w:val="2"/>
              <w:spacing w:after="0" w:line="400" w:lineRule="exact"/>
              <w:ind w:firstLine="420" w:firstLineChars="200"/>
              <w:rPr>
                <w:rFonts w:hint="eastAsia" w:ascii="宋体" w:hAnsi="宋体" w:cs="宋体"/>
                <w:kern w:val="0"/>
              </w:rPr>
            </w:pPr>
            <w:r>
              <w:rPr>
                <w:rFonts w:hint="eastAsia" w:ascii="宋体" w:hAnsi="宋体" w:cs="宋体"/>
                <w:kern w:val="0"/>
              </w:rPr>
              <w:t>第九章 投标文件格式（不含投标函部分）要求加盖单位法人章的，应使用 CA 数字证书加盖投标人的单位电子印章。</w:t>
            </w:r>
          </w:p>
          <w:p w14:paraId="45E448F7">
            <w:pPr>
              <w:pStyle w:val="2"/>
              <w:spacing w:after="0" w:line="400" w:lineRule="exact"/>
              <w:ind w:firstLine="420" w:firstLineChars="200"/>
              <w:rPr>
                <w:rFonts w:hint="eastAsia" w:ascii="宋体" w:hAnsi="宋体"/>
              </w:rPr>
            </w:pPr>
            <w:r>
              <w:rPr>
                <w:rFonts w:hint="eastAsia" w:ascii="宋体" w:hAnsi="宋体"/>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E7A44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6EB06814">
            <w:pPr>
              <w:spacing w:line="400" w:lineRule="exact"/>
              <w:jc w:val="center"/>
              <w:rPr>
                <w:rFonts w:ascii="宋体" w:hAnsi="宋体"/>
                <w:b/>
                <w:kern w:val="0"/>
              </w:rPr>
            </w:pPr>
          </w:p>
        </w:tc>
        <w:tc>
          <w:tcPr>
            <w:tcW w:w="1560" w:type="dxa"/>
            <w:vMerge w:val="continue"/>
            <w:tcBorders>
              <w:left w:val="single" w:color="auto" w:sz="4" w:space="0"/>
            </w:tcBorders>
            <w:vAlign w:val="center"/>
          </w:tcPr>
          <w:p w14:paraId="26FC8E8D">
            <w:pPr>
              <w:spacing w:line="400" w:lineRule="exact"/>
              <w:jc w:val="center"/>
              <w:rPr>
                <w:rFonts w:ascii="宋体" w:hAnsi="宋体"/>
                <w:b/>
                <w:kern w:val="0"/>
              </w:rPr>
            </w:pPr>
          </w:p>
        </w:tc>
        <w:tc>
          <w:tcPr>
            <w:tcW w:w="2267" w:type="dxa"/>
            <w:tcBorders>
              <w:right w:val="single" w:color="auto" w:sz="4" w:space="0"/>
            </w:tcBorders>
            <w:vAlign w:val="center"/>
          </w:tcPr>
          <w:p w14:paraId="3EAEAD47">
            <w:pPr>
              <w:spacing w:line="400" w:lineRule="exact"/>
              <w:jc w:val="left"/>
              <w:rPr>
                <w:rFonts w:ascii="宋体" w:hAnsi="宋体" w:cs="宋体"/>
                <w:kern w:val="0"/>
              </w:rPr>
            </w:pPr>
            <w:r>
              <w:rPr>
                <w:rFonts w:hint="eastAsia" w:ascii="宋体" w:hAnsi="宋体" w:cs="宋体"/>
                <w:kern w:val="0"/>
              </w:rPr>
              <w:t>委托代理人</w:t>
            </w:r>
          </w:p>
        </w:tc>
        <w:tc>
          <w:tcPr>
            <w:tcW w:w="4615" w:type="dxa"/>
            <w:tcBorders>
              <w:left w:val="single" w:color="auto" w:sz="4" w:space="0"/>
            </w:tcBorders>
            <w:vAlign w:val="center"/>
          </w:tcPr>
          <w:p w14:paraId="01E0B044">
            <w:pPr>
              <w:snapToGrid w:val="0"/>
              <w:spacing w:after="78" w:afterLines="25" w:line="400" w:lineRule="exact"/>
              <w:ind w:firstLine="420" w:firstLineChars="200"/>
              <w:rPr>
                <w:rFonts w:ascii="宋体" w:hAnsi="宋体" w:cs="宋体"/>
                <w:kern w:val="0"/>
              </w:rPr>
            </w:pPr>
            <w:r>
              <w:rPr>
                <w:rFonts w:hint="eastAsia" w:ascii="宋体" w:hAnsi="宋体" w:cs="宋体"/>
                <w:kern w:val="0"/>
              </w:rPr>
              <w:t>投标人法定代表人的委托代理人有法定代表人签署的授权委托书和投标人为其缴纳的养老保险。</w:t>
            </w:r>
          </w:p>
        </w:tc>
      </w:tr>
      <w:tr w14:paraId="08E84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3897F8AC">
            <w:pPr>
              <w:spacing w:line="400" w:lineRule="exact"/>
              <w:jc w:val="center"/>
              <w:rPr>
                <w:rFonts w:ascii="宋体" w:hAnsi="宋体"/>
                <w:kern w:val="0"/>
              </w:rPr>
            </w:pPr>
            <w:r>
              <w:rPr>
                <w:rFonts w:hint="eastAsia" w:ascii="宋体" w:hAnsi="宋体"/>
                <w:kern w:val="0"/>
              </w:rPr>
              <w:t>2.2.4</w:t>
            </w:r>
          </w:p>
        </w:tc>
        <w:tc>
          <w:tcPr>
            <w:tcW w:w="1560" w:type="dxa"/>
            <w:vMerge w:val="restart"/>
            <w:tcBorders>
              <w:top w:val="single" w:color="auto" w:sz="4" w:space="0"/>
              <w:left w:val="single" w:color="auto" w:sz="4" w:space="0"/>
            </w:tcBorders>
            <w:vAlign w:val="center"/>
          </w:tcPr>
          <w:p w14:paraId="2734E095">
            <w:pPr>
              <w:spacing w:line="400" w:lineRule="exact"/>
              <w:jc w:val="center"/>
              <w:rPr>
                <w:rFonts w:ascii="宋体" w:hAnsi="宋体"/>
                <w:kern w:val="0"/>
              </w:rPr>
            </w:pPr>
            <w:r>
              <w:rPr>
                <w:rFonts w:ascii="宋体" w:hAnsi="宋体"/>
                <w:kern w:val="0"/>
              </w:rPr>
              <w:t>响应性评审标准</w:t>
            </w:r>
          </w:p>
        </w:tc>
        <w:tc>
          <w:tcPr>
            <w:tcW w:w="2267" w:type="dxa"/>
            <w:tcBorders>
              <w:right w:val="single" w:color="auto" w:sz="4" w:space="0"/>
            </w:tcBorders>
            <w:vAlign w:val="center"/>
          </w:tcPr>
          <w:p w14:paraId="444A10EE">
            <w:pPr>
              <w:snapToGrid w:val="0"/>
              <w:spacing w:line="400" w:lineRule="exact"/>
              <w:jc w:val="left"/>
              <w:rPr>
                <w:rFonts w:ascii="宋体" w:hAnsi="宋体" w:cs="宋体"/>
                <w:kern w:val="0"/>
              </w:rPr>
            </w:pPr>
            <w:r>
              <w:rPr>
                <w:rFonts w:hint="eastAsia" w:ascii="宋体" w:hAnsi="宋体" w:cs="宋体"/>
                <w:kern w:val="0"/>
              </w:rPr>
              <w:t>投标内容</w:t>
            </w:r>
          </w:p>
        </w:tc>
        <w:tc>
          <w:tcPr>
            <w:tcW w:w="4615" w:type="dxa"/>
            <w:tcBorders>
              <w:left w:val="single" w:color="auto" w:sz="4" w:space="0"/>
            </w:tcBorders>
            <w:vAlign w:val="center"/>
          </w:tcPr>
          <w:p w14:paraId="19BFF497">
            <w:pPr>
              <w:snapToGrid w:val="0"/>
              <w:spacing w:line="400" w:lineRule="exact"/>
              <w:ind w:firstLine="420" w:firstLineChars="200"/>
              <w:rPr>
                <w:rFonts w:ascii="宋体" w:hAnsi="宋体" w:cs="宋体"/>
                <w:kern w:val="0"/>
              </w:rPr>
            </w:pPr>
            <w:r>
              <w:rPr>
                <w:rFonts w:hint="eastAsia" w:ascii="宋体" w:hAnsi="宋体" w:cs="宋体"/>
                <w:kern w:val="0"/>
              </w:rPr>
              <w:t>符合第二章“投标人须知”第1.3.1项规定</w:t>
            </w:r>
          </w:p>
        </w:tc>
      </w:tr>
      <w:tr w14:paraId="3CD4B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3DBE9576">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347811BE">
            <w:pPr>
              <w:spacing w:line="400" w:lineRule="exact"/>
              <w:jc w:val="center"/>
              <w:rPr>
                <w:rFonts w:ascii="宋体" w:hAnsi="宋体"/>
                <w:kern w:val="0"/>
              </w:rPr>
            </w:pPr>
          </w:p>
        </w:tc>
        <w:tc>
          <w:tcPr>
            <w:tcW w:w="2267" w:type="dxa"/>
            <w:tcBorders>
              <w:right w:val="single" w:color="auto" w:sz="4" w:space="0"/>
            </w:tcBorders>
            <w:vAlign w:val="center"/>
          </w:tcPr>
          <w:p w14:paraId="11F869C7">
            <w:pPr>
              <w:snapToGrid w:val="0"/>
              <w:spacing w:line="400" w:lineRule="exact"/>
              <w:jc w:val="left"/>
              <w:rPr>
                <w:rFonts w:ascii="宋体" w:hAnsi="宋体" w:cs="宋体"/>
                <w:kern w:val="0"/>
              </w:rPr>
            </w:pPr>
            <w:r>
              <w:rPr>
                <w:rFonts w:hint="eastAsia" w:ascii="宋体" w:hAnsi="宋体" w:cs="宋体"/>
                <w:kern w:val="0"/>
              </w:rPr>
              <w:t>投标函附录</w:t>
            </w:r>
          </w:p>
        </w:tc>
        <w:tc>
          <w:tcPr>
            <w:tcW w:w="4615" w:type="dxa"/>
            <w:tcBorders>
              <w:left w:val="single" w:color="auto" w:sz="4" w:space="0"/>
            </w:tcBorders>
            <w:vAlign w:val="center"/>
          </w:tcPr>
          <w:p w14:paraId="51A6EC22">
            <w:pPr>
              <w:snapToGrid w:val="0"/>
              <w:spacing w:line="400" w:lineRule="exact"/>
              <w:ind w:firstLine="420" w:firstLineChars="200"/>
              <w:rPr>
                <w:rFonts w:hint="eastAsia" w:ascii="宋体" w:hAnsi="宋体" w:cs="宋体"/>
                <w:kern w:val="0"/>
              </w:rPr>
            </w:pPr>
            <w:r>
              <w:rPr>
                <w:rFonts w:hint="eastAsia" w:ascii="宋体" w:hAnsi="宋体" w:cs="宋体"/>
                <w:kern w:val="0"/>
              </w:rPr>
              <w:t>投标函附录的所有数据均符合招标文件规定。</w:t>
            </w:r>
          </w:p>
        </w:tc>
      </w:tr>
      <w:tr w14:paraId="69069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49064011">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384D0D49">
            <w:pPr>
              <w:spacing w:line="400" w:lineRule="exact"/>
              <w:jc w:val="center"/>
              <w:rPr>
                <w:rFonts w:hint="eastAsia" w:ascii="宋体" w:hAnsi="宋体"/>
                <w:kern w:val="0"/>
              </w:rPr>
            </w:pPr>
          </w:p>
        </w:tc>
        <w:tc>
          <w:tcPr>
            <w:tcW w:w="2267" w:type="dxa"/>
            <w:tcBorders>
              <w:right w:val="single" w:color="auto" w:sz="4" w:space="0"/>
            </w:tcBorders>
            <w:vAlign w:val="center"/>
          </w:tcPr>
          <w:p w14:paraId="1BC220F3">
            <w:pPr>
              <w:spacing w:line="400" w:lineRule="exact"/>
              <w:jc w:val="left"/>
              <w:rPr>
                <w:rFonts w:ascii="宋体" w:hAnsi="宋体" w:cs="宋体"/>
                <w:kern w:val="0"/>
              </w:rPr>
            </w:pPr>
            <w:r>
              <w:rPr>
                <w:rFonts w:hint="eastAsia" w:ascii="宋体" w:hAnsi="宋体" w:cs="宋体"/>
                <w:kern w:val="0"/>
              </w:rPr>
              <w:t>投标保证金</w:t>
            </w:r>
          </w:p>
        </w:tc>
        <w:tc>
          <w:tcPr>
            <w:tcW w:w="4615" w:type="dxa"/>
            <w:tcBorders>
              <w:left w:val="single" w:color="auto" w:sz="4" w:space="0"/>
            </w:tcBorders>
            <w:vAlign w:val="center"/>
          </w:tcPr>
          <w:p w14:paraId="4B03DEC7">
            <w:pPr>
              <w:tabs>
                <w:tab w:val="left" w:pos="611"/>
                <w:tab w:val="left" w:pos="669"/>
              </w:tabs>
              <w:snapToGrid w:val="0"/>
              <w:spacing w:line="400" w:lineRule="exact"/>
              <w:ind w:firstLine="420" w:firstLineChars="200"/>
              <w:rPr>
                <w:rFonts w:ascii="宋体" w:hAnsi="宋体" w:cs="宋体"/>
                <w:kern w:val="0"/>
              </w:rPr>
            </w:pPr>
            <w:r>
              <w:rPr>
                <w:rFonts w:hint="eastAsia" w:ascii="宋体" w:hAnsi="宋体" w:cs="宋体"/>
                <w:kern w:val="0"/>
              </w:rPr>
              <w:t>符合第二章“投标人须知前附表”第3.4款规定。</w:t>
            </w:r>
          </w:p>
        </w:tc>
      </w:tr>
      <w:tr w14:paraId="78C84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F5C9C10">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6A23C8C4">
            <w:pPr>
              <w:spacing w:line="400" w:lineRule="exact"/>
              <w:jc w:val="center"/>
              <w:rPr>
                <w:rFonts w:hint="eastAsia" w:ascii="宋体" w:hAnsi="宋体"/>
                <w:kern w:val="0"/>
              </w:rPr>
            </w:pPr>
          </w:p>
        </w:tc>
        <w:tc>
          <w:tcPr>
            <w:tcW w:w="2267" w:type="dxa"/>
            <w:tcBorders>
              <w:right w:val="single" w:color="auto" w:sz="4" w:space="0"/>
            </w:tcBorders>
            <w:vAlign w:val="center"/>
          </w:tcPr>
          <w:p w14:paraId="56E39225">
            <w:pPr>
              <w:snapToGrid w:val="0"/>
              <w:spacing w:line="400" w:lineRule="exact"/>
              <w:jc w:val="left"/>
              <w:rPr>
                <w:rFonts w:ascii="宋体" w:hAnsi="宋体" w:cs="宋体"/>
                <w:kern w:val="0"/>
              </w:rPr>
            </w:pPr>
            <w:r>
              <w:rPr>
                <w:rFonts w:hint="eastAsia" w:ascii="宋体" w:hAnsi="宋体" w:cs="宋体"/>
                <w:kern w:val="0"/>
              </w:rPr>
              <w:t>权利义务</w:t>
            </w:r>
          </w:p>
        </w:tc>
        <w:tc>
          <w:tcPr>
            <w:tcW w:w="4615" w:type="dxa"/>
            <w:tcBorders>
              <w:left w:val="single" w:color="auto" w:sz="4" w:space="0"/>
            </w:tcBorders>
            <w:vAlign w:val="center"/>
          </w:tcPr>
          <w:p w14:paraId="5E9D9F17">
            <w:pPr>
              <w:snapToGrid w:val="0"/>
              <w:spacing w:after="31" w:afterLines="10" w:line="400" w:lineRule="exact"/>
              <w:ind w:firstLine="420" w:firstLineChars="200"/>
              <w:rPr>
                <w:rFonts w:ascii="宋体" w:hAnsi="宋体" w:cs="宋体"/>
                <w:kern w:val="0"/>
              </w:rPr>
            </w:pPr>
            <w:r>
              <w:rPr>
                <w:rFonts w:hint="eastAsia" w:ascii="宋体" w:hAnsi="宋体" w:cs="宋体"/>
                <w:kern w:val="0"/>
              </w:rPr>
              <w:t>符合第四章“合同条款及格式”规定，投标文件不应附有招标人不能接受的条件。（由投标人承诺，承诺书格式详见第九章投标文件格式。）</w:t>
            </w:r>
          </w:p>
        </w:tc>
      </w:tr>
      <w:tr w14:paraId="23D92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4B4AFB0">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265B305D">
            <w:pPr>
              <w:spacing w:line="400" w:lineRule="exact"/>
              <w:jc w:val="center"/>
              <w:rPr>
                <w:rFonts w:hint="eastAsia" w:ascii="宋体" w:hAnsi="宋体"/>
                <w:kern w:val="0"/>
              </w:rPr>
            </w:pPr>
          </w:p>
        </w:tc>
        <w:tc>
          <w:tcPr>
            <w:tcW w:w="2267" w:type="dxa"/>
            <w:tcBorders>
              <w:right w:val="single" w:color="auto" w:sz="4" w:space="0"/>
            </w:tcBorders>
            <w:vAlign w:val="center"/>
          </w:tcPr>
          <w:p w14:paraId="4EB7921A">
            <w:pPr>
              <w:snapToGrid w:val="0"/>
              <w:spacing w:line="400" w:lineRule="exact"/>
              <w:jc w:val="left"/>
              <w:rPr>
                <w:rFonts w:hint="eastAsia" w:ascii="宋体" w:hAnsi="宋体" w:cs="宋体"/>
                <w:kern w:val="0"/>
              </w:rPr>
            </w:pPr>
            <w:r>
              <w:rPr>
                <w:rFonts w:hint="eastAsia" w:ascii="宋体" w:hAnsi="宋体" w:cs="宋体"/>
                <w:kern w:val="0"/>
              </w:rPr>
              <w:t>技术标准和要求</w:t>
            </w:r>
          </w:p>
        </w:tc>
        <w:tc>
          <w:tcPr>
            <w:tcW w:w="4615" w:type="dxa"/>
            <w:tcBorders>
              <w:left w:val="single" w:color="auto" w:sz="4" w:space="0"/>
            </w:tcBorders>
            <w:vAlign w:val="center"/>
          </w:tcPr>
          <w:p w14:paraId="7594536F">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符合第七章“技术标准和要求”规定。（由投标人承诺，承诺书格式详见第九章投标文件格式。）</w:t>
            </w:r>
          </w:p>
        </w:tc>
      </w:tr>
      <w:tr w14:paraId="5D39E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bottom w:val="single" w:color="auto" w:sz="4" w:space="0"/>
              <w:right w:val="single" w:color="auto" w:sz="4" w:space="0"/>
            </w:tcBorders>
            <w:vAlign w:val="center"/>
          </w:tcPr>
          <w:p w14:paraId="4A90C7DA">
            <w:pPr>
              <w:spacing w:line="400" w:lineRule="exact"/>
              <w:jc w:val="center"/>
              <w:rPr>
                <w:rFonts w:hint="eastAsia" w:ascii="宋体" w:hAnsi="宋体"/>
                <w:kern w:val="0"/>
              </w:rPr>
            </w:pPr>
          </w:p>
        </w:tc>
        <w:tc>
          <w:tcPr>
            <w:tcW w:w="1560" w:type="dxa"/>
            <w:vMerge w:val="continue"/>
            <w:tcBorders>
              <w:left w:val="single" w:color="auto" w:sz="4" w:space="0"/>
              <w:bottom w:val="single" w:color="auto" w:sz="4" w:space="0"/>
            </w:tcBorders>
            <w:vAlign w:val="center"/>
          </w:tcPr>
          <w:p w14:paraId="3D4442A7">
            <w:pPr>
              <w:spacing w:line="400" w:lineRule="exact"/>
              <w:jc w:val="center"/>
              <w:rPr>
                <w:rFonts w:hint="eastAsia" w:ascii="宋体" w:hAnsi="宋体"/>
                <w:kern w:val="0"/>
              </w:rPr>
            </w:pPr>
          </w:p>
        </w:tc>
        <w:tc>
          <w:tcPr>
            <w:tcW w:w="2267" w:type="dxa"/>
            <w:tcBorders>
              <w:right w:val="single" w:color="auto" w:sz="4" w:space="0"/>
            </w:tcBorders>
            <w:vAlign w:val="center"/>
          </w:tcPr>
          <w:p w14:paraId="0110A83A">
            <w:pPr>
              <w:snapToGrid w:val="0"/>
              <w:spacing w:line="400" w:lineRule="exact"/>
              <w:jc w:val="left"/>
              <w:rPr>
                <w:rFonts w:ascii="宋体" w:hAnsi="宋体" w:cs="宋体"/>
                <w:kern w:val="0"/>
              </w:rPr>
            </w:pPr>
            <w:r>
              <w:rPr>
                <w:rFonts w:hint="eastAsia" w:ascii="宋体" w:hAnsi="宋体" w:cs="宋体"/>
                <w:kern w:val="0"/>
              </w:rPr>
              <w:t>实质性要求</w:t>
            </w:r>
          </w:p>
        </w:tc>
        <w:tc>
          <w:tcPr>
            <w:tcW w:w="4615" w:type="dxa"/>
            <w:tcBorders>
              <w:left w:val="single" w:color="auto" w:sz="4" w:space="0"/>
            </w:tcBorders>
            <w:vAlign w:val="center"/>
          </w:tcPr>
          <w:p w14:paraId="6E250D76">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符合第二章“投标人须知”第1.4.3项规定。</w:t>
            </w:r>
          </w:p>
          <w:p w14:paraId="51F3FFB1">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本次投标不得有串通投标、弄虚作假等其他违反招投标相关法律、法规行为。</w:t>
            </w:r>
          </w:p>
          <w:p w14:paraId="2803550B">
            <w:pPr>
              <w:snapToGrid w:val="0"/>
              <w:spacing w:after="31" w:afterLines="10" w:line="400" w:lineRule="exact"/>
              <w:ind w:firstLine="420" w:firstLineChars="200"/>
            </w:pPr>
            <w:r>
              <w:rPr>
                <w:rFonts w:hint="eastAsia"/>
              </w:rPr>
              <w:t>按评标委员会要求澄清、说明或补正。</w:t>
            </w:r>
          </w:p>
        </w:tc>
      </w:tr>
      <w:tr w14:paraId="61E3A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restart"/>
            <w:tcBorders>
              <w:top w:val="single" w:color="auto" w:sz="4" w:space="0"/>
              <w:right w:val="single" w:color="auto" w:sz="4" w:space="0"/>
            </w:tcBorders>
            <w:vAlign w:val="center"/>
          </w:tcPr>
          <w:p w14:paraId="1D285CDD">
            <w:pPr>
              <w:spacing w:line="400" w:lineRule="exact"/>
              <w:jc w:val="center"/>
              <w:rPr>
                <w:rFonts w:ascii="宋体" w:hAnsi="宋体"/>
                <w:kern w:val="0"/>
              </w:rPr>
            </w:pPr>
            <w:r>
              <w:rPr>
                <w:rFonts w:hint="eastAsia" w:ascii="宋体" w:hAnsi="宋体"/>
                <w:kern w:val="0"/>
              </w:rPr>
              <w:t>2.2.5</w:t>
            </w:r>
          </w:p>
        </w:tc>
        <w:tc>
          <w:tcPr>
            <w:tcW w:w="1560" w:type="dxa"/>
            <w:vMerge w:val="restart"/>
            <w:tcBorders>
              <w:top w:val="single" w:color="auto" w:sz="4" w:space="0"/>
              <w:left w:val="single" w:color="auto" w:sz="4" w:space="0"/>
            </w:tcBorders>
            <w:vAlign w:val="center"/>
          </w:tcPr>
          <w:p w14:paraId="001B01E2">
            <w:pPr>
              <w:spacing w:line="400" w:lineRule="exact"/>
              <w:jc w:val="center"/>
              <w:rPr>
                <w:rFonts w:ascii="宋体" w:hAnsi="宋体"/>
                <w:kern w:val="0"/>
              </w:rPr>
            </w:pPr>
            <w:r>
              <w:rPr>
                <w:rFonts w:hint="eastAsia" w:ascii="宋体" w:hAnsi="宋体"/>
                <w:kern w:val="0"/>
              </w:rPr>
              <w:t>投标函部分及经济部分评审标准</w:t>
            </w:r>
          </w:p>
        </w:tc>
        <w:tc>
          <w:tcPr>
            <w:tcW w:w="2267" w:type="dxa"/>
            <w:tcBorders>
              <w:right w:val="single" w:color="auto" w:sz="4" w:space="0"/>
            </w:tcBorders>
            <w:vAlign w:val="center"/>
          </w:tcPr>
          <w:p w14:paraId="00A0FAAC">
            <w:pPr>
              <w:snapToGrid w:val="0"/>
              <w:spacing w:line="400" w:lineRule="exact"/>
              <w:jc w:val="left"/>
              <w:rPr>
                <w:rFonts w:hint="eastAsia" w:ascii="宋体" w:hAnsi="宋体" w:cs="宋体"/>
                <w:kern w:val="0"/>
              </w:rPr>
            </w:pPr>
            <w:r>
              <w:rPr>
                <w:rFonts w:hint="eastAsia" w:ascii="宋体" w:hAnsi="宋体" w:cs="宋体"/>
                <w:kern w:val="0"/>
              </w:rPr>
              <w:t>投标函部分的签名盖章</w:t>
            </w:r>
          </w:p>
        </w:tc>
        <w:tc>
          <w:tcPr>
            <w:tcW w:w="4615" w:type="dxa"/>
            <w:tcBorders>
              <w:left w:val="single" w:color="auto" w:sz="4" w:space="0"/>
            </w:tcBorders>
            <w:vAlign w:val="center"/>
          </w:tcPr>
          <w:p w14:paraId="58D07AC2">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p>
          <w:p w14:paraId="0711FC38">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联合体投标的，投标函部分的格式中要求投标人加盖单位法人章的，均由联合体牵头人使用 CA 数字证书加盖其单位电子印章。</w:t>
            </w:r>
          </w:p>
        </w:tc>
      </w:tr>
      <w:tr w14:paraId="5D679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53D9322">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4DF66E38">
            <w:pPr>
              <w:spacing w:line="400" w:lineRule="exact"/>
              <w:jc w:val="center"/>
              <w:rPr>
                <w:rFonts w:hint="eastAsia" w:ascii="宋体" w:hAnsi="宋体"/>
                <w:kern w:val="0"/>
              </w:rPr>
            </w:pPr>
          </w:p>
        </w:tc>
        <w:tc>
          <w:tcPr>
            <w:tcW w:w="2267" w:type="dxa"/>
            <w:tcBorders>
              <w:right w:val="single" w:color="auto" w:sz="4" w:space="0"/>
            </w:tcBorders>
            <w:vAlign w:val="center"/>
          </w:tcPr>
          <w:p w14:paraId="05F75215">
            <w:pPr>
              <w:snapToGrid w:val="0"/>
              <w:spacing w:line="400" w:lineRule="exact"/>
              <w:jc w:val="left"/>
              <w:rPr>
                <w:rFonts w:hint="eastAsia" w:ascii="宋体" w:hAnsi="宋体" w:cs="宋体"/>
                <w:kern w:val="0"/>
              </w:rPr>
            </w:pPr>
            <w:r>
              <w:rPr>
                <w:rFonts w:hint="eastAsia" w:ascii="宋体" w:hAnsi="宋体" w:cs="宋体"/>
                <w:kern w:val="0"/>
              </w:rPr>
              <w:t>工期</w:t>
            </w:r>
          </w:p>
        </w:tc>
        <w:tc>
          <w:tcPr>
            <w:tcW w:w="4615" w:type="dxa"/>
            <w:tcBorders>
              <w:left w:val="single" w:color="auto" w:sz="4" w:space="0"/>
            </w:tcBorders>
            <w:vAlign w:val="center"/>
          </w:tcPr>
          <w:p w14:paraId="42A6C574">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符合第二章“投标人须知”第1.3.2项规定</w:t>
            </w:r>
          </w:p>
        </w:tc>
      </w:tr>
      <w:tr w14:paraId="5BE47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15B44A4F">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2FC554A6">
            <w:pPr>
              <w:spacing w:line="400" w:lineRule="exact"/>
              <w:jc w:val="center"/>
              <w:rPr>
                <w:rFonts w:hint="eastAsia" w:ascii="宋体" w:hAnsi="宋体"/>
                <w:kern w:val="0"/>
              </w:rPr>
            </w:pPr>
          </w:p>
        </w:tc>
        <w:tc>
          <w:tcPr>
            <w:tcW w:w="2267" w:type="dxa"/>
            <w:tcBorders>
              <w:right w:val="single" w:color="auto" w:sz="4" w:space="0"/>
            </w:tcBorders>
            <w:vAlign w:val="center"/>
          </w:tcPr>
          <w:p w14:paraId="2F5051C0">
            <w:pPr>
              <w:snapToGrid w:val="0"/>
              <w:spacing w:line="400" w:lineRule="exact"/>
              <w:jc w:val="left"/>
              <w:rPr>
                <w:rFonts w:hint="eastAsia" w:ascii="宋体" w:hAnsi="宋体" w:cs="宋体"/>
                <w:kern w:val="0"/>
              </w:rPr>
            </w:pPr>
            <w:r>
              <w:rPr>
                <w:rFonts w:hint="eastAsia" w:ascii="宋体" w:hAnsi="宋体" w:cs="宋体"/>
                <w:kern w:val="0"/>
              </w:rPr>
              <w:t>工程质量</w:t>
            </w:r>
          </w:p>
        </w:tc>
        <w:tc>
          <w:tcPr>
            <w:tcW w:w="4615" w:type="dxa"/>
            <w:tcBorders>
              <w:left w:val="single" w:color="auto" w:sz="4" w:space="0"/>
            </w:tcBorders>
            <w:vAlign w:val="center"/>
          </w:tcPr>
          <w:p w14:paraId="2992C228">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符合第二章“投标人须知”第1.3.3项规定</w:t>
            </w:r>
          </w:p>
        </w:tc>
      </w:tr>
      <w:tr w14:paraId="02D088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31D344E">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440D7D0D">
            <w:pPr>
              <w:spacing w:line="400" w:lineRule="exact"/>
              <w:jc w:val="center"/>
              <w:rPr>
                <w:rFonts w:hint="eastAsia" w:ascii="宋体" w:hAnsi="宋体"/>
                <w:kern w:val="0"/>
              </w:rPr>
            </w:pPr>
          </w:p>
        </w:tc>
        <w:tc>
          <w:tcPr>
            <w:tcW w:w="2267" w:type="dxa"/>
            <w:tcBorders>
              <w:right w:val="single" w:color="auto" w:sz="4" w:space="0"/>
            </w:tcBorders>
            <w:vAlign w:val="center"/>
          </w:tcPr>
          <w:p w14:paraId="6E6435AD">
            <w:pPr>
              <w:snapToGrid w:val="0"/>
              <w:spacing w:line="400" w:lineRule="exact"/>
              <w:jc w:val="left"/>
              <w:rPr>
                <w:rFonts w:hint="eastAsia" w:ascii="宋体" w:hAnsi="宋体" w:cs="宋体"/>
                <w:kern w:val="0"/>
              </w:rPr>
            </w:pPr>
            <w:r>
              <w:rPr>
                <w:rFonts w:hint="eastAsia" w:ascii="宋体" w:hAnsi="宋体" w:cs="宋体"/>
                <w:kern w:val="0"/>
              </w:rPr>
              <w:t>投标有效期</w:t>
            </w:r>
          </w:p>
        </w:tc>
        <w:tc>
          <w:tcPr>
            <w:tcW w:w="4615" w:type="dxa"/>
            <w:tcBorders>
              <w:left w:val="single" w:color="auto" w:sz="4" w:space="0"/>
            </w:tcBorders>
            <w:vAlign w:val="center"/>
          </w:tcPr>
          <w:p w14:paraId="5418CC02">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符合第二章“投标人须知”第3.3.1项规定</w:t>
            </w:r>
          </w:p>
        </w:tc>
      </w:tr>
      <w:tr w14:paraId="6CDC7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432ABCD">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61C2F25C">
            <w:pPr>
              <w:spacing w:line="400" w:lineRule="exact"/>
              <w:jc w:val="center"/>
              <w:rPr>
                <w:rFonts w:hint="eastAsia" w:ascii="宋体" w:hAnsi="宋体"/>
                <w:kern w:val="0"/>
              </w:rPr>
            </w:pPr>
          </w:p>
        </w:tc>
        <w:tc>
          <w:tcPr>
            <w:tcW w:w="2267" w:type="dxa"/>
            <w:tcBorders>
              <w:right w:val="single" w:color="auto" w:sz="4" w:space="0"/>
            </w:tcBorders>
            <w:vAlign w:val="center"/>
          </w:tcPr>
          <w:p w14:paraId="2E087919">
            <w:pPr>
              <w:snapToGrid w:val="0"/>
              <w:spacing w:line="400" w:lineRule="exact"/>
              <w:jc w:val="left"/>
              <w:rPr>
                <w:rFonts w:hint="eastAsia" w:ascii="宋体" w:hAnsi="宋体" w:cs="宋体"/>
                <w:kern w:val="0"/>
              </w:rPr>
            </w:pPr>
            <w:r>
              <w:rPr>
                <w:rFonts w:hint="eastAsia" w:ascii="宋体" w:hAnsi="宋体" w:cs="宋体"/>
                <w:kern w:val="0"/>
              </w:rPr>
              <w:t>投标总报价</w:t>
            </w:r>
          </w:p>
        </w:tc>
        <w:tc>
          <w:tcPr>
            <w:tcW w:w="4615" w:type="dxa"/>
            <w:tcBorders>
              <w:left w:val="single" w:color="auto" w:sz="4" w:space="0"/>
            </w:tcBorders>
            <w:vAlign w:val="center"/>
          </w:tcPr>
          <w:p w14:paraId="49831BF7">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1.投标总报价不得高于招标人公布的投标总报价最高限价。</w:t>
            </w:r>
          </w:p>
          <w:p w14:paraId="75C6B684">
            <w:pPr>
              <w:snapToGrid w:val="0"/>
              <w:spacing w:after="31" w:afterLines="10" w:line="400" w:lineRule="exact"/>
              <w:ind w:firstLine="420" w:firstLineChars="200"/>
              <w:rPr>
                <w:rFonts w:hint="eastAsia"/>
              </w:rPr>
            </w:pPr>
            <w:r>
              <w:rPr>
                <w:rFonts w:hint="eastAsia" w:ascii="宋体" w:hAnsi="宋体" w:cs="宋体"/>
                <w:kern w:val="0"/>
              </w:rPr>
              <w:t>2.投标总报价低于最高限价85%的，投标人应在编制投标文件时，在投标函部分中递交低价风险担保提交承诺书。承诺书格式详见第九章投标文件格式。</w:t>
            </w:r>
          </w:p>
        </w:tc>
      </w:tr>
      <w:tr w14:paraId="6B2E1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78D60425">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489A843E">
            <w:pPr>
              <w:spacing w:line="400" w:lineRule="exact"/>
              <w:jc w:val="center"/>
              <w:rPr>
                <w:rFonts w:hint="eastAsia" w:ascii="宋体" w:hAnsi="宋体"/>
                <w:kern w:val="0"/>
              </w:rPr>
            </w:pPr>
          </w:p>
        </w:tc>
        <w:tc>
          <w:tcPr>
            <w:tcW w:w="2267" w:type="dxa"/>
            <w:tcBorders>
              <w:right w:val="single" w:color="auto" w:sz="4" w:space="0"/>
            </w:tcBorders>
            <w:vAlign w:val="center"/>
          </w:tcPr>
          <w:p w14:paraId="35FEA584">
            <w:pPr>
              <w:snapToGrid w:val="0"/>
              <w:spacing w:line="400" w:lineRule="exact"/>
              <w:jc w:val="left"/>
              <w:rPr>
                <w:rFonts w:hint="eastAsia" w:ascii="宋体" w:hAnsi="宋体" w:cs="宋体"/>
                <w:kern w:val="0"/>
              </w:rPr>
            </w:pPr>
            <w:r>
              <w:rPr>
                <w:rFonts w:hint="eastAsia" w:ascii="宋体" w:hAnsi="宋体" w:cs="宋体"/>
                <w:kern w:val="0"/>
              </w:rPr>
              <w:t>报价唯一</w:t>
            </w:r>
          </w:p>
        </w:tc>
        <w:tc>
          <w:tcPr>
            <w:tcW w:w="4615" w:type="dxa"/>
            <w:tcBorders>
              <w:left w:val="single" w:color="auto" w:sz="4" w:space="0"/>
            </w:tcBorders>
            <w:vAlign w:val="center"/>
          </w:tcPr>
          <w:p w14:paraId="346966E9">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只能有一个有效报价。在招标文件没有规定的情况下，不得提交选择性报价。</w:t>
            </w:r>
          </w:p>
        </w:tc>
      </w:tr>
      <w:tr w14:paraId="6B725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5EAB10B1">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6B029760">
            <w:pPr>
              <w:spacing w:line="400" w:lineRule="exact"/>
              <w:jc w:val="center"/>
              <w:rPr>
                <w:rFonts w:hint="eastAsia" w:ascii="宋体" w:hAnsi="宋体"/>
                <w:kern w:val="0"/>
              </w:rPr>
            </w:pPr>
          </w:p>
        </w:tc>
        <w:tc>
          <w:tcPr>
            <w:tcW w:w="2267" w:type="dxa"/>
            <w:tcBorders>
              <w:right w:val="single" w:color="auto" w:sz="4" w:space="0"/>
            </w:tcBorders>
            <w:vAlign w:val="center"/>
          </w:tcPr>
          <w:p w14:paraId="2FB70EB9">
            <w:pPr>
              <w:snapToGrid w:val="0"/>
              <w:spacing w:line="400" w:lineRule="exact"/>
              <w:jc w:val="left"/>
              <w:rPr>
                <w:rFonts w:hint="eastAsia" w:ascii="宋体" w:hAnsi="宋体" w:cs="宋体"/>
                <w:kern w:val="0"/>
              </w:rPr>
            </w:pPr>
            <w:r>
              <w:rPr>
                <w:rFonts w:hint="eastAsia" w:ascii="宋体" w:hAnsi="宋体" w:cs="宋体"/>
                <w:kern w:val="0"/>
              </w:rPr>
              <w:t>已标价工程量清单</w:t>
            </w:r>
          </w:p>
        </w:tc>
        <w:tc>
          <w:tcPr>
            <w:tcW w:w="4615" w:type="dxa"/>
            <w:tcBorders>
              <w:left w:val="single" w:color="auto" w:sz="4" w:space="0"/>
            </w:tcBorders>
            <w:vAlign w:val="center"/>
          </w:tcPr>
          <w:p w14:paraId="1BB5CE97">
            <w:pPr>
              <w:spacing w:after="62" w:afterLines="20" w:line="400" w:lineRule="exact"/>
              <w:ind w:firstLine="420" w:firstLineChars="200"/>
              <w:rPr>
                <w:rFonts w:hint="eastAsia" w:ascii="宋体" w:hAnsi="宋体" w:cs="宋体"/>
                <w:kern w:val="0"/>
              </w:rPr>
            </w:pPr>
            <w:r>
              <w:rPr>
                <w:rFonts w:hint="eastAsia" w:ascii="宋体" w:hAnsi="宋体" w:cs="宋体"/>
                <w:kern w:val="0"/>
              </w:rPr>
              <w:t>投标人承诺满足以下内容：</w:t>
            </w:r>
          </w:p>
          <w:p w14:paraId="71414DB0">
            <w:pPr>
              <w:spacing w:after="62" w:afterLines="20" w:line="400" w:lineRule="exact"/>
              <w:ind w:firstLine="420" w:firstLineChars="200"/>
              <w:rPr>
                <w:rFonts w:ascii="宋体" w:hAnsi="宋体" w:cs="宋体"/>
                <w:kern w:val="0"/>
              </w:rPr>
            </w:pPr>
            <w:r>
              <w:rPr>
                <w:rFonts w:hint="eastAsia" w:ascii="宋体" w:hAnsi="宋体" w:cs="宋体"/>
                <w:kern w:val="0"/>
              </w:rPr>
              <w:t>1.按照第五章“工程量清单”、第八章“工程量清单计量规则”的规定进行报价。</w:t>
            </w:r>
          </w:p>
          <w:p w14:paraId="3444675A">
            <w:pPr>
              <w:snapToGrid w:val="0"/>
              <w:spacing w:after="31" w:afterLines="10" w:line="400" w:lineRule="exact"/>
              <w:ind w:firstLine="420" w:firstLineChars="200"/>
              <w:rPr>
                <w:rFonts w:ascii="宋体" w:hAnsi="宋体" w:cs="宋体"/>
                <w:kern w:val="0"/>
              </w:rPr>
            </w:pPr>
            <w:r>
              <w:rPr>
                <w:rFonts w:hint="eastAsia" w:ascii="宋体" w:hAnsi="宋体" w:cs="宋体"/>
                <w:kern w:val="0"/>
              </w:rPr>
              <w:t>2.招标文件中规定工程量清单不允许修改的内容不得修改。</w:t>
            </w:r>
          </w:p>
          <w:p w14:paraId="7E9A62BE">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3.投标总报价不高于招标人公布的投标总报价最高限价。</w:t>
            </w:r>
          </w:p>
          <w:p w14:paraId="2A0716DC">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4.各清单子目单价不高于招标人公布的各清单子目单价最高限价的。</w:t>
            </w:r>
          </w:p>
          <w:p w14:paraId="1CC97754">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5.</w:t>
            </w:r>
            <w:r>
              <w:rPr>
                <w:rFonts w:hint="eastAsia" w:ascii="宋体" w:hAnsi="宋体" w:cs="宋体"/>
                <w:szCs w:val="21"/>
              </w:rPr>
              <w:t>若出现差错，按招标文件第二章投标人须知前附表第3.2.9项规定的原则进行处理（或结算）。</w:t>
            </w:r>
          </w:p>
        </w:tc>
      </w:tr>
      <w:tr w14:paraId="5F49B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3" w:type="dxa"/>
            <w:vMerge w:val="continue"/>
            <w:tcBorders>
              <w:right w:val="single" w:color="auto" w:sz="4" w:space="0"/>
            </w:tcBorders>
            <w:vAlign w:val="center"/>
          </w:tcPr>
          <w:p w14:paraId="05C6A454">
            <w:pPr>
              <w:spacing w:line="400" w:lineRule="exact"/>
              <w:jc w:val="center"/>
              <w:rPr>
                <w:rFonts w:hint="eastAsia" w:ascii="宋体" w:hAnsi="宋体"/>
                <w:kern w:val="0"/>
              </w:rPr>
            </w:pPr>
          </w:p>
        </w:tc>
        <w:tc>
          <w:tcPr>
            <w:tcW w:w="1560" w:type="dxa"/>
            <w:vMerge w:val="continue"/>
            <w:tcBorders>
              <w:left w:val="single" w:color="auto" w:sz="4" w:space="0"/>
            </w:tcBorders>
            <w:vAlign w:val="center"/>
          </w:tcPr>
          <w:p w14:paraId="268C73E6">
            <w:pPr>
              <w:spacing w:line="400" w:lineRule="exact"/>
              <w:jc w:val="center"/>
              <w:rPr>
                <w:rFonts w:hint="eastAsia" w:ascii="宋体" w:hAnsi="宋体"/>
                <w:kern w:val="0"/>
              </w:rPr>
            </w:pPr>
          </w:p>
        </w:tc>
        <w:tc>
          <w:tcPr>
            <w:tcW w:w="2267" w:type="dxa"/>
            <w:tcBorders>
              <w:right w:val="single" w:color="auto" w:sz="4" w:space="0"/>
            </w:tcBorders>
            <w:vAlign w:val="center"/>
          </w:tcPr>
          <w:p w14:paraId="2B0755C3">
            <w:pPr>
              <w:snapToGrid w:val="0"/>
              <w:spacing w:line="400" w:lineRule="exact"/>
              <w:jc w:val="left"/>
              <w:rPr>
                <w:rFonts w:hint="eastAsia" w:ascii="宋体" w:hAnsi="宋体" w:cs="宋体"/>
                <w:kern w:val="0"/>
              </w:rPr>
            </w:pPr>
            <w:r>
              <w:rPr>
                <w:rFonts w:hint="eastAsia" w:ascii="宋体" w:hAnsi="宋体" w:cs="宋体"/>
                <w:kern w:val="0"/>
              </w:rPr>
              <w:t>投标报价算术错误修正</w:t>
            </w:r>
          </w:p>
        </w:tc>
        <w:tc>
          <w:tcPr>
            <w:tcW w:w="4615" w:type="dxa"/>
            <w:tcBorders>
              <w:left w:val="single" w:color="auto" w:sz="4" w:space="0"/>
            </w:tcBorders>
            <w:vAlign w:val="center"/>
          </w:tcPr>
          <w:p w14:paraId="06B4E28D">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符合第三章“评标办法”第3.2.3项规定。</w:t>
            </w:r>
          </w:p>
        </w:tc>
      </w:tr>
      <w:tr w14:paraId="7DD0A1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04766C33">
            <w:pPr>
              <w:spacing w:line="400" w:lineRule="exact"/>
              <w:jc w:val="center"/>
              <w:rPr>
                <w:rFonts w:ascii="宋体" w:hAnsi="宋体"/>
              </w:rPr>
            </w:pPr>
            <w:r>
              <w:rPr>
                <w:rFonts w:ascii="宋体" w:hAnsi="宋体"/>
              </w:rPr>
              <w:t>3</w:t>
            </w:r>
          </w:p>
        </w:tc>
        <w:tc>
          <w:tcPr>
            <w:tcW w:w="1560" w:type="dxa"/>
            <w:tcBorders>
              <w:left w:val="single" w:color="auto" w:sz="4" w:space="0"/>
              <w:right w:val="single" w:color="auto" w:sz="4" w:space="0"/>
            </w:tcBorders>
            <w:vAlign w:val="center"/>
          </w:tcPr>
          <w:p w14:paraId="1679318B">
            <w:pPr>
              <w:spacing w:line="400" w:lineRule="exact"/>
              <w:jc w:val="center"/>
              <w:rPr>
                <w:rFonts w:ascii="宋体" w:hAnsi="宋体"/>
              </w:rPr>
            </w:pPr>
            <w:r>
              <w:rPr>
                <w:rFonts w:hint="eastAsia" w:ascii="宋体" w:hAnsi="宋体"/>
              </w:rPr>
              <w:t>评标程序</w:t>
            </w:r>
          </w:p>
        </w:tc>
        <w:tc>
          <w:tcPr>
            <w:tcW w:w="6882" w:type="dxa"/>
            <w:gridSpan w:val="2"/>
            <w:tcBorders>
              <w:left w:val="single" w:color="auto" w:sz="4" w:space="0"/>
            </w:tcBorders>
            <w:vAlign w:val="center"/>
          </w:tcPr>
          <w:p w14:paraId="044141B1">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1.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53984F0D">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2.根据本章第2.2款约定进行符合性审查</w:t>
            </w:r>
            <w:r>
              <w:rPr>
                <w:rFonts w:hint="eastAsia" w:ascii="宋体" w:hAnsi="宋体"/>
                <w:spacing w:val="4"/>
                <w:kern w:val="0"/>
                <w:szCs w:val="21"/>
              </w:rPr>
              <w:t>。符合性审查</w:t>
            </w:r>
            <w:r>
              <w:rPr>
                <w:rFonts w:hint="eastAsia" w:ascii="宋体" w:hAnsi="宋体"/>
                <w:kern w:val="0"/>
                <w:szCs w:val="21"/>
              </w:rPr>
              <w:t>合格的投标人中，报价最低的成为第一中标候选人，报价次低的成为第二中标候选人，依次类推。</w:t>
            </w:r>
          </w:p>
          <w:p w14:paraId="571933F6">
            <w:pPr>
              <w:spacing w:after="31" w:afterLines="10" w:line="400" w:lineRule="exact"/>
              <w:ind w:firstLine="420" w:firstLineChars="200"/>
              <w:jc w:val="left"/>
              <w:rPr>
                <w:rFonts w:hint="eastAsia" w:ascii="宋体" w:hAnsi="宋体"/>
                <w:kern w:val="0"/>
                <w:szCs w:val="21"/>
              </w:rPr>
            </w:pPr>
            <w:r>
              <w:rPr>
                <w:rFonts w:hint="eastAsia" w:ascii="宋体" w:hAnsi="宋体"/>
                <w:i/>
                <w:kern w:val="0"/>
              </w:rPr>
              <w:t>[提示：勾选技术方案评审的，符合性审查应首先进行技术方案评审，再按照资格、形式、响应性、投标函部分及经济部分的顺序进行评审。]</w:t>
            </w:r>
          </w:p>
          <w:p w14:paraId="1B0EACB5">
            <w:pPr>
              <w:spacing w:after="31" w:afterLines="10" w:line="400" w:lineRule="exact"/>
              <w:ind w:firstLine="420" w:firstLineChars="200"/>
              <w:jc w:val="left"/>
              <w:rPr>
                <w:rFonts w:hint="eastAsia" w:ascii="宋体" w:hAnsi="宋体"/>
                <w:kern w:val="0"/>
                <w:szCs w:val="21"/>
              </w:rPr>
            </w:pPr>
            <w:r>
              <w:rPr>
                <w:rFonts w:hint="eastAsia" w:ascii="宋体" w:hAnsi="宋体"/>
                <w:kern w:val="0"/>
                <w:szCs w:val="21"/>
              </w:rPr>
              <w:t>3.</w:t>
            </w:r>
            <w:r>
              <w:rPr>
                <w:rFonts w:hint="eastAsia" w:ascii="宋体" w:hAnsi="宋体"/>
                <w:spacing w:val="4"/>
                <w:kern w:val="0"/>
                <w:szCs w:val="21"/>
              </w:rPr>
              <w:t>若上述程序未能评出三名中标候选人</w:t>
            </w:r>
            <w:r>
              <w:rPr>
                <w:rFonts w:hint="eastAsia" w:ascii="宋体" w:hAnsi="宋体"/>
                <w:kern w:val="0"/>
                <w:szCs w:val="21"/>
              </w:rPr>
              <w:t>，则评标委员会对剩余投标文件继续按上述第2条进行评审，直至评出三名中标候选人，或者评审完所有投标文件。</w:t>
            </w:r>
          </w:p>
          <w:p w14:paraId="59813930">
            <w:pPr>
              <w:spacing w:after="31" w:afterLines="10" w:line="400" w:lineRule="exact"/>
              <w:ind w:firstLine="420" w:firstLineChars="200"/>
              <w:jc w:val="left"/>
              <w:rPr>
                <w:rFonts w:ascii="宋体" w:hAnsi="宋体"/>
                <w:kern w:val="0"/>
                <w:szCs w:val="21"/>
              </w:rPr>
            </w:pPr>
            <w:r>
              <w:rPr>
                <w:rFonts w:hint="eastAsia" w:ascii="宋体" w:hAnsi="宋体"/>
                <w:kern w:val="0"/>
                <w:szCs w:val="21"/>
              </w:rPr>
              <w:t>4.</w:t>
            </w:r>
            <w:r>
              <w:rPr>
                <w:rFonts w:hint="eastAsia" w:ascii="宋体" w:hAnsi="宋体"/>
              </w:rPr>
              <w:t xml:space="preserve"> </w:t>
            </w:r>
            <w:r>
              <w:rPr>
                <w:rFonts w:hint="eastAsia" w:ascii="宋体" w:hAnsi="宋体"/>
                <w:kern w:val="0"/>
                <w:szCs w:val="21"/>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31A6C74F">
            <w:pPr>
              <w:spacing w:after="31" w:afterLines="10" w:line="400" w:lineRule="exact"/>
              <w:ind w:firstLine="420" w:firstLineChars="200"/>
              <w:jc w:val="left"/>
              <w:rPr>
                <w:rFonts w:ascii="宋体" w:hAnsi="宋体"/>
                <w:kern w:val="0"/>
                <w:szCs w:val="21"/>
              </w:rPr>
            </w:pPr>
            <w:r>
              <w:rPr>
                <w:rFonts w:hint="eastAsia" w:ascii="宋体" w:hAnsi="宋体"/>
                <w:kern w:val="0"/>
                <w:szCs w:val="21"/>
              </w:rPr>
              <w:t>注：若出现投标人投标报价相同的，以“投标人在红名单中优先”的原则排序</w:t>
            </w:r>
            <w:r>
              <w:rPr>
                <w:rFonts w:hint="eastAsia" w:ascii="宋体" w:hAnsi="宋体"/>
                <w:spacing w:val="4"/>
                <w:kern w:val="0"/>
                <w:szCs w:val="21"/>
              </w:rPr>
              <w:t>（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w:t>
            </w:r>
            <w:r>
              <w:rPr>
                <w:rFonts w:hint="eastAsia" w:ascii="宋体" w:hAnsi="宋体"/>
                <w:kern w:val="0"/>
                <w:szCs w:val="21"/>
              </w:rPr>
              <w:t>；投标人均在红名单中</w:t>
            </w:r>
            <w:r>
              <w:rPr>
                <w:rFonts w:hint="eastAsia" w:ascii="宋体" w:hAnsi="宋体"/>
                <w:spacing w:val="4"/>
                <w:kern w:val="0"/>
                <w:szCs w:val="21"/>
              </w:rPr>
              <w:t>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14:paraId="06E2E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243" w:type="dxa"/>
            <w:tcBorders>
              <w:right w:val="single" w:color="auto" w:sz="4" w:space="0"/>
            </w:tcBorders>
            <w:vAlign w:val="center"/>
          </w:tcPr>
          <w:p w14:paraId="7B9C3B9A">
            <w:pPr>
              <w:spacing w:line="400" w:lineRule="exact"/>
              <w:jc w:val="center"/>
              <w:rPr>
                <w:rFonts w:ascii="宋体" w:hAnsi="宋体"/>
              </w:rPr>
            </w:pPr>
            <w:r>
              <w:rPr>
                <w:rFonts w:hint="eastAsia" w:ascii="宋体" w:hAnsi="宋体"/>
              </w:rPr>
              <w:t>3.4</w:t>
            </w:r>
          </w:p>
        </w:tc>
        <w:tc>
          <w:tcPr>
            <w:tcW w:w="1560" w:type="dxa"/>
            <w:tcBorders>
              <w:left w:val="single" w:color="auto" w:sz="4" w:space="0"/>
              <w:right w:val="single" w:color="auto" w:sz="4" w:space="0"/>
            </w:tcBorders>
            <w:vAlign w:val="center"/>
          </w:tcPr>
          <w:p w14:paraId="79341738">
            <w:pPr>
              <w:spacing w:line="400" w:lineRule="exact"/>
              <w:jc w:val="center"/>
              <w:rPr>
                <w:rFonts w:ascii="宋体" w:hAnsi="宋体"/>
              </w:rPr>
            </w:pPr>
            <w:r>
              <w:rPr>
                <w:rFonts w:ascii="宋体" w:hAnsi="宋体"/>
              </w:rPr>
              <w:t>评标结果</w:t>
            </w:r>
          </w:p>
        </w:tc>
        <w:tc>
          <w:tcPr>
            <w:tcW w:w="6882" w:type="dxa"/>
            <w:gridSpan w:val="2"/>
            <w:tcBorders>
              <w:left w:val="single" w:color="auto" w:sz="4" w:space="0"/>
            </w:tcBorders>
            <w:vAlign w:val="center"/>
          </w:tcPr>
          <w:p w14:paraId="7ABA7915">
            <w:pPr>
              <w:autoSpaceDE w:val="0"/>
              <w:autoSpaceDN w:val="0"/>
              <w:adjustRightInd w:val="0"/>
              <w:snapToGrid w:val="0"/>
              <w:spacing w:line="400" w:lineRule="exact"/>
              <w:ind w:firstLine="420"/>
              <w:jc w:val="left"/>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w:t>
            </w:r>
            <w:r>
              <w:rPr>
                <w:rFonts w:hint="eastAsia" w:ascii="宋体" w:hAnsi="宋体"/>
                <w:kern w:val="0"/>
                <w:szCs w:val="21"/>
              </w:rPr>
              <w:t xml:space="preserve"> </w:t>
            </w:r>
            <w:r>
              <w:rPr>
                <w:rFonts w:ascii="宋体" w:hAnsi="宋体"/>
                <w:kern w:val="0"/>
                <w:szCs w:val="21"/>
              </w:rPr>
              <w:t>除第二章</w:t>
            </w:r>
            <w:r>
              <w:rPr>
                <w:rFonts w:hint="eastAsia" w:ascii="宋体" w:hAnsi="宋体"/>
                <w:kern w:val="0"/>
                <w:szCs w:val="21"/>
              </w:rPr>
              <w:t>“</w:t>
            </w:r>
            <w:r>
              <w:rPr>
                <w:rFonts w:ascii="宋体" w:hAnsi="宋体"/>
                <w:kern w:val="0"/>
                <w:szCs w:val="21"/>
              </w:rPr>
              <w:t>投标</w:t>
            </w:r>
            <w:r>
              <w:rPr>
                <w:rFonts w:ascii="宋体" w:hAnsi="宋体"/>
                <w:spacing w:val="1"/>
                <w:kern w:val="0"/>
                <w:szCs w:val="21"/>
              </w:rPr>
              <w:t>人</w:t>
            </w:r>
            <w:r>
              <w:rPr>
                <w:rFonts w:ascii="宋体" w:hAnsi="宋体"/>
                <w:kern w:val="0"/>
                <w:szCs w:val="21"/>
              </w:rPr>
              <w:t>须知</w:t>
            </w:r>
            <w:r>
              <w:rPr>
                <w:rFonts w:hint="eastAsia" w:ascii="宋体" w:hAnsi="宋体"/>
                <w:kern w:val="0"/>
                <w:szCs w:val="21"/>
              </w:rPr>
              <w:t>”</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w:t>
            </w:r>
            <w:r>
              <w:rPr>
                <w:rFonts w:hint="eastAsia" w:ascii="宋体" w:hAnsi="宋体"/>
                <w:kern w:val="0"/>
                <w:szCs w:val="21"/>
              </w:rPr>
              <w:t>按经评审的最低投标价法</w:t>
            </w:r>
            <w:r>
              <w:rPr>
                <w:rFonts w:ascii="宋体" w:hAnsi="宋体"/>
                <w:kern w:val="0"/>
                <w:szCs w:val="21"/>
              </w:rPr>
              <w:t>推荐中标候选人。</w:t>
            </w:r>
          </w:p>
          <w:p w14:paraId="778AB09F">
            <w:pPr>
              <w:spacing w:line="400" w:lineRule="exact"/>
              <w:ind w:firstLine="424" w:firstLineChars="200"/>
              <w:rPr>
                <w:rFonts w:ascii="宋体" w:hAnsi="宋体"/>
              </w:rPr>
            </w:pPr>
            <w:r>
              <w:rPr>
                <w:rFonts w:ascii="宋体" w:hAnsi="宋体"/>
                <w:spacing w:val="1"/>
                <w:kern w:val="0"/>
                <w:szCs w:val="21"/>
              </w:rPr>
              <w:t>3</w:t>
            </w:r>
            <w:r>
              <w:rPr>
                <w:rFonts w:ascii="宋体" w:hAnsi="宋体"/>
                <w:kern w:val="0"/>
                <w:szCs w:val="21"/>
              </w:rPr>
              <w:t>.4.2</w:t>
            </w:r>
            <w:r>
              <w:rPr>
                <w:rFonts w:hint="eastAsia" w:ascii="宋体" w:hAnsi="宋体"/>
                <w:kern w:val="0"/>
                <w:szCs w:val="21"/>
              </w:rPr>
              <w:t xml:space="preserve"> </w:t>
            </w:r>
            <w:r>
              <w:rPr>
                <w:rFonts w:ascii="宋体" w:hAnsi="宋体"/>
                <w:kern w:val="0"/>
                <w:szCs w:val="21"/>
              </w:rPr>
              <w:t>评标</w:t>
            </w:r>
            <w:r>
              <w:rPr>
                <w:rFonts w:ascii="宋体" w:hAnsi="宋体"/>
                <w:spacing w:val="-1"/>
                <w:kern w:val="0"/>
                <w:szCs w:val="21"/>
              </w:rPr>
              <w:t>委</w:t>
            </w:r>
            <w:r>
              <w:rPr>
                <w:rFonts w:ascii="宋体" w:hAnsi="宋体"/>
                <w:kern w:val="0"/>
                <w:szCs w:val="21"/>
              </w:rPr>
              <w:t>员会完成评标后，应当向招标人提交书面评标报告。</w:t>
            </w:r>
          </w:p>
        </w:tc>
      </w:tr>
      <w:bookmarkEnd w:id="310"/>
      <w:bookmarkEnd w:id="311"/>
      <w:bookmarkEnd w:id="312"/>
      <w:bookmarkEnd w:id="313"/>
      <w:bookmarkEnd w:id="314"/>
    </w:tbl>
    <w:p w14:paraId="442BDBAD">
      <w:pPr>
        <w:pStyle w:val="2"/>
        <w:rPr>
          <w:rFonts w:ascii="宋体" w:hAnsi="宋体"/>
          <w:bCs/>
          <w:snapToGrid w:val="0"/>
          <w:sz w:val="32"/>
          <w:szCs w:val="32"/>
        </w:rPr>
      </w:pPr>
    </w:p>
    <w:p w14:paraId="52FE1098">
      <w:pPr>
        <w:pStyle w:val="2"/>
        <w:rPr>
          <w:rFonts w:hint="eastAsia" w:ascii="宋体" w:hAnsi="宋体"/>
          <w:bCs/>
          <w:snapToGrid w:val="0"/>
          <w:sz w:val="32"/>
          <w:szCs w:val="32"/>
        </w:rPr>
      </w:pPr>
      <w:r>
        <w:rPr>
          <w:rFonts w:ascii="宋体" w:hAnsi="宋体"/>
          <w:bCs/>
          <w:snapToGrid w:val="0"/>
          <w:sz w:val="32"/>
          <w:szCs w:val="32"/>
        </w:rPr>
        <w:br w:type="page"/>
      </w:r>
    </w:p>
    <w:bookmarkEnd w:id="298"/>
    <w:bookmarkEnd w:id="299"/>
    <w:bookmarkEnd w:id="300"/>
    <w:bookmarkEnd w:id="301"/>
    <w:bookmarkEnd w:id="302"/>
    <w:p w14:paraId="253ECE4F">
      <w:pPr>
        <w:pStyle w:val="4"/>
        <w:spacing w:before="0" w:after="0" w:line="360" w:lineRule="auto"/>
        <w:rPr>
          <w:rFonts w:hint="eastAsia" w:ascii="宋体" w:hAnsi="宋体" w:cs="宋体"/>
          <w:sz w:val="28"/>
          <w:szCs w:val="28"/>
        </w:rPr>
      </w:pPr>
      <w:bookmarkStart w:id="316" w:name="_Toc33106441"/>
      <w:bookmarkStart w:id="317" w:name="_Toc32306"/>
      <w:bookmarkStart w:id="318" w:name="_Toc57795918"/>
      <w:r>
        <w:rPr>
          <w:rFonts w:hint="eastAsia" w:ascii="宋体" w:hAnsi="宋体" w:cs="宋体"/>
          <w:sz w:val="28"/>
          <w:szCs w:val="28"/>
        </w:rPr>
        <w:t>1. 评标方法</w:t>
      </w:r>
      <w:bookmarkEnd w:id="316"/>
      <w:bookmarkEnd w:id="317"/>
      <w:bookmarkEnd w:id="318"/>
    </w:p>
    <w:p w14:paraId="2128DECB">
      <w:pPr>
        <w:spacing w:line="360" w:lineRule="auto"/>
        <w:ind w:firstLine="420" w:firstLineChars="200"/>
        <w:rPr>
          <w:rFonts w:ascii="宋体" w:hAnsi="宋体"/>
        </w:rPr>
      </w:pPr>
      <w:r>
        <w:rPr>
          <w:rFonts w:hint="eastAsia" w:ascii="宋体" w:hAnsi="宋体"/>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39472962">
      <w:pPr>
        <w:pStyle w:val="4"/>
        <w:spacing w:before="0" w:after="0" w:line="360" w:lineRule="auto"/>
        <w:rPr>
          <w:rFonts w:hint="eastAsia" w:ascii="宋体" w:hAnsi="宋体" w:cs="宋体"/>
          <w:sz w:val="28"/>
          <w:szCs w:val="28"/>
        </w:rPr>
      </w:pPr>
      <w:bookmarkStart w:id="319" w:name="_Toc57795919"/>
      <w:bookmarkStart w:id="320" w:name="_Toc33106442"/>
      <w:bookmarkStart w:id="321" w:name="_Toc554"/>
      <w:r>
        <w:rPr>
          <w:rFonts w:hint="eastAsia" w:ascii="宋体" w:hAnsi="宋体" w:cs="宋体"/>
          <w:sz w:val="28"/>
          <w:szCs w:val="28"/>
        </w:rPr>
        <w:t>2. 评审标准</w:t>
      </w:r>
      <w:bookmarkEnd w:id="319"/>
      <w:bookmarkEnd w:id="320"/>
      <w:bookmarkEnd w:id="321"/>
    </w:p>
    <w:p w14:paraId="57B13CEB">
      <w:pPr>
        <w:pStyle w:val="5"/>
        <w:spacing w:before="0" w:after="0" w:line="360" w:lineRule="auto"/>
        <w:rPr>
          <w:rFonts w:hint="eastAsia" w:ascii="宋体" w:hAnsi="宋体" w:cs="宋体"/>
          <w:sz w:val="21"/>
          <w:szCs w:val="21"/>
        </w:rPr>
      </w:pPr>
      <w:bookmarkStart w:id="322" w:name="_Toc33106443"/>
      <w:bookmarkStart w:id="323" w:name="_Toc25387"/>
      <w:bookmarkStart w:id="324" w:name="_Toc57795920"/>
      <w:r>
        <w:rPr>
          <w:rFonts w:hint="eastAsia" w:ascii="宋体" w:hAnsi="宋体" w:cs="宋体"/>
          <w:sz w:val="21"/>
          <w:szCs w:val="21"/>
        </w:rPr>
        <w:t>2.1报价排序</w:t>
      </w:r>
      <w:bookmarkEnd w:id="322"/>
      <w:r>
        <w:rPr>
          <w:rFonts w:hint="eastAsia" w:ascii="宋体" w:hAnsi="宋体" w:cs="宋体"/>
          <w:sz w:val="21"/>
          <w:szCs w:val="21"/>
        </w:rPr>
        <w:t>标准</w:t>
      </w:r>
      <w:bookmarkEnd w:id="323"/>
      <w:bookmarkEnd w:id="324"/>
    </w:p>
    <w:p w14:paraId="6E6381B0">
      <w:pPr>
        <w:autoSpaceDE w:val="0"/>
        <w:autoSpaceDN w:val="0"/>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见评标办法前附表。</w:t>
      </w:r>
    </w:p>
    <w:p w14:paraId="1A71E657">
      <w:pPr>
        <w:pStyle w:val="5"/>
        <w:spacing w:before="0" w:after="0" w:line="360" w:lineRule="auto"/>
        <w:rPr>
          <w:rFonts w:ascii="宋体" w:hAnsi="宋体" w:cs="宋体"/>
          <w:sz w:val="21"/>
          <w:szCs w:val="21"/>
        </w:rPr>
      </w:pPr>
      <w:bookmarkStart w:id="325" w:name="_Toc33106444"/>
      <w:bookmarkStart w:id="326" w:name="_Toc24603"/>
      <w:bookmarkStart w:id="327" w:name="_Toc57795921"/>
      <w:r>
        <w:rPr>
          <w:rFonts w:ascii="宋体" w:hAnsi="宋体" w:cs="宋体"/>
          <w:sz w:val="21"/>
          <w:szCs w:val="21"/>
        </w:rPr>
        <w:t>2.</w:t>
      </w:r>
      <w:r>
        <w:rPr>
          <w:rFonts w:hint="eastAsia" w:ascii="宋体" w:hAnsi="宋体" w:cs="宋体"/>
          <w:sz w:val="21"/>
          <w:szCs w:val="21"/>
        </w:rPr>
        <w:t>2符合性审查</w:t>
      </w:r>
      <w:bookmarkEnd w:id="325"/>
      <w:r>
        <w:rPr>
          <w:rFonts w:hint="eastAsia" w:ascii="宋体" w:hAnsi="宋体" w:cs="宋体"/>
          <w:sz w:val="21"/>
          <w:szCs w:val="21"/>
        </w:rPr>
        <w:t>标准</w:t>
      </w:r>
      <w:bookmarkEnd w:id="326"/>
      <w:bookmarkEnd w:id="327"/>
    </w:p>
    <w:p w14:paraId="76266E8D">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按评标办法前附表约定的投标单位报价排序数量进行符合性审查</w:t>
      </w:r>
      <w:r>
        <w:rPr>
          <w:rFonts w:hint="eastAsia" w:ascii="宋体" w:hAnsi="宋体"/>
          <w:spacing w:val="4"/>
          <w:kern w:val="0"/>
          <w:szCs w:val="21"/>
        </w:rPr>
        <w:t>。符合性审查内容：技术方案评审（如有）、资格评审、形式评审、响应性、投标函部分及经济部分评审</w:t>
      </w:r>
      <w:r>
        <w:rPr>
          <w:rFonts w:hint="eastAsia" w:ascii="宋体" w:hAnsi="宋体" w:cs="宋体"/>
          <w:szCs w:val="21"/>
        </w:rPr>
        <w:t>。</w:t>
      </w:r>
    </w:p>
    <w:p w14:paraId="624776C3">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2.2.1  技术方案评审标准：见评标办法前附表。</w:t>
      </w:r>
    </w:p>
    <w:p w14:paraId="2668FDAE">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2  资格评审标准：见评标办法前附表。</w:t>
      </w:r>
    </w:p>
    <w:p w14:paraId="3D252A2F">
      <w:pPr>
        <w:autoSpaceDE w:val="0"/>
        <w:autoSpaceDN w:val="0"/>
        <w:adjustRightInd w:val="0"/>
        <w:snapToGrid w:val="0"/>
        <w:spacing w:line="360" w:lineRule="auto"/>
        <w:ind w:firstLine="420" w:firstLineChars="200"/>
        <w:jc w:val="left"/>
        <w:rPr>
          <w:rFonts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3  形式评审标准：见评标办法前附表。</w:t>
      </w:r>
    </w:p>
    <w:p w14:paraId="07847236">
      <w:pPr>
        <w:autoSpaceDE w:val="0"/>
        <w:autoSpaceDN w:val="0"/>
        <w:adjustRightInd w:val="0"/>
        <w:snapToGrid w:val="0"/>
        <w:spacing w:line="360" w:lineRule="auto"/>
        <w:ind w:firstLine="420" w:firstLineChars="200"/>
        <w:jc w:val="left"/>
        <w:rPr>
          <w:rFonts w:hint="eastAsia" w:ascii="宋体" w:hAnsi="宋体" w:cs="宋体"/>
          <w:szCs w:val="21"/>
        </w:rPr>
      </w:pPr>
      <w:r>
        <w:rPr>
          <w:rFonts w:ascii="宋体" w:hAnsi="宋体" w:cs="宋体"/>
          <w:szCs w:val="21"/>
        </w:rPr>
        <w:t>2.</w:t>
      </w:r>
      <w:r>
        <w:rPr>
          <w:rFonts w:hint="eastAsia" w:ascii="宋体" w:hAnsi="宋体" w:cs="宋体"/>
          <w:szCs w:val="21"/>
        </w:rPr>
        <w:t>2</w:t>
      </w:r>
      <w:r>
        <w:rPr>
          <w:rFonts w:ascii="宋体" w:hAnsi="宋体" w:cs="宋体"/>
          <w:szCs w:val="21"/>
        </w:rPr>
        <w:t>.</w:t>
      </w:r>
      <w:r>
        <w:rPr>
          <w:rFonts w:hint="eastAsia" w:ascii="宋体" w:hAnsi="宋体" w:cs="宋体"/>
          <w:szCs w:val="21"/>
        </w:rPr>
        <w:t>4  响应性评审标准：见评标办法前附表。</w:t>
      </w:r>
    </w:p>
    <w:p w14:paraId="1F9D5F9B">
      <w:pPr>
        <w:autoSpaceDE w:val="0"/>
        <w:autoSpaceDN w:val="0"/>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2.2.5  投标函部分及经济部分评审标准：见评标办法前附表。</w:t>
      </w:r>
    </w:p>
    <w:p w14:paraId="3556174D">
      <w:pPr>
        <w:pStyle w:val="4"/>
        <w:spacing w:before="0" w:after="0" w:line="360" w:lineRule="auto"/>
        <w:rPr>
          <w:rFonts w:hint="eastAsia" w:ascii="宋体" w:hAnsi="宋体" w:cs="宋体"/>
          <w:sz w:val="28"/>
          <w:szCs w:val="28"/>
        </w:rPr>
      </w:pPr>
      <w:bookmarkStart w:id="328" w:name="_Toc5475"/>
      <w:bookmarkStart w:id="329" w:name="_Toc33106445"/>
      <w:bookmarkStart w:id="330" w:name="_Toc57795922"/>
      <w:r>
        <w:rPr>
          <w:rFonts w:hint="eastAsia" w:ascii="宋体" w:hAnsi="宋体" w:cs="宋体"/>
          <w:sz w:val="28"/>
          <w:szCs w:val="28"/>
        </w:rPr>
        <w:t>3. 评标程序</w:t>
      </w:r>
      <w:bookmarkEnd w:id="328"/>
      <w:bookmarkEnd w:id="329"/>
      <w:bookmarkEnd w:id="330"/>
    </w:p>
    <w:p w14:paraId="601A1DE7">
      <w:pPr>
        <w:pStyle w:val="5"/>
        <w:spacing w:before="0" w:after="0" w:line="360" w:lineRule="auto"/>
        <w:rPr>
          <w:rFonts w:hint="eastAsia" w:ascii="宋体" w:hAnsi="宋体" w:cs="宋体"/>
          <w:sz w:val="21"/>
          <w:szCs w:val="21"/>
        </w:rPr>
      </w:pPr>
      <w:bookmarkStart w:id="331" w:name="_Toc3441"/>
      <w:bookmarkStart w:id="332" w:name="_Toc33106446"/>
      <w:bookmarkStart w:id="333" w:name="_Toc57795923"/>
      <w:r>
        <w:rPr>
          <w:rFonts w:hint="eastAsia" w:ascii="宋体" w:hAnsi="宋体" w:cs="宋体"/>
          <w:sz w:val="21"/>
          <w:szCs w:val="21"/>
        </w:rPr>
        <w:t>3.1报价排序</w:t>
      </w:r>
      <w:bookmarkEnd w:id="331"/>
      <w:bookmarkEnd w:id="332"/>
      <w:bookmarkEnd w:id="333"/>
    </w:p>
    <w:p w14:paraId="7091CE26">
      <w:pPr>
        <w:spacing w:line="360" w:lineRule="auto"/>
        <w:ind w:firstLine="413" w:firstLineChars="197"/>
        <w:rPr>
          <w:rFonts w:ascii="宋体" w:hAnsi="宋体" w:cs="宋体"/>
          <w:szCs w:val="21"/>
        </w:rPr>
      </w:pPr>
      <w:r>
        <w:rPr>
          <w:rFonts w:hint="eastAsia" w:ascii="宋体" w:hAnsi="宋体" w:cs="宋体"/>
          <w:szCs w:val="21"/>
        </w:rPr>
        <w:t>对报价不高于最高限价的所有投标人的投标文件，按照报价由低到高的顺序排序。需技术方案评审的，由电子评标系统对技术方案进行自动随机编号。在投标函部分及经济部分评审前，推送给评标委员会的投标文件不得显示排序。</w:t>
      </w:r>
    </w:p>
    <w:p w14:paraId="6ACE0898">
      <w:pPr>
        <w:pStyle w:val="5"/>
        <w:spacing w:before="0" w:after="0" w:line="360" w:lineRule="auto"/>
        <w:rPr>
          <w:rFonts w:hint="eastAsia" w:ascii="宋体" w:hAnsi="宋体" w:cs="宋体"/>
          <w:sz w:val="21"/>
          <w:szCs w:val="21"/>
        </w:rPr>
      </w:pPr>
      <w:bookmarkStart w:id="334" w:name="_Toc18696"/>
      <w:bookmarkStart w:id="335" w:name="_Toc33106447"/>
      <w:bookmarkStart w:id="336" w:name="_Toc57795924"/>
      <w:r>
        <w:rPr>
          <w:rFonts w:hint="eastAsia" w:ascii="宋体" w:hAnsi="宋体" w:cs="宋体"/>
          <w:sz w:val="21"/>
          <w:szCs w:val="21"/>
        </w:rPr>
        <w:t>3.2符合性审查</w:t>
      </w:r>
      <w:bookmarkEnd w:id="334"/>
      <w:bookmarkEnd w:id="335"/>
      <w:bookmarkEnd w:id="336"/>
    </w:p>
    <w:p w14:paraId="488B3B09">
      <w:pPr>
        <w:spacing w:line="360" w:lineRule="auto"/>
        <w:ind w:firstLine="413" w:firstLineChars="197"/>
        <w:rPr>
          <w:rFonts w:hint="eastAsia"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.1评标委员会依据本章第2.</w:t>
      </w:r>
      <w:r>
        <w:rPr>
          <w:rFonts w:hint="eastAsia" w:ascii="宋体" w:hAnsi="宋体" w:cs="宋体"/>
          <w:szCs w:val="21"/>
        </w:rPr>
        <w:t>2</w:t>
      </w:r>
      <w:r>
        <w:rPr>
          <w:rFonts w:ascii="宋体" w:hAnsi="宋体" w:cs="宋体"/>
          <w:szCs w:val="21"/>
        </w:rPr>
        <w:t xml:space="preserve"> </w:t>
      </w:r>
      <w:r>
        <w:rPr>
          <w:rFonts w:hint="eastAsia" w:ascii="宋体" w:hAnsi="宋体" w:cs="宋体"/>
          <w:szCs w:val="21"/>
        </w:rPr>
        <w:t>款规定的标准对投标文件进行符合性审查。符合性审查顺序：技术方案评审（如有）、资格评审、形式评审、响应性、投标函部分及经济部分评审。</w:t>
      </w:r>
    </w:p>
    <w:p w14:paraId="209296CB">
      <w:pPr>
        <w:spacing w:line="360" w:lineRule="auto"/>
        <w:ind w:firstLine="413" w:firstLineChars="197"/>
        <w:rPr>
          <w:rFonts w:ascii="宋体" w:hAnsi="宋体" w:cs="宋体"/>
          <w:szCs w:val="21"/>
        </w:rPr>
      </w:pPr>
      <w:r>
        <w:rPr>
          <w:rFonts w:hint="eastAsia" w:ascii="宋体" w:hAnsi="宋体" w:cs="宋体"/>
          <w:szCs w:val="21"/>
        </w:rPr>
        <w:t>勾选技术方案评审的，符合性审查应首先进行技术方案审查，再按照资格、形式、响应性、投标函部分及经济部分的顺序进行评审。有一项不符合评审标准的，作否决投标处理。</w:t>
      </w:r>
    </w:p>
    <w:p w14:paraId="7832FF9D">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2</w:t>
      </w:r>
      <w:r>
        <w:rPr>
          <w:rFonts w:ascii="宋体" w:hAnsi="宋体" w:cs="宋体"/>
          <w:szCs w:val="21"/>
        </w:rPr>
        <w:t>.2 投标人有以下情形之一的，</w:t>
      </w:r>
      <w:r>
        <w:rPr>
          <w:rFonts w:hint="eastAsia" w:ascii="宋体" w:hAnsi="宋体" w:cs="宋体"/>
          <w:szCs w:val="21"/>
        </w:rPr>
        <w:t>其投标文件将被否决：</w:t>
      </w:r>
    </w:p>
    <w:p w14:paraId="52136AD3">
      <w:pPr>
        <w:spacing w:line="360" w:lineRule="auto"/>
        <w:ind w:firstLine="405" w:firstLineChars="193"/>
        <w:rPr>
          <w:rFonts w:ascii="宋体" w:hAnsi="宋体" w:cs="宋体"/>
          <w:szCs w:val="21"/>
        </w:rPr>
      </w:pPr>
      <w:r>
        <w:rPr>
          <w:rFonts w:hint="eastAsia" w:ascii="宋体" w:hAnsi="宋体" w:cs="宋体"/>
          <w:szCs w:val="21"/>
        </w:rPr>
        <w:t>（1</w:t>
      </w:r>
      <w:r>
        <w:rPr>
          <w:rFonts w:ascii="宋体" w:hAnsi="宋体" w:cs="宋体"/>
          <w:szCs w:val="21"/>
        </w:rPr>
        <w:t>）第二章</w:t>
      </w:r>
      <w:r>
        <w:rPr>
          <w:rFonts w:hint="eastAsia" w:ascii="宋体" w:hAnsi="宋体" w:cs="宋体"/>
          <w:szCs w:val="21"/>
        </w:rPr>
        <w:t>“</w:t>
      </w:r>
      <w:r>
        <w:rPr>
          <w:rFonts w:ascii="宋体" w:hAnsi="宋体" w:cs="宋体"/>
          <w:szCs w:val="21"/>
        </w:rPr>
        <w:t>投标人须知</w:t>
      </w:r>
      <w:r>
        <w:rPr>
          <w:rFonts w:hint="eastAsia" w:ascii="宋体" w:hAnsi="宋体" w:cs="宋体"/>
          <w:szCs w:val="21"/>
        </w:rPr>
        <w:t>”</w:t>
      </w:r>
      <w:r>
        <w:rPr>
          <w:rFonts w:ascii="宋体" w:hAnsi="宋体" w:cs="宋体"/>
          <w:szCs w:val="21"/>
        </w:rPr>
        <w:t xml:space="preserve">第1.4.3 </w:t>
      </w:r>
      <w:r>
        <w:rPr>
          <w:rFonts w:hint="eastAsia" w:ascii="宋体" w:hAnsi="宋体" w:cs="宋体"/>
          <w:szCs w:val="21"/>
        </w:rPr>
        <w:t>项</w:t>
      </w:r>
      <w:r>
        <w:rPr>
          <w:rFonts w:ascii="宋体" w:hAnsi="宋体" w:cs="宋体"/>
          <w:szCs w:val="21"/>
        </w:rPr>
        <w:t>规定的任何一种情形的；</w:t>
      </w:r>
    </w:p>
    <w:p w14:paraId="1FA971D2">
      <w:pPr>
        <w:spacing w:line="360" w:lineRule="auto"/>
        <w:ind w:firstLine="420" w:firstLineChars="200"/>
        <w:rPr>
          <w:rFonts w:hint="eastAsia" w:ascii="宋体" w:hAnsi="宋体" w:cs="宋体"/>
          <w:szCs w:val="21"/>
        </w:rPr>
      </w:pPr>
      <w:r>
        <w:rPr>
          <w:rFonts w:hint="eastAsia" w:ascii="宋体" w:hAnsi="宋体" w:cs="宋体"/>
          <w:szCs w:val="21"/>
        </w:rPr>
        <w:t>（2</w:t>
      </w:r>
      <w:r>
        <w:rPr>
          <w:rFonts w:ascii="宋体" w:hAnsi="宋体" w:cs="宋体"/>
          <w:szCs w:val="21"/>
        </w:rPr>
        <w:t>）</w:t>
      </w:r>
      <w:r>
        <w:rPr>
          <w:rFonts w:hint="eastAsia" w:ascii="宋体" w:hAnsi="宋体" w:cs="宋体"/>
          <w:szCs w:val="21"/>
        </w:rPr>
        <w:t>本次投标有串通投标、弄虚作假等其他违反招投标相关法律、法规行为的；</w:t>
      </w:r>
    </w:p>
    <w:p w14:paraId="13E97AF4">
      <w:pPr>
        <w:spacing w:line="360" w:lineRule="auto"/>
        <w:ind w:firstLine="420" w:firstLineChars="200"/>
        <w:rPr>
          <w:rFonts w:hint="eastAsia" w:ascii="宋体" w:hAnsi="宋体" w:cs="宋体"/>
          <w:szCs w:val="21"/>
        </w:rPr>
      </w:pPr>
      <w:r>
        <w:rPr>
          <w:rFonts w:hint="eastAsia" w:ascii="宋体" w:hAnsi="宋体" w:cs="宋体"/>
          <w:szCs w:val="21"/>
        </w:rPr>
        <w:t>（3）拒绝按评标委员会要求澄清、说明或补正的。</w:t>
      </w:r>
    </w:p>
    <w:p w14:paraId="3973424A">
      <w:pPr>
        <w:spacing w:line="360" w:lineRule="auto"/>
        <w:ind w:firstLine="420" w:firstLineChars="200"/>
        <w:rPr>
          <w:rFonts w:hint="eastAsia" w:ascii="宋体" w:hAnsi="宋体" w:cs="宋体"/>
          <w:szCs w:val="21"/>
        </w:rPr>
      </w:pPr>
      <w:r>
        <w:rPr>
          <w:rFonts w:hint="eastAsia" w:ascii="宋体" w:hAnsi="宋体" w:cs="宋体"/>
          <w:szCs w:val="21"/>
        </w:rPr>
        <w:t>3.2.3 投标报价有算术错误的，评标委员会按以下原则对投标报价进行修正，修正的价格经投标人书面确认后具有约束力，修正原则如下：</w:t>
      </w:r>
    </w:p>
    <w:p w14:paraId="7951482A">
      <w:pPr>
        <w:spacing w:line="360" w:lineRule="auto"/>
        <w:ind w:firstLine="420" w:firstLineChars="200"/>
        <w:rPr>
          <w:rFonts w:hint="eastAsia" w:ascii="宋体" w:hAnsi="宋体" w:cs="宋体"/>
          <w:szCs w:val="21"/>
        </w:rPr>
      </w:pPr>
      <w:r>
        <w:rPr>
          <w:rFonts w:hint="eastAsia" w:ascii="宋体" w:hAnsi="宋体" w:cs="宋体"/>
          <w:szCs w:val="21"/>
        </w:rPr>
        <w:t>（1）投标文件中的大写金额与小写金额不一致的，以大写金额为准；</w:t>
      </w:r>
    </w:p>
    <w:p w14:paraId="267AB5C8">
      <w:pPr>
        <w:spacing w:line="360" w:lineRule="auto"/>
        <w:ind w:firstLine="420" w:firstLineChars="200"/>
        <w:rPr>
          <w:rFonts w:hint="eastAsia" w:ascii="宋体" w:hAnsi="宋体" w:cs="宋体"/>
          <w:szCs w:val="21"/>
        </w:rPr>
      </w:pPr>
      <w:r>
        <w:rPr>
          <w:rFonts w:hint="eastAsia" w:ascii="宋体" w:hAnsi="宋体" w:cs="宋体"/>
          <w:szCs w:val="21"/>
        </w:rPr>
        <w:t>（2）投标函中的总报价与已标价工程量清单总报价不一致的，由评标委员会作否决投标处理。</w:t>
      </w:r>
    </w:p>
    <w:p w14:paraId="145C9E8F">
      <w:pPr>
        <w:pStyle w:val="5"/>
        <w:spacing w:before="0" w:after="0" w:line="360" w:lineRule="auto"/>
        <w:rPr>
          <w:rFonts w:hint="eastAsia" w:ascii="宋体" w:hAnsi="宋体" w:cs="宋体"/>
          <w:sz w:val="21"/>
          <w:szCs w:val="21"/>
        </w:rPr>
      </w:pPr>
      <w:bookmarkStart w:id="337" w:name="_Toc10408"/>
      <w:bookmarkStart w:id="338" w:name="_Toc57795925"/>
      <w:bookmarkStart w:id="339" w:name="_Toc33106448"/>
      <w:r>
        <w:rPr>
          <w:rFonts w:hint="eastAsia" w:ascii="宋体" w:hAnsi="宋体" w:cs="宋体"/>
          <w:sz w:val="21"/>
          <w:szCs w:val="21"/>
        </w:rPr>
        <w:t>3.3 投标文件的澄清和补正</w:t>
      </w:r>
      <w:bookmarkEnd w:id="337"/>
      <w:bookmarkEnd w:id="338"/>
      <w:bookmarkEnd w:id="339"/>
    </w:p>
    <w:p w14:paraId="41B94461">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.1 </w:t>
      </w:r>
      <w:r>
        <w:rPr>
          <w:rFonts w:hint="eastAsia" w:ascii="宋体" w:hAnsi="宋体" w:cs="宋体"/>
          <w:szCs w:val="21"/>
        </w:rPr>
        <w:t>在评标过程中，评标委员会可以书面形式要求投标人对所提交投标文件中不明确的内容进行书面澄清或说明，或者对细微偏差进行补正。评标委员会不接受投标人主动提出的澄清、说明或补正。</w:t>
      </w:r>
    </w:p>
    <w:p w14:paraId="75C284AD">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.2 </w:t>
      </w:r>
      <w:r>
        <w:rPr>
          <w:rFonts w:hint="eastAsia" w:ascii="宋体" w:hAnsi="宋体" w:cs="宋体"/>
          <w:szCs w:val="21"/>
        </w:rPr>
        <w:t>澄清、说明和补正不得改变投标文件的实质性内容（算术性错误修正的除外）。投标人的书面澄清、说明和补正属于投标文件的组成部分。</w:t>
      </w:r>
    </w:p>
    <w:p w14:paraId="25C309F9">
      <w:pPr>
        <w:spacing w:line="360" w:lineRule="auto"/>
        <w:ind w:firstLine="420" w:firstLineChars="200"/>
        <w:rPr>
          <w:rFonts w:ascii="宋体" w:hAnsi="宋体" w:cs="宋体"/>
          <w:szCs w:val="21"/>
        </w:rPr>
      </w:pPr>
      <w:r>
        <w:rPr>
          <w:rFonts w:ascii="宋体" w:hAnsi="宋体" w:cs="宋体"/>
          <w:szCs w:val="21"/>
        </w:rPr>
        <w:t>3.</w:t>
      </w:r>
      <w:r>
        <w:rPr>
          <w:rFonts w:hint="eastAsia" w:ascii="宋体" w:hAnsi="宋体" w:cs="宋体"/>
          <w:szCs w:val="21"/>
        </w:rPr>
        <w:t>3</w:t>
      </w:r>
      <w:r>
        <w:rPr>
          <w:rFonts w:ascii="宋体" w:hAnsi="宋体" w:cs="宋体"/>
          <w:szCs w:val="21"/>
        </w:rPr>
        <w:t xml:space="preserve">.3 </w:t>
      </w:r>
      <w:r>
        <w:rPr>
          <w:rFonts w:hint="eastAsia" w:ascii="宋体" w:hAnsi="宋体" w:cs="宋体"/>
          <w:szCs w:val="21"/>
        </w:rPr>
        <w:t>评标委员会对投标人提交的澄清、说明或补正有疑问的，可以要求投标人进一步澄清、说明或补正，直至满足评标委员会的要求。</w:t>
      </w:r>
    </w:p>
    <w:p w14:paraId="575B9E53">
      <w:pPr>
        <w:pStyle w:val="5"/>
        <w:spacing w:before="0" w:after="0" w:line="360" w:lineRule="auto"/>
        <w:rPr>
          <w:rFonts w:hint="eastAsia" w:ascii="宋体" w:hAnsi="宋体" w:cs="宋体"/>
          <w:sz w:val="21"/>
          <w:szCs w:val="21"/>
        </w:rPr>
      </w:pPr>
      <w:bookmarkStart w:id="340" w:name="_Toc479262406"/>
      <w:bookmarkStart w:id="341" w:name="_Toc484465184"/>
      <w:bookmarkStart w:id="342" w:name="_Toc57795926"/>
      <w:bookmarkStart w:id="343" w:name="_Toc6537"/>
      <w:bookmarkStart w:id="344" w:name="_Toc33106449"/>
      <w:r>
        <w:rPr>
          <w:rFonts w:hint="eastAsia" w:ascii="宋体" w:hAnsi="宋体" w:cs="宋体"/>
          <w:sz w:val="21"/>
          <w:szCs w:val="21"/>
        </w:rPr>
        <w:t>3.4 评标结果</w:t>
      </w:r>
      <w:bookmarkEnd w:id="340"/>
      <w:bookmarkEnd w:id="341"/>
      <w:bookmarkEnd w:id="342"/>
      <w:bookmarkEnd w:id="343"/>
      <w:bookmarkEnd w:id="344"/>
    </w:p>
    <w:p w14:paraId="5393FC92">
      <w:pPr>
        <w:autoSpaceDE w:val="0"/>
        <w:autoSpaceDN w:val="0"/>
        <w:adjustRightInd w:val="0"/>
        <w:spacing w:line="360" w:lineRule="auto"/>
        <w:ind w:firstLine="420" w:firstLineChars="200"/>
        <w:jc w:val="left"/>
        <w:rPr>
          <w:rFonts w:ascii="宋体" w:hAnsi="宋体" w:cs="宋体"/>
          <w:kern w:val="0"/>
          <w:szCs w:val="21"/>
        </w:rPr>
      </w:pPr>
      <w:r>
        <w:rPr>
          <w:rFonts w:ascii="宋体" w:hAnsi="宋体" w:cs="宋体"/>
          <w:szCs w:val="21"/>
        </w:rPr>
        <w:t>3.</w:t>
      </w:r>
      <w:r>
        <w:rPr>
          <w:rFonts w:hint="eastAsia" w:ascii="宋体" w:hAnsi="宋体" w:cs="宋体"/>
          <w:szCs w:val="21"/>
        </w:rPr>
        <w:t>4</w:t>
      </w:r>
      <w:r>
        <w:rPr>
          <w:rFonts w:ascii="宋体" w:hAnsi="宋体" w:cs="宋体"/>
          <w:szCs w:val="21"/>
        </w:rPr>
        <w:t>.1</w:t>
      </w:r>
      <w:r>
        <w:rPr>
          <w:rFonts w:hint="eastAsia" w:ascii="宋体" w:hAnsi="宋体" w:cs="宋体"/>
          <w:szCs w:val="21"/>
        </w:rPr>
        <w:t xml:space="preserve"> 除第二章“投标人须知”前附表授权直接确定中标人外，评标委员会按经评审的最低投标价法推荐中标候选人。</w:t>
      </w:r>
    </w:p>
    <w:p w14:paraId="246F61D9">
      <w:pPr>
        <w:spacing w:line="360" w:lineRule="auto"/>
        <w:ind w:firstLine="420" w:firstLineChars="200"/>
        <w:jc w:val="left"/>
        <w:rPr>
          <w:rFonts w:hint="eastAsia" w:ascii="宋体" w:hAnsi="宋体" w:cs="宋体"/>
          <w:szCs w:val="21"/>
        </w:rPr>
      </w:pPr>
      <w:r>
        <w:rPr>
          <w:rFonts w:ascii="宋体" w:hAnsi="宋体" w:cs="宋体"/>
          <w:szCs w:val="21"/>
        </w:rPr>
        <w:t>3.</w:t>
      </w:r>
      <w:r>
        <w:rPr>
          <w:rFonts w:hint="eastAsia" w:ascii="宋体" w:hAnsi="宋体" w:cs="宋体"/>
          <w:szCs w:val="21"/>
        </w:rPr>
        <w:t>4</w:t>
      </w:r>
      <w:r>
        <w:rPr>
          <w:rFonts w:ascii="宋体" w:hAnsi="宋体" w:cs="宋体"/>
          <w:szCs w:val="21"/>
        </w:rPr>
        <w:t>.2</w:t>
      </w:r>
      <w:r>
        <w:rPr>
          <w:rFonts w:hint="eastAsia" w:ascii="宋体" w:hAnsi="宋体" w:cs="宋体"/>
          <w:szCs w:val="21"/>
        </w:rPr>
        <w:t xml:space="preserve"> 评标委员会完成评标后，应当向招标人提交书面评标报告和中标候选人名单。</w:t>
      </w:r>
    </w:p>
    <w:p w14:paraId="2106D371">
      <w:pPr>
        <w:pStyle w:val="2"/>
        <w:rPr>
          <w:rFonts w:hint="eastAsia" w:ascii="宋体" w:hAnsi="宋体" w:cs="宋体"/>
          <w:szCs w:val="21"/>
        </w:rPr>
      </w:pPr>
      <w:r>
        <w:rPr>
          <w:rFonts w:hint="eastAsia" w:ascii="宋体" w:hAnsi="宋体" w:cs="宋体"/>
          <w:szCs w:val="21"/>
        </w:rPr>
        <w:br w:type="page"/>
      </w:r>
    </w:p>
    <w:p w14:paraId="0E1F89BF">
      <w:pPr>
        <w:pStyle w:val="24"/>
        <w:spacing w:line="360" w:lineRule="auto"/>
        <w:rPr>
          <w:rFonts w:ascii="宋体" w:hAnsi="宋体"/>
          <w:b/>
          <w:sz w:val="28"/>
          <w:szCs w:val="28"/>
          <w:u w:val="none"/>
          <w:lang w:eastAsia="zh-CN"/>
        </w:rPr>
      </w:pPr>
      <w:r>
        <w:rPr>
          <w:rFonts w:hint="eastAsia" w:ascii="宋体" w:hAnsi="宋体"/>
          <w:b/>
          <w:sz w:val="28"/>
          <w:szCs w:val="28"/>
          <w:u w:val="none"/>
          <w:lang w:eastAsia="zh-CN"/>
        </w:rPr>
        <w:t>附件A：经评审的最低投标价法否决投标情况一览表</w:t>
      </w:r>
    </w:p>
    <w:p w14:paraId="1F0C0B89">
      <w:pPr>
        <w:pStyle w:val="24"/>
        <w:spacing w:line="360" w:lineRule="auto"/>
        <w:ind w:firstLine="420" w:firstLineChars="200"/>
        <w:jc w:val="both"/>
        <w:rPr>
          <w:rFonts w:hint="eastAsia"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p>
    <w:tbl>
      <w:tblPr>
        <w:tblStyle w:val="31"/>
        <w:tblW w:w="880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961"/>
        <w:gridCol w:w="1515"/>
        <w:gridCol w:w="6333"/>
      </w:tblGrid>
      <w:tr w14:paraId="7892FC5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8" w:space="0"/>
              <w:left w:val="single" w:color="000000" w:sz="8" w:space="0"/>
              <w:bottom w:val="single" w:color="000000" w:sz="4" w:space="0"/>
              <w:right w:val="single" w:color="000000" w:sz="4" w:space="0"/>
            </w:tcBorders>
            <w:vAlign w:val="center"/>
          </w:tcPr>
          <w:p w14:paraId="681DEEFD">
            <w:pPr>
              <w:spacing w:line="400" w:lineRule="exact"/>
              <w:jc w:val="center"/>
              <w:rPr>
                <w:rFonts w:ascii="宋体" w:hAnsi="宋体"/>
                <w:b/>
                <w:szCs w:val="21"/>
              </w:rPr>
            </w:pPr>
            <w:r>
              <w:rPr>
                <w:rFonts w:hint="eastAsia" w:ascii="宋体" w:hAnsi="宋体"/>
                <w:b/>
                <w:szCs w:val="21"/>
              </w:rPr>
              <w:t>章节号</w:t>
            </w:r>
          </w:p>
        </w:tc>
        <w:tc>
          <w:tcPr>
            <w:tcW w:w="1515" w:type="dxa"/>
            <w:tcBorders>
              <w:top w:val="single" w:color="000000" w:sz="8" w:space="0"/>
              <w:left w:val="single" w:color="000000" w:sz="4" w:space="0"/>
              <w:bottom w:val="single" w:color="000000" w:sz="4" w:space="0"/>
              <w:right w:val="single" w:color="000000" w:sz="4" w:space="0"/>
            </w:tcBorders>
            <w:vAlign w:val="center"/>
          </w:tcPr>
          <w:p w14:paraId="082F6BE7">
            <w:pPr>
              <w:spacing w:line="400" w:lineRule="exact"/>
              <w:jc w:val="center"/>
              <w:rPr>
                <w:rFonts w:ascii="宋体" w:hAnsi="宋体"/>
                <w:b/>
                <w:szCs w:val="21"/>
              </w:rPr>
            </w:pPr>
            <w:r>
              <w:rPr>
                <w:rFonts w:hint="eastAsia" w:ascii="宋体" w:hAnsi="宋体"/>
                <w:b/>
                <w:szCs w:val="21"/>
              </w:rPr>
              <w:t>条款名称</w:t>
            </w:r>
          </w:p>
        </w:tc>
        <w:tc>
          <w:tcPr>
            <w:tcW w:w="6333" w:type="dxa"/>
            <w:tcBorders>
              <w:top w:val="single" w:color="000000" w:sz="8" w:space="0"/>
              <w:left w:val="single" w:color="000000" w:sz="4" w:space="0"/>
              <w:bottom w:val="single" w:color="000000" w:sz="4" w:space="0"/>
              <w:right w:val="single" w:color="000000" w:sz="8" w:space="0"/>
            </w:tcBorders>
            <w:vAlign w:val="center"/>
          </w:tcPr>
          <w:p w14:paraId="15D9572D">
            <w:pPr>
              <w:spacing w:line="400" w:lineRule="exact"/>
              <w:jc w:val="center"/>
              <w:rPr>
                <w:rFonts w:ascii="宋体" w:hAnsi="宋体"/>
                <w:b/>
                <w:szCs w:val="21"/>
              </w:rPr>
            </w:pPr>
            <w:r>
              <w:rPr>
                <w:rFonts w:hint="eastAsia" w:ascii="宋体" w:hAnsi="宋体"/>
                <w:b/>
                <w:szCs w:val="21"/>
              </w:rPr>
              <w:t>否决投标条件</w:t>
            </w:r>
          </w:p>
        </w:tc>
      </w:tr>
      <w:tr w14:paraId="5E61C6A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restart"/>
            <w:tcBorders>
              <w:top w:val="single" w:color="000000" w:sz="4" w:space="0"/>
              <w:left w:val="single" w:color="000000" w:sz="8" w:space="0"/>
              <w:bottom w:val="single" w:color="000000" w:sz="4" w:space="0"/>
              <w:right w:val="single" w:color="000000" w:sz="4" w:space="0"/>
            </w:tcBorders>
            <w:vAlign w:val="center"/>
          </w:tcPr>
          <w:p w14:paraId="080FFDE6">
            <w:pPr>
              <w:spacing w:line="400" w:lineRule="exact"/>
              <w:jc w:val="center"/>
              <w:rPr>
                <w:rFonts w:ascii="宋体" w:hAnsi="宋体"/>
                <w:szCs w:val="21"/>
              </w:rPr>
            </w:pPr>
            <w:r>
              <w:rPr>
                <w:rFonts w:hint="eastAsia" w:ascii="宋体" w:hAnsi="宋体"/>
                <w:szCs w:val="21"/>
              </w:rPr>
              <w:t>第三章</w:t>
            </w:r>
          </w:p>
        </w:tc>
        <w:tc>
          <w:tcPr>
            <w:tcW w:w="1515" w:type="dxa"/>
            <w:tcBorders>
              <w:top w:val="single" w:color="000000" w:sz="4" w:space="0"/>
              <w:left w:val="single" w:color="000000" w:sz="4" w:space="0"/>
              <w:bottom w:val="single" w:color="auto" w:sz="4" w:space="0"/>
              <w:right w:val="single" w:color="000000" w:sz="4" w:space="0"/>
            </w:tcBorders>
            <w:vAlign w:val="center"/>
          </w:tcPr>
          <w:p w14:paraId="7D90AFCC">
            <w:pPr>
              <w:spacing w:line="400" w:lineRule="exact"/>
              <w:jc w:val="center"/>
              <w:rPr>
                <w:rFonts w:ascii="宋体" w:hAnsi="宋体"/>
                <w:szCs w:val="21"/>
              </w:rPr>
            </w:pPr>
            <w:r>
              <w:rPr>
                <w:rFonts w:hint="eastAsia" w:ascii="宋体" w:hAnsi="宋体"/>
                <w:szCs w:val="21"/>
              </w:rPr>
              <w:t>技术方案评审</w:t>
            </w:r>
          </w:p>
          <w:p w14:paraId="3D57748C">
            <w:pPr>
              <w:spacing w:line="400" w:lineRule="exact"/>
              <w:jc w:val="center"/>
              <w:rPr>
                <w:rFonts w:ascii="宋体" w:hAnsi="宋体"/>
                <w:szCs w:val="21"/>
              </w:rPr>
            </w:pPr>
            <w:r>
              <w:rPr>
                <w:rFonts w:hint="eastAsia" w:ascii="宋体" w:hAnsi="宋体"/>
                <w:szCs w:val="21"/>
              </w:rPr>
              <w:t>（如有）</w:t>
            </w:r>
          </w:p>
        </w:tc>
        <w:tc>
          <w:tcPr>
            <w:tcW w:w="6333" w:type="dxa"/>
            <w:tcBorders>
              <w:top w:val="single" w:color="000000" w:sz="4" w:space="0"/>
              <w:left w:val="single" w:color="000000" w:sz="4" w:space="0"/>
              <w:bottom w:val="single" w:color="000000" w:sz="4" w:space="0"/>
              <w:right w:val="single" w:color="000000" w:sz="8" w:space="0"/>
            </w:tcBorders>
            <w:vAlign w:val="center"/>
          </w:tcPr>
          <w:p w14:paraId="780182ED">
            <w:pPr>
              <w:spacing w:line="400" w:lineRule="exact"/>
              <w:ind w:firstLine="420" w:firstLineChars="200"/>
              <w:rPr>
                <w:rFonts w:ascii="宋体" w:hAnsi="宋体"/>
                <w:szCs w:val="21"/>
              </w:rPr>
            </w:pPr>
            <w:r>
              <w:rPr>
                <w:rFonts w:hint="eastAsia" w:ascii="宋体" w:hAnsi="宋体"/>
                <w:szCs w:val="21"/>
              </w:rPr>
              <w:t>A-1投标人的技术方案综合性评审不合格，由评标委员会作否决投标处理。</w:t>
            </w:r>
          </w:p>
        </w:tc>
      </w:tr>
      <w:tr w14:paraId="0C6EC86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ABD6769">
            <w:pPr>
              <w:widowControl/>
              <w:jc w:val="left"/>
              <w:rPr>
                <w:rFonts w:ascii="宋体" w:hAnsi="宋体"/>
                <w:szCs w:val="21"/>
              </w:rPr>
            </w:pPr>
          </w:p>
        </w:tc>
        <w:tc>
          <w:tcPr>
            <w:tcW w:w="1515" w:type="dxa"/>
            <w:vMerge w:val="restart"/>
            <w:tcBorders>
              <w:top w:val="single" w:color="auto" w:sz="4" w:space="0"/>
              <w:left w:val="single" w:color="000000" w:sz="4" w:space="0"/>
              <w:bottom w:val="single" w:color="000000" w:sz="4" w:space="0"/>
              <w:right w:val="single" w:color="000000" w:sz="4" w:space="0"/>
            </w:tcBorders>
            <w:vAlign w:val="center"/>
          </w:tcPr>
          <w:p w14:paraId="7E5F2E2D">
            <w:pPr>
              <w:spacing w:line="400" w:lineRule="exact"/>
              <w:jc w:val="center"/>
              <w:rPr>
                <w:rFonts w:ascii="宋体" w:hAnsi="宋体"/>
                <w:szCs w:val="21"/>
              </w:rPr>
            </w:pPr>
            <w:r>
              <w:rPr>
                <w:rFonts w:hint="eastAsia" w:ascii="宋体" w:hAnsi="宋体"/>
                <w:szCs w:val="21"/>
              </w:rPr>
              <w:t>资格评审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5A109D62">
            <w:pPr>
              <w:spacing w:line="400" w:lineRule="exact"/>
              <w:ind w:firstLine="420" w:firstLineChars="200"/>
              <w:rPr>
                <w:rFonts w:ascii="宋体" w:hAnsi="宋体"/>
                <w:szCs w:val="21"/>
              </w:rPr>
            </w:pPr>
            <w:r>
              <w:rPr>
                <w:rFonts w:hint="eastAsia" w:ascii="宋体" w:hAnsi="宋体"/>
                <w:szCs w:val="21"/>
              </w:rPr>
              <w:t>A-2投标人的资质条件、营业执照及安全生产条件须满足投标人须知前附表第1.4.1项的要求，否则由评标委员会作否决投标处理。</w:t>
            </w:r>
          </w:p>
        </w:tc>
      </w:tr>
      <w:tr w14:paraId="0F5407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0DC987A">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0B7348C4">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96CC8C6">
            <w:pPr>
              <w:spacing w:line="400" w:lineRule="exact"/>
              <w:ind w:firstLine="420" w:firstLineChars="200"/>
              <w:rPr>
                <w:rFonts w:ascii="宋体" w:hAnsi="宋体"/>
                <w:szCs w:val="21"/>
              </w:rPr>
            </w:pPr>
            <w:r>
              <w:rPr>
                <w:rFonts w:hint="eastAsia" w:ascii="宋体" w:hAnsi="宋体"/>
                <w:szCs w:val="21"/>
              </w:rPr>
              <w:t>A-3投标人的财务须满足投标人须知前附表第1.4.1项的要求，否则由评标委员会作否决投标处理（如有）。</w:t>
            </w:r>
          </w:p>
        </w:tc>
      </w:tr>
      <w:tr w14:paraId="77BBE1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1B0BC3C">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341AFE5E">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214F02E">
            <w:pPr>
              <w:spacing w:line="400" w:lineRule="exact"/>
              <w:ind w:firstLine="420" w:firstLineChars="200"/>
              <w:rPr>
                <w:rFonts w:ascii="宋体" w:hAnsi="宋体"/>
                <w:szCs w:val="21"/>
              </w:rPr>
            </w:pPr>
            <w:r>
              <w:rPr>
                <w:rFonts w:hint="eastAsia" w:ascii="宋体" w:hAnsi="宋体"/>
                <w:szCs w:val="21"/>
              </w:rPr>
              <w:t>A-4投标人的业绩须满足投标人须知前附表第1.4.1项的要求，否则由评标委员会作否决投标处理（如有）。</w:t>
            </w:r>
          </w:p>
        </w:tc>
      </w:tr>
      <w:tr w14:paraId="11FEAB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9EE35CE">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5E21AA3C">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FC68952">
            <w:pPr>
              <w:spacing w:line="400" w:lineRule="exact"/>
              <w:ind w:firstLine="420" w:firstLineChars="200"/>
              <w:rPr>
                <w:rFonts w:ascii="宋体" w:hAnsi="宋体"/>
                <w:szCs w:val="21"/>
              </w:rPr>
            </w:pPr>
            <w:r>
              <w:rPr>
                <w:rFonts w:hint="eastAsia" w:ascii="宋体" w:hAnsi="宋体"/>
                <w:szCs w:val="21"/>
              </w:rPr>
              <w:t>A-5投标人的投标截止日投标资格情况须满足投标人须知前附表第1.4.1项的要求，否则由评标委员会作否决投标处理。</w:t>
            </w:r>
          </w:p>
        </w:tc>
      </w:tr>
      <w:tr w14:paraId="619C1D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21BD68E">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5E37EF92">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EDBF8C7">
            <w:pPr>
              <w:spacing w:line="400" w:lineRule="exact"/>
              <w:ind w:firstLine="420" w:firstLineChars="200"/>
              <w:rPr>
                <w:rFonts w:ascii="宋体" w:hAnsi="宋体"/>
                <w:szCs w:val="21"/>
              </w:rPr>
            </w:pPr>
            <w:r>
              <w:rPr>
                <w:rFonts w:hint="eastAsia" w:ascii="宋体" w:hAnsi="宋体"/>
                <w:szCs w:val="21"/>
              </w:rPr>
              <w:t>A-6投标人的项目经理和项目总工资格须满足投标人须知前附表第1.4.1项的要求，否则由评标委员会作否决投标处理。</w:t>
            </w:r>
          </w:p>
        </w:tc>
      </w:tr>
      <w:tr w14:paraId="2C619E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91ADEE6">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10B70AD5">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A2C0F89">
            <w:pPr>
              <w:spacing w:line="400" w:lineRule="exact"/>
              <w:ind w:firstLine="420" w:firstLineChars="200"/>
              <w:rPr>
                <w:rFonts w:hint="eastAsia" w:ascii="宋体" w:hAnsi="宋体"/>
                <w:szCs w:val="21"/>
              </w:rPr>
            </w:pPr>
            <w:r>
              <w:rPr>
                <w:rFonts w:hint="eastAsia" w:ascii="宋体" w:hAnsi="宋体"/>
                <w:szCs w:val="21"/>
              </w:rPr>
              <w:t>A-7投标人的</w:t>
            </w:r>
            <w:r>
              <w:rPr>
                <w:rFonts w:hint="eastAsia" w:ascii="宋体" w:hAnsi="宋体"/>
                <w:kern w:val="0"/>
              </w:rPr>
              <w:t>其他管理和技术人员最低要求</w:t>
            </w:r>
            <w:r>
              <w:rPr>
                <w:rFonts w:hint="eastAsia" w:ascii="宋体" w:hAnsi="宋体"/>
                <w:szCs w:val="21"/>
              </w:rPr>
              <w:t>须满足投标人须知前附表1.4.1项的要求，否则由评标委员会作否决投标处理（如有）。</w:t>
            </w:r>
          </w:p>
        </w:tc>
      </w:tr>
      <w:tr w14:paraId="0A72F0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6E9B5D0B">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57734E6B">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3C57CCD">
            <w:pPr>
              <w:spacing w:line="400" w:lineRule="exact"/>
              <w:ind w:firstLine="420" w:firstLineChars="200"/>
              <w:rPr>
                <w:rFonts w:hint="eastAsia" w:ascii="宋体" w:hAnsi="宋体"/>
                <w:szCs w:val="21"/>
              </w:rPr>
            </w:pPr>
            <w:r>
              <w:rPr>
                <w:rFonts w:hint="eastAsia" w:ascii="宋体" w:hAnsi="宋体"/>
                <w:szCs w:val="21"/>
              </w:rPr>
              <w:t>A-8投标人的</w:t>
            </w:r>
            <w:r>
              <w:rPr>
                <w:rFonts w:ascii="宋体" w:hAnsi="宋体"/>
                <w:kern w:val="0"/>
              </w:rPr>
              <w:t>主要机械设备和试验检测设备最低要求</w:t>
            </w:r>
            <w:r>
              <w:rPr>
                <w:rFonts w:hint="eastAsia" w:ascii="宋体" w:hAnsi="宋体"/>
                <w:szCs w:val="21"/>
              </w:rPr>
              <w:t>须满足投标人须知前附表1.4.1项的要求，否则由评标委员会作否决投标处理（如有）。</w:t>
            </w:r>
          </w:p>
        </w:tc>
      </w:tr>
      <w:tr w14:paraId="2684CC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8BF6E10">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163C18BB">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04ACB30">
            <w:pPr>
              <w:spacing w:line="400" w:lineRule="exact"/>
              <w:ind w:firstLine="420" w:firstLineChars="200"/>
              <w:rPr>
                <w:rFonts w:ascii="宋体" w:hAnsi="宋体"/>
                <w:szCs w:val="21"/>
              </w:rPr>
            </w:pPr>
            <w:r>
              <w:rPr>
                <w:rFonts w:hint="eastAsia" w:ascii="宋体" w:hAnsi="宋体"/>
                <w:szCs w:val="21"/>
              </w:rPr>
              <w:t>A-9投标人的其他要求须满足投标人须知前附表第1.4.1项的要求，否则由评标委员会作否决投标处理。</w:t>
            </w:r>
          </w:p>
        </w:tc>
      </w:tr>
      <w:tr w14:paraId="2095AC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314D686">
            <w:pPr>
              <w:widowControl/>
              <w:jc w:val="left"/>
              <w:rPr>
                <w:rFonts w:ascii="宋体" w:hAnsi="宋体"/>
                <w:szCs w:val="21"/>
              </w:rPr>
            </w:pPr>
          </w:p>
        </w:tc>
        <w:tc>
          <w:tcPr>
            <w:tcW w:w="1515" w:type="dxa"/>
            <w:vMerge w:val="continue"/>
            <w:tcBorders>
              <w:top w:val="single" w:color="auto" w:sz="4" w:space="0"/>
              <w:left w:val="single" w:color="000000" w:sz="4" w:space="0"/>
              <w:bottom w:val="single" w:color="000000" w:sz="4" w:space="0"/>
              <w:right w:val="single" w:color="000000" w:sz="4" w:space="0"/>
            </w:tcBorders>
            <w:vAlign w:val="center"/>
          </w:tcPr>
          <w:p w14:paraId="043F7DCA">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2DE8FF88">
            <w:pPr>
              <w:spacing w:line="400" w:lineRule="exact"/>
              <w:ind w:firstLine="420" w:firstLineChars="200"/>
              <w:rPr>
                <w:rFonts w:ascii="宋体" w:hAnsi="宋体"/>
                <w:szCs w:val="21"/>
              </w:rPr>
            </w:pPr>
            <w:r>
              <w:rPr>
                <w:rFonts w:hint="eastAsia" w:ascii="宋体" w:hAnsi="宋体"/>
                <w:szCs w:val="21"/>
              </w:rPr>
              <w:t>A-10若有联合体投标人，则：</w:t>
            </w:r>
          </w:p>
          <w:p w14:paraId="02562C92">
            <w:pPr>
              <w:spacing w:line="400" w:lineRule="exact"/>
              <w:ind w:firstLine="420" w:firstLineChars="200"/>
              <w:rPr>
                <w:rFonts w:hint="eastAsia" w:ascii="宋体" w:hAnsi="宋体"/>
                <w:szCs w:val="21"/>
              </w:rPr>
            </w:pPr>
            <w:r>
              <w:rPr>
                <w:rFonts w:hint="eastAsia" w:ascii="宋体" w:hAnsi="宋体"/>
                <w:szCs w:val="21"/>
              </w:rPr>
              <w:t>（1）</w:t>
            </w:r>
            <w:r>
              <w:rPr>
                <w:rFonts w:hint="eastAsia" w:ascii="宋体" w:hAnsi="宋体" w:cs="宋体"/>
                <w:szCs w:val="21"/>
              </w:rPr>
              <w:t>联合体各方应按招标文件提供的格式签订联合体协议书，明确联合体牵头人和各方权利义务</w:t>
            </w:r>
            <w:r>
              <w:rPr>
                <w:rFonts w:hint="eastAsia" w:ascii="宋体" w:hAnsi="宋体"/>
                <w:szCs w:val="21"/>
              </w:rPr>
              <w:t>；</w:t>
            </w:r>
          </w:p>
          <w:p w14:paraId="2A4E39C4">
            <w:pPr>
              <w:spacing w:line="400" w:lineRule="exact"/>
              <w:ind w:firstLine="420" w:firstLineChars="200"/>
              <w:rPr>
                <w:rFonts w:hint="eastAsia" w:ascii="宋体" w:hAnsi="宋体"/>
                <w:szCs w:val="21"/>
              </w:rPr>
            </w:pPr>
            <w:r>
              <w:rPr>
                <w:rFonts w:hint="eastAsia" w:ascii="宋体" w:hAnsi="宋体"/>
                <w:szCs w:val="21"/>
              </w:rPr>
              <w:t>（2）</w:t>
            </w:r>
            <w:r>
              <w:rPr>
                <w:rFonts w:hint="eastAsia" w:ascii="宋体" w:hAnsi="宋体" w:cs="宋体"/>
                <w:szCs w:val="21"/>
              </w:rPr>
              <w:t>联合体协议约定同一专业分工由两个及以上单位共同承担的，按照资质等级较低的单位确定资质等级</w:t>
            </w:r>
            <w:r>
              <w:rPr>
                <w:rFonts w:hint="eastAsia" w:ascii="宋体" w:hAnsi="宋体"/>
                <w:szCs w:val="21"/>
              </w:rPr>
              <w:t>；</w:t>
            </w:r>
          </w:p>
          <w:p w14:paraId="0EB192A5">
            <w:pPr>
              <w:spacing w:line="400" w:lineRule="exact"/>
              <w:ind w:firstLine="420" w:firstLineChars="200"/>
              <w:rPr>
                <w:rFonts w:hint="eastAsia" w:ascii="宋体" w:hAnsi="宋体"/>
                <w:szCs w:val="21"/>
              </w:rPr>
            </w:pPr>
            <w:r>
              <w:rPr>
                <w:rFonts w:hint="eastAsia" w:ascii="宋体" w:hAnsi="宋体"/>
                <w:szCs w:val="21"/>
              </w:rPr>
              <w:t>（3）</w:t>
            </w:r>
            <w:r>
              <w:rPr>
                <w:rFonts w:hint="eastAsia" w:ascii="宋体" w:hAnsi="宋体" w:cs="宋体"/>
                <w:szCs w:val="21"/>
              </w:rPr>
              <w:t>联合体各方不得再以自己名义单独或参加其他联合体在同一标段中投标</w:t>
            </w:r>
            <w:r>
              <w:rPr>
                <w:rFonts w:hint="eastAsia" w:ascii="宋体" w:hAnsi="宋体"/>
                <w:szCs w:val="21"/>
              </w:rPr>
              <w:t>；</w:t>
            </w:r>
          </w:p>
          <w:p w14:paraId="104B3794">
            <w:pPr>
              <w:spacing w:line="400" w:lineRule="exact"/>
              <w:ind w:firstLine="420" w:firstLineChars="200"/>
              <w:rPr>
                <w:rFonts w:hint="eastAsia" w:ascii="宋体" w:hAnsi="宋体"/>
                <w:szCs w:val="21"/>
              </w:rPr>
            </w:pPr>
            <w:r>
              <w:rPr>
                <w:rFonts w:hint="eastAsia" w:ascii="宋体" w:hAnsi="宋体"/>
                <w:szCs w:val="21"/>
              </w:rPr>
              <w:t>（4）</w:t>
            </w:r>
            <w:r>
              <w:rPr>
                <w:rFonts w:hint="eastAsia" w:ascii="宋体" w:hAnsi="宋体" w:cs="宋体"/>
                <w:szCs w:val="21"/>
              </w:rPr>
              <w:t>联合体所有成员数量不得超过投标人须知前附表规定的数量</w:t>
            </w:r>
            <w:r>
              <w:rPr>
                <w:rFonts w:hint="eastAsia" w:ascii="宋体" w:hAnsi="宋体"/>
                <w:szCs w:val="21"/>
              </w:rPr>
              <w:t>。</w:t>
            </w:r>
          </w:p>
          <w:p w14:paraId="7C5269F6">
            <w:pPr>
              <w:spacing w:line="400" w:lineRule="exact"/>
              <w:ind w:firstLine="420" w:firstLineChars="200"/>
              <w:rPr>
                <w:rFonts w:ascii="宋体" w:hAnsi="宋体"/>
                <w:szCs w:val="21"/>
              </w:rPr>
            </w:pPr>
            <w:r>
              <w:rPr>
                <w:rFonts w:hint="eastAsia" w:ascii="宋体" w:hAnsi="宋体"/>
                <w:szCs w:val="21"/>
              </w:rPr>
              <w:t>否则由评标委员会作否决投标处理。</w:t>
            </w:r>
          </w:p>
        </w:tc>
      </w:tr>
      <w:tr w14:paraId="05FDC1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E8ABECF">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35C71509">
            <w:pPr>
              <w:spacing w:line="400" w:lineRule="exact"/>
              <w:jc w:val="center"/>
              <w:rPr>
                <w:rFonts w:ascii="宋体" w:hAnsi="宋体"/>
                <w:szCs w:val="21"/>
              </w:rPr>
            </w:pPr>
            <w:r>
              <w:rPr>
                <w:rFonts w:hint="eastAsia" w:ascii="宋体" w:hAnsi="宋体"/>
                <w:szCs w:val="21"/>
              </w:rPr>
              <w:t>形式评审</w:t>
            </w:r>
          </w:p>
        </w:tc>
        <w:tc>
          <w:tcPr>
            <w:tcW w:w="6333" w:type="dxa"/>
            <w:tcBorders>
              <w:top w:val="single" w:color="000000" w:sz="4" w:space="0"/>
              <w:left w:val="single" w:color="000000" w:sz="4" w:space="0"/>
              <w:bottom w:val="single" w:color="000000" w:sz="4" w:space="0"/>
              <w:right w:val="single" w:color="000000" w:sz="8" w:space="0"/>
            </w:tcBorders>
            <w:vAlign w:val="top"/>
          </w:tcPr>
          <w:p w14:paraId="52F00123">
            <w:pPr>
              <w:spacing w:line="400" w:lineRule="exact"/>
              <w:ind w:firstLine="420" w:firstLineChars="200"/>
              <w:rPr>
                <w:rFonts w:ascii="宋体" w:hAnsi="宋体"/>
                <w:szCs w:val="21"/>
              </w:rPr>
            </w:pPr>
            <w:r>
              <w:rPr>
                <w:rFonts w:hint="eastAsia" w:ascii="宋体" w:hAnsi="宋体"/>
                <w:szCs w:val="21"/>
              </w:rPr>
              <w:t>A-11投标人名称必须与营业执照、资质证书、安全生产许可证一致，依法变更名称的应提交相应证明材料，否则由评标委员会作否决投标处理。</w:t>
            </w:r>
          </w:p>
        </w:tc>
      </w:tr>
      <w:tr w14:paraId="04183EC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5E5F96C">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B4F7FA0">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14:paraId="0DF07573">
            <w:pPr>
              <w:spacing w:line="400" w:lineRule="exact"/>
              <w:ind w:firstLine="420" w:firstLineChars="200"/>
              <w:rPr>
                <w:rFonts w:ascii="宋体" w:hAnsi="宋体"/>
                <w:szCs w:val="21"/>
              </w:rPr>
            </w:pPr>
            <w:r>
              <w:rPr>
                <w:rFonts w:hint="eastAsia" w:ascii="宋体" w:hAnsi="宋体"/>
                <w:szCs w:val="21"/>
              </w:rPr>
              <w:t>A-12投标文件格式（不含投标函部分）符合第二章“投标人须知”第3.7款的要求，否则由评标委员会作否决投标处理。</w:t>
            </w:r>
          </w:p>
          <w:p w14:paraId="4D6EA91A">
            <w:pPr>
              <w:spacing w:line="400" w:lineRule="exact"/>
              <w:ind w:firstLine="420" w:firstLineChars="200"/>
              <w:rPr>
                <w:rFonts w:ascii="宋体" w:hAnsi="宋体"/>
                <w:szCs w:val="21"/>
              </w:rPr>
            </w:pPr>
            <w:r>
              <w:rPr>
                <w:rFonts w:hint="eastAsia" w:ascii="宋体" w:hAnsi="宋体"/>
                <w:kern w:val="0"/>
                <w:szCs w:val="21"/>
              </w:rPr>
              <w:t>编制投标文件时不得对第九章“投标文件格式”的相应要素作实质性修改，否则</w:t>
            </w:r>
            <w:r>
              <w:rPr>
                <w:rFonts w:hint="eastAsia" w:ascii="宋体" w:hAnsi="宋体"/>
                <w:szCs w:val="21"/>
              </w:rPr>
              <w:t>视为重大偏差，</w:t>
            </w:r>
            <w:r>
              <w:rPr>
                <w:rFonts w:hint="eastAsia" w:ascii="宋体" w:hAnsi="宋体"/>
                <w:kern w:val="0"/>
                <w:szCs w:val="21"/>
              </w:rPr>
              <w:t>由评标委员会作否决投标处理。</w:t>
            </w:r>
          </w:p>
        </w:tc>
      </w:tr>
      <w:tr w14:paraId="3BEDFE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4B7900F">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4C18765">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14:paraId="1445C302">
            <w:pPr>
              <w:spacing w:line="400" w:lineRule="exact"/>
              <w:ind w:firstLine="420" w:firstLineChars="200"/>
              <w:rPr>
                <w:rFonts w:ascii="宋体" w:hAnsi="宋体"/>
                <w:szCs w:val="21"/>
              </w:rPr>
            </w:pPr>
            <w:r>
              <w:rPr>
                <w:rFonts w:hint="eastAsia" w:ascii="宋体" w:hAnsi="宋体"/>
                <w:szCs w:val="21"/>
              </w:rPr>
              <w:t>A-13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6D509A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EDCCDC9">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513FA09A">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14:paraId="397AE759">
            <w:pPr>
              <w:spacing w:line="400" w:lineRule="exact"/>
              <w:ind w:firstLine="420" w:firstLineChars="200"/>
              <w:rPr>
                <w:rFonts w:ascii="宋体" w:hAnsi="宋体"/>
                <w:szCs w:val="21"/>
              </w:rPr>
            </w:pPr>
            <w:r>
              <w:rPr>
                <w:rFonts w:hint="eastAsia" w:ascii="宋体" w:hAnsi="宋体"/>
                <w:szCs w:val="21"/>
              </w:rPr>
              <w:t>A-14第九章 投标文件格式</w:t>
            </w:r>
            <w:r>
              <w:rPr>
                <w:rFonts w:hint="eastAsia" w:ascii="宋体" w:hAnsi="宋体" w:cs="宋体"/>
                <w:kern w:val="0"/>
              </w:rPr>
              <w:t>（不含投标函部分）</w:t>
            </w:r>
            <w:r>
              <w:rPr>
                <w:rFonts w:hint="eastAsia" w:ascii="宋体" w:hAnsi="宋体"/>
                <w:szCs w:val="21"/>
              </w:rPr>
              <w:t>要求法定代表人或其委托代理人签名（或盖章）的须齐全。</w:t>
            </w:r>
            <w:r>
              <w:rPr>
                <w:rFonts w:hint="eastAsia" w:ascii="宋体" w:hAnsi="宋体" w:cs="宋体"/>
                <w:kern w:val="0"/>
              </w:rPr>
              <w:t>要求签名的，签名采用手写签名或签章或加盖CA数字证书均可。</w:t>
            </w:r>
            <w:r>
              <w:rPr>
                <w:rFonts w:hint="eastAsia" w:ascii="宋体" w:hAnsi="宋体"/>
                <w:szCs w:val="21"/>
              </w:rPr>
              <w:t>否则由评标委员会作否决投标处理。</w:t>
            </w:r>
          </w:p>
          <w:p w14:paraId="5A1262C5">
            <w:pPr>
              <w:spacing w:line="400" w:lineRule="exact"/>
              <w:ind w:firstLine="420" w:firstLineChars="200"/>
              <w:rPr>
                <w:rFonts w:hint="eastAsia" w:ascii="宋体" w:hAnsi="宋体"/>
                <w:szCs w:val="21"/>
              </w:rPr>
            </w:pPr>
            <w:r>
              <w:rPr>
                <w:rFonts w:hint="eastAsia" w:ascii="宋体" w:hAnsi="宋体"/>
                <w:szCs w:val="21"/>
              </w:rPr>
              <w:t>若投标单位为联合体，则联合体协议书中各联合体成员单位签名（或盖章）须齐全，联合体协议书以外的投标文件格式中，</w:t>
            </w:r>
            <w:r>
              <w:rPr>
                <w:rFonts w:hint="eastAsia" w:ascii="宋体" w:hAnsi="宋体" w:cs="宋体"/>
                <w:kern w:val="0"/>
              </w:rPr>
              <w:t>要求法定代表人或其委托代理人签名（或盖章）的均由联合体牵头人法定代表人或其委托代理人签名（或盖章）</w:t>
            </w:r>
            <w:r>
              <w:rPr>
                <w:rFonts w:hint="eastAsia" w:ascii="宋体" w:hAnsi="宋体"/>
                <w:szCs w:val="21"/>
              </w:rPr>
              <w:t>，否则由评标委员会作否决投标处理。</w:t>
            </w:r>
          </w:p>
          <w:p w14:paraId="585C6F15">
            <w:pPr>
              <w:spacing w:line="400" w:lineRule="exact"/>
              <w:ind w:firstLine="420" w:firstLineChars="200"/>
              <w:rPr>
                <w:rFonts w:hint="eastAsia" w:ascii="宋体" w:hAnsi="宋体"/>
                <w:szCs w:val="21"/>
              </w:rPr>
            </w:pPr>
            <w:r>
              <w:rPr>
                <w:rFonts w:hint="eastAsia" w:ascii="宋体" w:hAnsi="宋体"/>
                <w:szCs w:val="21"/>
              </w:rPr>
              <w:t>第九章 投标文件格式</w:t>
            </w:r>
            <w:r>
              <w:rPr>
                <w:rFonts w:hint="eastAsia" w:ascii="宋体" w:hAnsi="宋体" w:cs="宋体"/>
                <w:kern w:val="0"/>
              </w:rPr>
              <w:t>（不含投标函部分）</w:t>
            </w:r>
            <w:r>
              <w:rPr>
                <w:rFonts w:hint="eastAsia" w:ascii="宋体" w:hAnsi="宋体"/>
                <w:szCs w:val="21"/>
              </w:rPr>
              <w:t>要求加盖单位法人章的，应使用 CA 数字证书加盖投标人的单位电子印章，否则由评标委员会作否决投标处理。</w:t>
            </w:r>
          </w:p>
          <w:p w14:paraId="3EE8F650">
            <w:pPr>
              <w:spacing w:line="400" w:lineRule="exact"/>
              <w:ind w:firstLine="420" w:firstLineChars="200"/>
              <w:rPr>
                <w:rFonts w:ascii="宋体" w:hAnsi="宋体"/>
                <w:szCs w:val="21"/>
              </w:rPr>
            </w:pPr>
            <w:r>
              <w:rPr>
                <w:rFonts w:hint="eastAsia" w:ascii="宋体" w:hAnsi="宋体"/>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r>
              <w:rPr>
                <w:rFonts w:hint="eastAsia" w:ascii="宋体" w:hAnsi="宋体"/>
                <w:szCs w:val="21"/>
              </w:rPr>
              <w:t>否则由评标委员会作否决投标处理。</w:t>
            </w:r>
          </w:p>
        </w:tc>
      </w:tr>
      <w:tr w14:paraId="008FBF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35F7041">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3CCC023B">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top"/>
          </w:tcPr>
          <w:p w14:paraId="7513278B">
            <w:pPr>
              <w:spacing w:line="400" w:lineRule="exact"/>
              <w:ind w:firstLine="420" w:firstLineChars="200"/>
              <w:rPr>
                <w:rFonts w:ascii="宋体" w:hAnsi="宋体"/>
                <w:szCs w:val="21"/>
              </w:rPr>
            </w:pPr>
            <w:r>
              <w:rPr>
                <w:rFonts w:hint="eastAsia" w:ascii="宋体" w:hAnsi="宋体"/>
                <w:szCs w:val="21"/>
              </w:rPr>
              <w:t>A-15投标人法定代表人的委托代理人有法定代表人签署的授权委托书和投标人为其缴纳的养老保险证明材料。否则由评标委员会作否决投标处理。</w:t>
            </w:r>
          </w:p>
        </w:tc>
      </w:tr>
      <w:tr w14:paraId="59D593C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739C21E">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0F8A11DB">
            <w:pPr>
              <w:spacing w:line="400" w:lineRule="exact"/>
              <w:jc w:val="center"/>
              <w:rPr>
                <w:rFonts w:ascii="宋体" w:hAnsi="宋体"/>
                <w:szCs w:val="21"/>
              </w:rPr>
            </w:pPr>
            <w:r>
              <w:rPr>
                <w:rFonts w:hint="eastAsia" w:ascii="宋体" w:hAnsi="宋体"/>
                <w:szCs w:val="21"/>
              </w:rPr>
              <w:t>响应性评审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76062553">
            <w:pPr>
              <w:spacing w:line="400" w:lineRule="exact"/>
              <w:ind w:firstLine="420" w:firstLineChars="200"/>
              <w:rPr>
                <w:rFonts w:ascii="宋体" w:hAnsi="宋体"/>
                <w:szCs w:val="21"/>
              </w:rPr>
            </w:pPr>
            <w:r>
              <w:rPr>
                <w:rFonts w:hint="eastAsia" w:ascii="宋体" w:hAnsi="宋体"/>
                <w:szCs w:val="21"/>
              </w:rPr>
              <w:t>A-16投标内容符合第二章“投标人须知”第1.3.1项规定，否则由评标委员会作否决投标处理。</w:t>
            </w:r>
          </w:p>
        </w:tc>
      </w:tr>
      <w:tr w14:paraId="10FA7C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5244017">
            <w:pPr>
              <w:widowControl/>
              <w:jc w:val="left"/>
              <w:rPr>
                <w:rFonts w:ascii="宋体" w:hAnsi="宋体"/>
                <w:szCs w:val="21"/>
              </w:rPr>
            </w:pPr>
          </w:p>
        </w:tc>
        <w:tc>
          <w:tcPr>
            <w:tcW w:w="1515" w:type="dxa"/>
            <w:vMerge w:val="continue"/>
            <w:tcBorders>
              <w:left w:val="single" w:color="000000" w:sz="4" w:space="0"/>
              <w:right w:val="single" w:color="000000" w:sz="4" w:space="0"/>
            </w:tcBorders>
            <w:vAlign w:val="center"/>
          </w:tcPr>
          <w:p w14:paraId="17899EFB">
            <w:pPr>
              <w:spacing w:line="400" w:lineRule="exact"/>
              <w:jc w:val="center"/>
              <w:rPr>
                <w:rFonts w:hint="eastAsia"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47835D8">
            <w:pPr>
              <w:spacing w:line="400" w:lineRule="exact"/>
              <w:ind w:firstLine="420" w:firstLineChars="200"/>
              <w:rPr>
                <w:rFonts w:hint="eastAsia" w:ascii="宋体" w:hAnsi="宋体"/>
                <w:szCs w:val="21"/>
              </w:rPr>
            </w:pPr>
            <w:r>
              <w:rPr>
                <w:rFonts w:hint="eastAsia" w:ascii="宋体" w:hAnsi="宋体"/>
                <w:szCs w:val="21"/>
              </w:rPr>
              <w:t>A-17投标函附录的所有数据均符合招标文件规定，否则由评标委员会作否决投标处理。</w:t>
            </w:r>
          </w:p>
        </w:tc>
      </w:tr>
      <w:tr w14:paraId="10066E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3DB49324">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2C77C75B">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6B2524D7">
            <w:pPr>
              <w:spacing w:line="400" w:lineRule="exact"/>
              <w:ind w:firstLine="420" w:firstLineChars="200"/>
              <w:rPr>
                <w:rFonts w:ascii="宋体" w:hAnsi="宋体"/>
                <w:szCs w:val="21"/>
              </w:rPr>
            </w:pPr>
            <w:r>
              <w:rPr>
                <w:rFonts w:hint="eastAsia" w:ascii="宋体" w:hAnsi="宋体"/>
                <w:szCs w:val="21"/>
              </w:rPr>
              <w:t>A-18投标人应按投标人须知前附表第3.4款规定递交投标保证金，并作为其投标文件的组成部分，否则由评标委员会作否决投标处理。</w:t>
            </w:r>
          </w:p>
        </w:tc>
      </w:tr>
      <w:tr w14:paraId="6DD403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1ED836B">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1A03812">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1ED21B0">
            <w:pPr>
              <w:spacing w:line="400" w:lineRule="exact"/>
              <w:ind w:firstLine="420" w:firstLineChars="200"/>
              <w:rPr>
                <w:rFonts w:ascii="宋体" w:hAnsi="宋体"/>
                <w:szCs w:val="21"/>
              </w:rPr>
            </w:pPr>
            <w:r>
              <w:rPr>
                <w:rFonts w:hint="eastAsia" w:ascii="宋体" w:hAnsi="宋体"/>
                <w:szCs w:val="21"/>
              </w:rPr>
              <w:t>A-19符合第四章“合同条款及格式”规定，投标文件不应附有招标人不能接受的条件。否则由评标委员会作否决投标处理。（由投标人承诺，承诺书格式详见第九章投标文件格式。）</w:t>
            </w:r>
          </w:p>
        </w:tc>
      </w:tr>
      <w:tr w14:paraId="475EE7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D3FAE24">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234ACF61">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1192D8C">
            <w:pPr>
              <w:spacing w:line="400" w:lineRule="exact"/>
              <w:ind w:firstLine="420" w:firstLineChars="200"/>
              <w:rPr>
                <w:rFonts w:ascii="宋体" w:hAnsi="宋体"/>
                <w:szCs w:val="21"/>
              </w:rPr>
            </w:pPr>
            <w:r>
              <w:rPr>
                <w:rFonts w:hint="eastAsia" w:ascii="宋体" w:hAnsi="宋体"/>
                <w:szCs w:val="21"/>
              </w:rPr>
              <w:t>A-20符合第七章“技术标准和要求”规定。否则由评标委员会作否决投标处理（如有）。（由投标人承诺，承诺书格式详见第九章投标文件格式。）</w:t>
            </w:r>
          </w:p>
        </w:tc>
      </w:tr>
      <w:tr w14:paraId="5D73A9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461F3DA9">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1E384083">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7C6411CE">
            <w:pPr>
              <w:spacing w:line="400" w:lineRule="exact"/>
              <w:ind w:firstLine="420" w:firstLineChars="200"/>
              <w:rPr>
                <w:rFonts w:ascii="宋体" w:hAnsi="宋体"/>
                <w:szCs w:val="21"/>
              </w:rPr>
            </w:pPr>
            <w:r>
              <w:rPr>
                <w:rFonts w:hint="eastAsia" w:ascii="宋体" w:hAnsi="宋体"/>
                <w:szCs w:val="21"/>
              </w:rPr>
              <w:t>A-21投标人有以下情形之一的，其投标文件由评标委员会作否决投标处理：</w:t>
            </w:r>
          </w:p>
          <w:p w14:paraId="43FEDE11">
            <w:pPr>
              <w:spacing w:line="400" w:lineRule="exact"/>
              <w:ind w:firstLine="420" w:firstLineChars="200"/>
              <w:rPr>
                <w:rFonts w:hint="eastAsia" w:ascii="宋体" w:hAnsi="宋体"/>
                <w:szCs w:val="21"/>
              </w:rPr>
            </w:pPr>
            <w:r>
              <w:rPr>
                <w:rFonts w:hint="eastAsia" w:ascii="宋体" w:hAnsi="宋体"/>
                <w:szCs w:val="21"/>
              </w:rPr>
              <w:t>1.第二章“投标人须知”第1.4.3项规定的任何一种情形的；</w:t>
            </w:r>
          </w:p>
          <w:p w14:paraId="757579FF">
            <w:pPr>
              <w:spacing w:line="400" w:lineRule="exact"/>
              <w:ind w:firstLine="420" w:firstLineChars="200"/>
              <w:rPr>
                <w:rFonts w:hint="eastAsia" w:ascii="宋体" w:hAnsi="宋体"/>
                <w:szCs w:val="21"/>
              </w:rPr>
            </w:pPr>
            <w:r>
              <w:rPr>
                <w:rFonts w:hint="eastAsia" w:ascii="宋体" w:hAnsi="宋体"/>
                <w:szCs w:val="21"/>
              </w:rPr>
              <w:t>2.本次投标有串通投标、弄虚作假等违反招投标相关法律、法规的行为的；</w:t>
            </w:r>
          </w:p>
          <w:p w14:paraId="77730441">
            <w:pPr>
              <w:spacing w:line="400" w:lineRule="exact"/>
              <w:ind w:firstLine="420" w:firstLineChars="200"/>
              <w:rPr>
                <w:rFonts w:ascii="宋体" w:hAnsi="宋体"/>
                <w:szCs w:val="21"/>
              </w:rPr>
            </w:pPr>
            <w:r>
              <w:rPr>
                <w:rFonts w:hint="eastAsia" w:ascii="宋体" w:hAnsi="宋体"/>
                <w:szCs w:val="21"/>
              </w:rPr>
              <w:t>3.拒绝按评标委员会要求澄清、说明或补正的。</w:t>
            </w:r>
          </w:p>
        </w:tc>
      </w:tr>
      <w:tr w14:paraId="0FC6D0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0431A07">
            <w:pPr>
              <w:widowControl/>
              <w:jc w:val="left"/>
              <w:rPr>
                <w:rFonts w:ascii="宋体" w:hAnsi="宋体"/>
                <w:szCs w:val="21"/>
              </w:rPr>
            </w:pPr>
          </w:p>
        </w:tc>
        <w:tc>
          <w:tcPr>
            <w:tcW w:w="1515" w:type="dxa"/>
            <w:vMerge w:val="restart"/>
            <w:tcBorders>
              <w:top w:val="single" w:color="000000" w:sz="4" w:space="0"/>
              <w:left w:val="single" w:color="000000" w:sz="4" w:space="0"/>
              <w:bottom w:val="single" w:color="000000" w:sz="4" w:space="0"/>
              <w:right w:val="single" w:color="000000" w:sz="4" w:space="0"/>
            </w:tcBorders>
            <w:vAlign w:val="center"/>
          </w:tcPr>
          <w:p w14:paraId="009CB7BF">
            <w:pPr>
              <w:spacing w:line="400" w:lineRule="exact"/>
              <w:jc w:val="center"/>
              <w:rPr>
                <w:rFonts w:ascii="宋体" w:hAnsi="宋体"/>
                <w:szCs w:val="21"/>
              </w:rPr>
            </w:pPr>
            <w:r>
              <w:rPr>
                <w:rFonts w:hint="eastAsia" w:ascii="宋体" w:hAnsi="宋体"/>
                <w:szCs w:val="21"/>
              </w:rPr>
              <w:t>投标函部分及经济部分评审</w:t>
            </w:r>
          </w:p>
        </w:tc>
        <w:tc>
          <w:tcPr>
            <w:tcW w:w="6333" w:type="dxa"/>
            <w:tcBorders>
              <w:top w:val="single" w:color="000000" w:sz="4" w:space="0"/>
              <w:left w:val="single" w:color="000000" w:sz="4" w:space="0"/>
              <w:bottom w:val="single" w:color="000000" w:sz="4" w:space="0"/>
              <w:right w:val="single" w:color="000000" w:sz="8" w:space="0"/>
            </w:tcBorders>
            <w:vAlign w:val="center"/>
          </w:tcPr>
          <w:p w14:paraId="61415975">
            <w:pPr>
              <w:spacing w:line="400" w:lineRule="exact"/>
              <w:ind w:firstLine="420" w:firstLineChars="200"/>
              <w:rPr>
                <w:rFonts w:hint="eastAsia" w:ascii="宋体" w:hAnsi="宋体"/>
                <w:szCs w:val="21"/>
              </w:rPr>
            </w:pPr>
            <w:r>
              <w:rPr>
                <w:rFonts w:hint="eastAsia" w:ascii="宋体" w:hAnsi="宋体"/>
                <w:szCs w:val="21"/>
              </w:rPr>
              <w:t>A-22</w:t>
            </w: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r>
              <w:rPr>
                <w:rFonts w:hint="eastAsia" w:ascii="宋体" w:hAnsi="宋体"/>
                <w:szCs w:val="21"/>
              </w:rPr>
              <w:t>，否则由评标委员会作否决投标处理。</w:t>
            </w:r>
          </w:p>
          <w:p w14:paraId="05DA940F">
            <w:pPr>
              <w:spacing w:line="400" w:lineRule="exact"/>
              <w:ind w:firstLine="420" w:firstLineChars="200"/>
              <w:rPr>
                <w:rFonts w:ascii="宋体" w:hAnsi="宋体"/>
                <w:szCs w:val="21"/>
              </w:rPr>
            </w:pPr>
            <w:r>
              <w:rPr>
                <w:rFonts w:hint="eastAsia" w:ascii="宋体" w:hAnsi="宋体" w:cs="宋体"/>
                <w:kern w:val="0"/>
              </w:rPr>
              <w:t>联合体投标的，投标函部分的格式中要求投标人加盖单位法人章的，均由联合体牵头人使用 CA 数字证书加盖其单位电子印章，否则由评标委员会作否决投标处理。</w:t>
            </w:r>
          </w:p>
        </w:tc>
      </w:tr>
      <w:tr w14:paraId="6D25F6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EAC133F">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01233E4">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18B4BE6C">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23</w:t>
            </w:r>
            <w:r>
              <w:rPr>
                <w:rFonts w:hint="eastAsia" w:ascii="宋体" w:hAnsi="宋体"/>
                <w:szCs w:val="21"/>
              </w:rPr>
              <w:t>工期符合第二章“投标人须知”第1.3.2项规定，否则由评标委员会作否决投标处理。</w:t>
            </w:r>
          </w:p>
        </w:tc>
      </w:tr>
      <w:tr w14:paraId="37A50C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B05B62F">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659D336D">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380A13F">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24</w:t>
            </w:r>
            <w:r>
              <w:rPr>
                <w:rFonts w:hint="eastAsia" w:ascii="宋体" w:hAnsi="宋体"/>
                <w:szCs w:val="21"/>
              </w:rPr>
              <w:t>工程质量符合第二章“投标人须知”第1.3.3项规定，否则由评标委员会作否决投标处理。</w:t>
            </w:r>
          </w:p>
        </w:tc>
      </w:tr>
      <w:tr w14:paraId="338D61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F475B13">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5853B107">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4BB8316C">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25</w:t>
            </w:r>
            <w:r>
              <w:rPr>
                <w:rFonts w:hint="eastAsia" w:ascii="宋体" w:hAnsi="宋体"/>
                <w:szCs w:val="21"/>
              </w:rPr>
              <w:t>投标有效期符合第二章“投标人须知”第3.3.1项规定，否则由评标委员会作否决投标处理。</w:t>
            </w:r>
          </w:p>
        </w:tc>
      </w:tr>
      <w:tr w14:paraId="575C68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0211A884">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09BEFCA3">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5459F229">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26</w:t>
            </w:r>
            <w:r>
              <w:rPr>
                <w:rFonts w:hint="eastAsia" w:ascii="宋体" w:hAnsi="宋体"/>
                <w:szCs w:val="21"/>
              </w:rPr>
              <w:t>投标函中的总报价不得高于招标人公布的投标总报价最高限价，否则由评标委员会作否决投标处理。</w:t>
            </w:r>
          </w:p>
        </w:tc>
      </w:tr>
      <w:tr w14:paraId="1D3704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23D4ABBF">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7FFB5285">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6BFEB291">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27</w:t>
            </w:r>
            <w:r>
              <w:rPr>
                <w:rFonts w:hint="eastAsia" w:ascii="宋体" w:hAnsi="宋体"/>
                <w:szCs w:val="21"/>
              </w:rPr>
              <w:t>投标总报价低于最高限价85%的，投标人应在编制投标文件时，在投标函部分中递交低价风险担保提交承诺书。承诺书格式详见第九章投标文件格式，否则由评标委员会作否决投标处理。</w:t>
            </w:r>
          </w:p>
        </w:tc>
      </w:tr>
      <w:tr w14:paraId="5C997A3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10F7AA53">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37ED40F4">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3AFDE4FE">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28</w:t>
            </w:r>
            <w:r>
              <w:rPr>
                <w:rFonts w:hint="eastAsia" w:ascii="宋体" w:hAnsi="宋体"/>
                <w:szCs w:val="21"/>
              </w:rPr>
              <w:t>只能有一个有效报价。在招标文件没有规定的情况下，不得提交选择性报价，否则由评标委员会作否决投标处理。</w:t>
            </w:r>
          </w:p>
        </w:tc>
      </w:tr>
      <w:tr w14:paraId="76039C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5C31E3B0">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62A2F9F8">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654288C2">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29</w:t>
            </w:r>
            <w:r>
              <w:rPr>
                <w:rFonts w:hint="eastAsia" w:ascii="宋体" w:hAnsi="宋体"/>
                <w:szCs w:val="21"/>
              </w:rPr>
              <w:t>投标人对已标价工程量清单的承诺必须满足第二章“投标人须知前附表”第3.2.9项要求，否则由评标委员会作否决投标处理。</w:t>
            </w:r>
          </w:p>
        </w:tc>
      </w:tr>
      <w:tr w14:paraId="6403ED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vMerge w:val="continue"/>
            <w:tcBorders>
              <w:top w:val="single" w:color="000000" w:sz="4" w:space="0"/>
              <w:left w:val="single" w:color="000000" w:sz="8" w:space="0"/>
              <w:bottom w:val="single" w:color="000000" w:sz="4" w:space="0"/>
              <w:right w:val="single" w:color="000000" w:sz="4" w:space="0"/>
            </w:tcBorders>
            <w:vAlign w:val="center"/>
          </w:tcPr>
          <w:p w14:paraId="75FEBE56">
            <w:pPr>
              <w:widowControl/>
              <w:jc w:val="left"/>
              <w:rPr>
                <w:rFonts w:ascii="宋体" w:hAnsi="宋体"/>
                <w:szCs w:val="21"/>
              </w:rPr>
            </w:pPr>
          </w:p>
        </w:tc>
        <w:tc>
          <w:tcPr>
            <w:tcW w:w="1515" w:type="dxa"/>
            <w:vMerge w:val="continue"/>
            <w:tcBorders>
              <w:top w:val="single" w:color="000000" w:sz="4" w:space="0"/>
              <w:left w:val="single" w:color="000000" w:sz="4" w:space="0"/>
              <w:bottom w:val="single" w:color="000000" w:sz="4" w:space="0"/>
              <w:right w:val="single" w:color="000000" w:sz="4" w:space="0"/>
            </w:tcBorders>
            <w:vAlign w:val="center"/>
          </w:tcPr>
          <w:p w14:paraId="584F162A">
            <w:pPr>
              <w:widowControl/>
              <w:jc w:val="left"/>
              <w:rPr>
                <w:rFonts w:ascii="宋体" w:hAnsi="宋体"/>
                <w:szCs w:val="21"/>
              </w:rPr>
            </w:pPr>
          </w:p>
        </w:tc>
        <w:tc>
          <w:tcPr>
            <w:tcW w:w="6333" w:type="dxa"/>
            <w:tcBorders>
              <w:top w:val="single" w:color="000000" w:sz="4" w:space="0"/>
              <w:left w:val="single" w:color="000000" w:sz="4" w:space="0"/>
              <w:bottom w:val="single" w:color="000000" w:sz="4" w:space="0"/>
              <w:right w:val="single" w:color="000000" w:sz="8" w:space="0"/>
            </w:tcBorders>
            <w:vAlign w:val="center"/>
          </w:tcPr>
          <w:p w14:paraId="0CC82673">
            <w:pPr>
              <w:spacing w:line="400" w:lineRule="exact"/>
              <w:ind w:firstLine="420" w:firstLineChars="200"/>
              <w:rPr>
                <w:rFonts w:ascii="宋体" w:hAnsi="宋体"/>
                <w:szCs w:val="21"/>
              </w:rPr>
            </w:pPr>
            <w:r>
              <w:rPr>
                <w:rFonts w:hint="eastAsia" w:ascii="宋体" w:hAnsi="宋体"/>
                <w:szCs w:val="21"/>
              </w:rPr>
              <w:t>A-</w:t>
            </w:r>
            <w:r>
              <w:rPr>
                <w:rFonts w:ascii="宋体" w:hAnsi="宋体"/>
                <w:szCs w:val="21"/>
              </w:rPr>
              <w:t>30</w:t>
            </w:r>
            <w:r>
              <w:rPr>
                <w:rFonts w:hint="eastAsia" w:ascii="宋体" w:hAnsi="宋体"/>
                <w:szCs w:val="21"/>
              </w:rPr>
              <w:t>投标报价有算术错误的，按照第三章“评标办法”第3.2.3项规定执行，否则由评标委员会作否决投标处理。</w:t>
            </w:r>
          </w:p>
        </w:tc>
      </w:tr>
      <w:tr w14:paraId="5115E8D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961" w:type="dxa"/>
            <w:tcBorders>
              <w:top w:val="single" w:color="000000" w:sz="4" w:space="0"/>
              <w:left w:val="single" w:color="000000" w:sz="8" w:space="0"/>
              <w:bottom w:val="single" w:color="000000" w:sz="8" w:space="0"/>
              <w:right w:val="single" w:color="000000" w:sz="4" w:space="0"/>
            </w:tcBorders>
            <w:vAlign w:val="center"/>
          </w:tcPr>
          <w:p w14:paraId="03DD28F7">
            <w:pPr>
              <w:spacing w:line="400" w:lineRule="exact"/>
              <w:jc w:val="center"/>
              <w:rPr>
                <w:rFonts w:ascii="宋体" w:hAnsi="宋体"/>
                <w:szCs w:val="21"/>
              </w:rPr>
            </w:pPr>
            <w:r>
              <w:rPr>
                <w:rFonts w:hint="eastAsia" w:ascii="宋体" w:hAnsi="宋体"/>
                <w:szCs w:val="21"/>
              </w:rPr>
              <w:t>其他</w:t>
            </w:r>
          </w:p>
        </w:tc>
        <w:tc>
          <w:tcPr>
            <w:tcW w:w="1515" w:type="dxa"/>
            <w:tcBorders>
              <w:top w:val="single" w:color="000000" w:sz="4" w:space="0"/>
              <w:left w:val="single" w:color="000000" w:sz="4" w:space="0"/>
              <w:bottom w:val="single" w:color="000000" w:sz="8" w:space="0"/>
              <w:right w:val="single" w:color="000000" w:sz="4" w:space="0"/>
            </w:tcBorders>
            <w:vAlign w:val="center"/>
          </w:tcPr>
          <w:p w14:paraId="3CAD5621">
            <w:pPr>
              <w:spacing w:line="400" w:lineRule="exact"/>
              <w:jc w:val="center"/>
              <w:rPr>
                <w:rFonts w:ascii="宋体" w:hAnsi="宋体"/>
                <w:szCs w:val="21"/>
              </w:rPr>
            </w:pPr>
          </w:p>
        </w:tc>
        <w:tc>
          <w:tcPr>
            <w:tcW w:w="6333" w:type="dxa"/>
            <w:tcBorders>
              <w:top w:val="single" w:color="000000" w:sz="4" w:space="0"/>
              <w:left w:val="single" w:color="000000" w:sz="4" w:space="0"/>
              <w:bottom w:val="single" w:color="000000" w:sz="8" w:space="0"/>
              <w:right w:val="single" w:color="000000" w:sz="8" w:space="0"/>
            </w:tcBorders>
            <w:vAlign w:val="top"/>
          </w:tcPr>
          <w:p w14:paraId="004B2B5E">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4DA964E7">
      <w:pPr>
        <w:rPr>
          <w:rFonts w:hint="eastAsia" w:ascii="宋体" w:hAnsi="宋体"/>
          <w:szCs w:val="21"/>
        </w:rPr>
      </w:pPr>
      <w:r>
        <w:rPr>
          <w:rFonts w:ascii="宋体" w:hAnsi="宋体"/>
          <w:szCs w:val="21"/>
        </w:rPr>
        <w:br w:type="page"/>
      </w:r>
    </w:p>
    <w:bookmarkEnd w:id="303"/>
    <w:bookmarkEnd w:id="304"/>
    <w:p w14:paraId="79E35E14">
      <w:pPr>
        <w:pStyle w:val="3"/>
        <w:spacing w:line="360" w:lineRule="auto"/>
        <w:jc w:val="center"/>
        <w:rPr>
          <w:rFonts w:ascii="宋体" w:hAnsi="宋体"/>
          <w:b w:val="0"/>
          <w:bCs w:val="0"/>
        </w:rPr>
      </w:pPr>
      <w:bookmarkStart w:id="345" w:name="_Toc509218774"/>
      <w:bookmarkStart w:id="346" w:name="_Toc723"/>
      <w:bookmarkStart w:id="347" w:name="_Toc57795927"/>
      <w:bookmarkStart w:id="348" w:name="_Toc224103384"/>
      <w:bookmarkStart w:id="349" w:name="_Toc430530500"/>
      <w:bookmarkStart w:id="350" w:name="_Toc200513198"/>
      <w:bookmarkStart w:id="351" w:name="_Toc287607812"/>
      <w:bookmarkStart w:id="352" w:name="_Toc287620751"/>
      <w:bookmarkStart w:id="353" w:name="_Toc277082618"/>
      <w:r>
        <w:rPr>
          <w:rFonts w:ascii="宋体" w:hAnsi="宋体"/>
        </w:rPr>
        <w:t>第三章</w:t>
      </w:r>
      <w:r>
        <w:rPr>
          <w:rFonts w:hint="eastAsia" w:ascii="宋体" w:hAnsi="宋体"/>
        </w:rPr>
        <w:t xml:space="preserve">  </w:t>
      </w:r>
      <w:r>
        <w:rPr>
          <w:rFonts w:ascii="宋体" w:hAnsi="宋体"/>
        </w:rPr>
        <w:t>评标办法（综合评估法）</w:t>
      </w:r>
      <w:bookmarkEnd w:id="345"/>
      <w:bookmarkEnd w:id="346"/>
      <w:bookmarkEnd w:id="347"/>
      <w:bookmarkStart w:id="354" w:name="_Toc287607811"/>
      <w:bookmarkStart w:id="355" w:name="_Toc224103383"/>
      <w:bookmarkStart w:id="356" w:name="_Toc277082617"/>
      <w:bookmarkStart w:id="357" w:name="_Toc287620750"/>
      <w:bookmarkStart w:id="358" w:name="_Toc430530499"/>
    </w:p>
    <w:bookmarkEnd w:id="348"/>
    <w:bookmarkEnd w:id="349"/>
    <w:bookmarkEnd w:id="350"/>
    <w:bookmarkEnd w:id="351"/>
    <w:bookmarkEnd w:id="352"/>
    <w:bookmarkEnd w:id="353"/>
    <w:bookmarkEnd w:id="354"/>
    <w:bookmarkEnd w:id="355"/>
    <w:bookmarkEnd w:id="356"/>
    <w:bookmarkEnd w:id="357"/>
    <w:bookmarkEnd w:id="358"/>
    <w:p w14:paraId="7E4244B3">
      <w:pPr>
        <w:pStyle w:val="4"/>
        <w:spacing w:before="100" w:after="100" w:line="360" w:lineRule="auto"/>
        <w:rPr>
          <w:rFonts w:hint="eastAsia" w:ascii="宋体" w:hAnsi="宋体" w:cs="宋体"/>
          <w:bCs w:val="0"/>
          <w:sz w:val="28"/>
          <w:szCs w:val="28"/>
        </w:rPr>
      </w:pPr>
      <w:bookmarkStart w:id="359" w:name="_Toc57795928"/>
      <w:bookmarkStart w:id="360" w:name="_Toc18928"/>
      <w:r>
        <w:rPr>
          <w:rFonts w:hint="eastAsia" w:ascii="宋体" w:hAnsi="宋体" w:cs="宋体"/>
          <w:bCs w:val="0"/>
          <w:sz w:val="28"/>
          <w:szCs w:val="28"/>
        </w:rPr>
        <w:t>评标办法前附表</w:t>
      </w:r>
      <w:bookmarkEnd w:id="359"/>
      <w:bookmarkEnd w:id="360"/>
    </w:p>
    <w:p w14:paraId="778F9D4C">
      <w:pPr>
        <w:spacing w:line="400" w:lineRule="exact"/>
        <w:ind w:firstLine="420" w:firstLineChars="200"/>
        <w:rPr>
          <w:rFonts w:ascii="宋体" w:hAnsi="宋体"/>
          <w:spacing w:val="4"/>
          <w:kern w:val="0"/>
          <w:szCs w:val="21"/>
        </w:rPr>
      </w:pPr>
      <w:r>
        <w:rPr>
          <w:rFonts w:ascii="宋体" w:hAnsi="宋体"/>
          <w:szCs w:val="21"/>
        </w:rPr>
        <w:t>评标办法中的评审内容必须和投标人须知中的对应内容一致，若投标人须知中未作要求的内容，不得列入评标办法作为评定依据。</w:t>
      </w:r>
    </w:p>
    <w:tbl>
      <w:tblPr>
        <w:tblStyle w:val="31"/>
        <w:tblW w:w="98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99"/>
        <w:gridCol w:w="705"/>
        <w:gridCol w:w="1650"/>
        <w:gridCol w:w="5048"/>
      </w:tblGrid>
      <w:tr w14:paraId="6300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12E41F7">
            <w:pPr>
              <w:spacing w:line="400" w:lineRule="exact"/>
              <w:jc w:val="center"/>
              <w:rPr>
                <w:rFonts w:hint="eastAsia" w:ascii="宋体" w:hAnsi="宋体" w:cs="宋体"/>
                <w:b/>
              </w:rPr>
            </w:pPr>
            <w:r>
              <w:rPr>
                <w:rFonts w:hint="eastAsia" w:ascii="宋体" w:hAnsi="宋体" w:cs="宋体"/>
                <w:b/>
              </w:rPr>
              <w:t>条款号</w:t>
            </w:r>
          </w:p>
        </w:tc>
        <w:tc>
          <w:tcPr>
            <w:tcW w:w="1599" w:type="dxa"/>
            <w:tcBorders>
              <w:top w:val="single" w:color="auto" w:sz="4" w:space="0"/>
              <w:left w:val="single" w:color="auto" w:sz="4" w:space="0"/>
              <w:bottom w:val="single" w:color="auto" w:sz="4" w:space="0"/>
              <w:right w:val="single" w:color="auto" w:sz="4" w:space="0"/>
            </w:tcBorders>
            <w:vAlign w:val="center"/>
          </w:tcPr>
          <w:p w14:paraId="15E37A02">
            <w:pPr>
              <w:spacing w:line="400" w:lineRule="exact"/>
              <w:jc w:val="center"/>
              <w:rPr>
                <w:rFonts w:hint="eastAsia" w:ascii="宋体" w:hAnsi="宋体" w:cs="宋体"/>
                <w:b/>
              </w:rPr>
            </w:pPr>
            <w:r>
              <w:rPr>
                <w:rFonts w:hint="eastAsia" w:ascii="宋体" w:hAnsi="宋体" w:cs="宋体"/>
                <w:b/>
              </w:rPr>
              <w:t>评审因素</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163E0707">
            <w:pPr>
              <w:spacing w:line="400" w:lineRule="exact"/>
              <w:ind w:firstLine="420"/>
              <w:jc w:val="center"/>
              <w:rPr>
                <w:rFonts w:hint="eastAsia" w:ascii="宋体" w:hAnsi="宋体" w:cs="宋体"/>
                <w:b/>
              </w:rPr>
            </w:pPr>
            <w:r>
              <w:rPr>
                <w:rFonts w:hint="eastAsia" w:ascii="宋体" w:hAnsi="宋体" w:cs="宋体"/>
                <w:b/>
              </w:rPr>
              <w:t>评审标准</w:t>
            </w:r>
          </w:p>
        </w:tc>
      </w:tr>
      <w:tr w14:paraId="052B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6E6AFC7D">
            <w:pPr>
              <w:spacing w:line="400" w:lineRule="exact"/>
              <w:jc w:val="center"/>
              <w:rPr>
                <w:rFonts w:hint="eastAsia" w:ascii="宋体" w:hAnsi="宋体" w:cs="宋体"/>
              </w:rPr>
            </w:pPr>
            <w:r>
              <w:rPr>
                <w:rFonts w:hint="eastAsia" w:ascii="宋体" w:hAnsi="宋体" w:cs="宋体"/>
              </w:rPr>
              <w:t>1</w:t>
            </w:r>
          </w:p>
        </w:tc>
        <w:tc>
          <w:tcPr>
            <w:tcW w:w="1599" w:type="dxa"/>
            <w:tcBorders>
              <w:top w:val="single" w:color="auto" w:sz="4" w:space="0"/>
              <w:left w:val="single" w:color="auto" w:sz="4" w:space="0"/>
              <w:bottom w:val="single" w:color="auto" w:sz="4" w:space="0"/>
              <w:right w:val="single" w:color="auto" w:sz="4" w:space="0"/>
            </w:tcBorders>
            <w:vAlign w:val="center"/>
          </w:tcPr>
          <w:p w14:paraId="10EACEB4">
            <w:pPr>
              <w:widowControl/>
              <w:spacing w:line="400" w:lineRule="exact"/>
              <w:jc w:val="center"/>
              <w:rPr>
                <w:rFonts w:hint="eastAsia" w:ascii="宋体" w:hAnsi="宋体" w:cs="宋体"/>
              </w:rPr>
            </w:pPr>
            <w:r>
              <w:rPr>
                <w:rFonts w:hint="eastAsia" w:ascii="宋体" w:hAnsi="宋体"/>
                <w:kern w:val="0"/>
              </w:rPr>
              <w:t>评标办法</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0D117923">
            <w:pPr>
              <w:widowControl/>
              <w:spacing w:line="400" w:lineRule="exact"/>
              <w:ind w:firstLine="436" w:firstLineChars="200"/>
              <w:jc w:val="left"/>
              <w:rPr>
                <w:rFonts w:hint="eastAsia" w:ascii="宋体" w:hAnsi="宋体"/>
                <w:i/>
                <w:spacing w:val="4"/>
                <w:kern w:val="0"/>
                <w:szCs w:val="21"/>
              </w:rPr>
            </w:pPr>
            <w:r>
              <w:rPr>
                <w:rFonts w:hint="eastAsia" w:ascii="宋体" w:hAnsi="宋体"/>
                <w:spacing w:val="4"/>
                <w:kern w:val="0"/>
                <w:szCs w:val="21"/>
              </w:rPr>
              <w:t>本次评标采用综合评分法一，若出现投标人综合评分相等时，评标委员会依次按照以下优先顺序推荐中标候选人：以投标报价低的优先；若出现投标报价相同的，以“投标人在红名单中优先”的原则排序（其中非联合体投标的，须投标人所属红名单类别包含在招标范围内；联合体投标的，须联合体牵头人在红名单中，并且按照联合体协议牵头人所属红名单类别包含在其工作范围内。），投标人是否属于红名单，以开标环节信用状况查询结果为准；投标人均在红名单中或均不在红名单中的，由评标委员会按照</w:t>
            </w:r>
            <w:r>
              <w:rPr>
                <w:rFonts w:hint="eastAsia" w:ascii="宋体" w:hAnsi="宋体"/>
                <w:spacing w:val="4"/>
                <w:kern w:val="0"/>
                <w:szCs w:val="21"/>
                <w:u w:val="single"/>
              </w:rPr>
              <w:t xml:space="preserve">        </w:t>
            </w:r>
            <w:r>
              <w:rPr>
                <w:rFonts w:hint="eastAsia" w:ascii="宋体" w:hAnsi="宋体"/>
                <w:spacing w:val="4"/>
                <w:kern w:val="0"/>
                <w:szCs w:val="21"/>
              </w:rPr>
              <w:t>原则排序。</w:t>
            </w:r>
            <w:r>
              <w:rPr>
                <w:rFonts w:hint="eastAsia" w:ascii="宋体" w:hAnsi="宋体"/>
                <w:i/>
                <w:spacing w:val="4"/>
                <w:kern w:val="0"/>
                <w:szCs w:val="21"/>
              </w:rPr>
              <w:t>[提示：由招标人事先在招标文件中按照有利于合同履行的原则确定</w:t>
            </w:r>
            <w:r>
              <w:rPr>
                <w:rFonts w:hint="eastAsia" w:ascii="宋体" w:hAnsi="宋体"/>
                <w:i/>
                <w:kern w:val="0"/>
              </w:rPr>
              <w:t>，但不得采用抽签、摇号方式确定中标候选人</w:t>
            </w:r>
            <w:r>
              <w:rPr>
                <w:rFonts w:hint="eastAsia" w:ascii="宋体" w:hAnsi="宋体"/>
                <w:i/>
                <w:spacing w:val="4"/>
                <w:kern w:val="0"/>
                <w:szCs w:val="21"/>
              </w:rPr>
              <w:t>。]</w:t>
            </w:r>
          </w:p>
        </w:tc>
      </w:tr>
      <w:tr w14:paraId="611A6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top w:val="single" w:color="auto" w:sz="4" w:space="0"/>
              <w:left w:val="single" w:color="auto" w:sz="4" w:space="0"/>
              <w:right w:val="single" w:color="auto" w:sz="4" w:space="0"/>
            </w:tcBorders>
            <w:vAlign w:val="center"/>
          </w:tcPr>
          <w:p w14:paraId="30E33A2E">
            <w:pPr>
              <w:spacing w:line="400" w:lineRule="exact"/>
              <w:jc w:val="center"/>
              <w:rPr>
                <w:rFonts w:hint="eastAsia" w:ascii="宋体" w:hAnsi="宋体" w:cs="宋体"/>
              </w:rPr>
            </w:pPr>
            <w:r>
              <w:rPr>
                <w:rFonts w:ascii="宋体" w:hAnsi="宋体"/>
                <w:kern w:val="0"/>
              </w:rPr>
              <w:t>2.</w:t>
            </w:r>
            <w:r>
              <w:rPr>
                <w:rFonts w:hint="eastAsia" w:ascii="宋体" w:hAnsi="宋体"/>
                <w:kern w:val="0"/>
              </w:rPr>
              <w:t>1</w:t>
            </w:r>
            <w:r>
              <w:rPr>
                <w:rFonts w:ascii="宋体" w:hAnsi="宋体"/>
                <w:kern w:val="0"/>
              </w:rPr>
              <w:t>.</w:t>
            </w:r>
            <w:r>
              <w:rPr>
                <w:rFonts w:hint="eastAsia" w:ascii="宋体" w:hAnsi="宋体"/>
                <w:kern w:val="0"/>
              </w:rPr>
              <w:t>1</w:t>
            </w:r>
          </w:p>
        </w:tc>
        <w:tc>
          <w:tcPr>
            <w:tcW w:w="1599" w:type="dxa"/>
            <w:vMerge w:val="restart"/>
            <w:tcBorders>
              <w:top w:val="single" w:color="auto" w:sz="4" w:space="0"/>
              <w:left w:val="single" w:color="auto" w:sz="4" w:space="0"/>
              <w:right w:val="single" w:color="auto" w:sz="4" w:space="0"/>
            </w:tcBorders>
            <w:vAlign w:val="center"/>
          </w:tcPr>
          <w:p w14:paraId="275B93FF">
            <w:pPr>
              <w:spacing w:line="400" w:lineRule="exact"/>
              <w:jc w:val="center"/>
              <w:rPr>
                <w:rFonts w:hint="eastAsia" w:ascii="宋体" w:hAnsi="宋体" w:cs="宋体"/>
              </w:rPr>
            </w:pPr>
            <w:r>
              <w:rPr>
                <w:rFonts w:hint="eastAsia" w:ascii="宋体" w:hAnsi="宋体"/>
                <w:kern w:val="0"/>
              </w:rPr>
              <w:t>资格评审标准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CA2E85C">
            <w:pPr>
              <w:spacing w:line="400" w:lineRule="exact"/>
              <w:jc w:val="left"/>
              <w:rPr>
                <w:rFonts w:hint="eastAsia" w:ascii="宋体" w:hAnsi="宋体"/>
                <w:i/>
                <w:spacing w:val="4"/>
                <w:kern w:val="0"/>
                <w:szCs w:val="21"/>
              </w:rPr>
            </w:pPr>
            <w:r>
              <w:rPr>
                <w:rFonts w:hint="eastAsia" w:ascii="宋体" w:hAnsi="宋体"/>
                <w:kern w:val="0"/>
              </w:rPr>
              <w:t>资质条件</w:t>
            </w:r>
          </w:p>
        </w:tc>
        <w:tc>
          <w:tcPr>
            <w:tcW w:w="5048" w:type="dxa"/>
            <w:tcBorders>
              <w:top w:val="single" w:color="auto" w:sz="4" w:space="0"/>
              <w:left w:val="single" w:color="auto" w:sz="4" w:space="0"/>
              <w:bottom w:val="single" w:color="auto" w:sz="4" w:space="0"/>
              <w:right w:val="single" w:color="auto" w:sz="4" w:space="0"/>
            </w:tcBorders>
            <w:vAlign w:val="center"/>
          </w:tcPr>
          <w:p w14:paraId="1410A336">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57115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6A6A3302">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224B6A9B">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2B2CCBC2">
            <w:pPr>
              <w:spacing w:line="400" w:lineRule="exact"/>
              <w:jc w:val="left"/>
              <w:rPr>
                <w:rFonts w:hint="eastAsia" w:ascii="宋体" w:hAnsi="宋体"/>
                <w:i/>
                <w:spacing w:val="4"/>
                <w:kern w:val="0"/>
                <w:szCs w:val="21"/>
              </w:rPr>
            </w:pPr>
            <w:r>
              <w:rPr>
                <w:rFonts w:hint="eastAsia" w:ascii="宋体" w:hAnsi="宋体"/>
                <w:kern w:val="0"/>
              </w:rPr>
              <w:t>营业执照</w:t>
            </w:r>
          </w:p>
        </w:tc>
        <w:tc>
          <w:tcPr>
            <w:tcW w:w="5048" w:type="dxa"/>
            <w:tcBorders>
              <w:top w:val="single" w:color="auto" w:sz="4" w:space="0"/>
              <w:left w:val="single" w:color="auto" w:sz="4" w:space="0"/>
              <w:bottom w:val="single" w:color="auto" w:sz="4" w:space="0"/>
              <w:right w:val="single" w:color="auto" w:sz="4" w:space="0"/>
            </w:tcBorders>
            <w:vAlign w:val="center"/>
          </w:tcPr>
          <w:p w14:paraId="28ECDDEA">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603C3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22140EC">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319A9FCC">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F5AF69D">
            <w:pPr>
              <w:spacing w:line="400" w:lineRule="exact"/>
              <w:jc w:val="left"/>
              <w:rPr>
                <w:rFonts w:hint="eastAsia" w:ascii="宋体" w:hAnsi="宋体"/>
                <w:i/>
                <w:spacing w:val="4"/>
                <w:kern w:val="0"/>
                <w:szCs w:val="21"/>
              </w:rPr>
            </w:pPr>
            <w:r>
              <w:rPr>
                <w:rFonts w:hint="eastAsia" w:ascii="宋体" w:hAnsi="宋体"/>
                <w:kern w:val="0"/>
              </w:rPr>
              <w:t>安全生产条件</w:t>
            </w:r>
          </w:p>
        </w:tc>
        <w:tc>
          <w:tcPr>
            <w:tcW w:w="5048" w:type="dxa"/>
            <w:tcBorders>
              <w:top w:val="single" w:color="auto" w:sz="4" w:space="0"/>
              <w:left w:val="single" w:color="auto" w:sz="4" w:space="0"/>
              <w:bottom w:val="single" w:color="auto" w:sz="4" w:space="0"/>
              <w:right w:val="single" w:color="auto" w:sz="4" w:space="0"/>
            </w:tcBorders>
            <w:vAlign w:val="center"/>
          </w:tcPr>
          <w:p w14:paraId="43071241">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4DDAF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C6C9FDF">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3C77C30C">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AFC7440">
            <w:pPr>
              <w:spacing w:line="400" w:lineRule="exact"/>
              <w:jc w:val="left"/>
              <w:rPr>
                <w:rFonts w:hint="eastAsia" w:ascii="宋体" w:hAnsi="宋体"/>
                <w:i/>
                <w:spacing w:val="4"/>
                <w:kern w:val="0"/>
                <w:szCs w:val="21"/>
              </w:rPr>
            </w:pPr>
            <w:r>
              <w:rPr>
                <w:rFonts w:hint="eastAsia" w:ascii="宋体" w:hAnsi="宋体" w:cs="宋体"/>
                <w:kern w:val="0"/>
              </w:rPr>
              <w:t>□</w:t>
            </w:r>
            <w:r>
              <w:rPr>
                <w:rFonts w:ascii="宋体" w:hAnsi="宋体"/>
                <w:kern w:val="0"/>
              </w:rPr>
              <w:t>财务</w:t>
            </w:r>
            <w:r>
              <w:rPr>
                <w:rFonts w:hint="eastAsia" w:ascii="宋体" w:hAnsi="宋体"/>
                <w:kern w:val="0"/>
              </w:rPr>
              <w:t>要求</w:t>
            </w:r>
          </w:p>
        </w:tc>
        <w:tc>
          <w:tcPr>
            <w:tcW w:w="5048" w:type="dxa"/>
            <w:tcBorders>
              <w:top w:val="single" w:color="auto" w:sz="4" w:space="0"/>
              <w:left w:val="single" w:color="auto" w:sz="4" w:space="0"/>
              <w:bottom w:val="single" w:color="auto" w:sz="4" w:space="0"/>
              <w:right w:val="single" w:color="auto" w:sz="4" w:space="0"/>
            </w:tcBorders>
            <w:vAlign w:val="center"/>
          </w:tcPr>
          <w:p w14:paraId="43889565">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7BB0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652B36D5">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76BDE2A0">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543B3849">
            <w:pPr>
              <w:spacing w:line="400" w:lineRule="exact"/>
              <w:jc w:val="left"/>
              <w:rPr>
                <w:rFonts w:hint="eastAsia" w:ascii="宋体" w:hAnsi="宋体"/>
                <w:i/>
                <w:spacing w:val="4"/>
                <w:kern w:val="0"/>
                <w:szCs w:val="21"/>
              </w:rPr>
            </w:pPr>
            <w:r>
              <w:rPr>
                <w:rFonts w:hint="eastAsia" w:ascii="宋体" w:hAnsi="宋体" w:cs="宋体"/>
                <w:kern w:val="0"/>
              </w:rPr>
              <w:t>□</w:t>
            </w:r>
            <w:r>
              <w:rPr>
                <w:rFonts w:hint="eastAsia" w:ascii="宋体" w:hAnsi="宋体"/>
                <w:kern w:val="0"/>
              </w:rPr>
              <w:t>业绩要求</w:t>
            </w:r>
          </w:p>
        </w:tc>
        <w:tc>
          <w:tcPr>
            <w:tcW w:w="5048" w:type="dxa"/>
            <w:tcBorders>
              <w:top w:val="single" w:color="auto" w:sz="4" w:space="0"/>
              <w:left w:val="single" w:color="auto" w:sz="4" w:space="0"/>
              <w:bottom w:val="single" w:color="auto" w:sz="4" w:space="0"/>
              <w:right w:val="single" w:color="auto" w:sz="4" w:space="0"/>
            </w:tcBorders>
            <w:vAlign w:val="center"/>
          </w:tcPr>
          <w:p w14:paraId="01C5ADB5">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3D84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66C4CCF2">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37C1B494">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2C0B6E6">
            <w:pPr>
              <w:spacing w:line="400" w:lineRule="exact"/>
              <w:jc w:val="left"/>
              <w:rPr>
                <w:rFonts w:hint="eastAsia" w:ascii="宋体" w:hAnsi="宋体"/>
                <w:i/>
                <w:spacing w:val="4"/>
                <w:kern w:val="0"/>
                <w:szCs w:val="21"/>
              </w:rPr>
            </w:pPr>
            <w:r>
              <w:rPr>
                <w:rFonts w:hint="eastAsia" w:ascii="宋体" w:hAnsi="宋体"/>
                <w:szCs w:val="21"/>
              </w:rPr>
              <w:t>投标截止日投标资格情况</w:t>
            </w:r>
          </w:p>
        </w:tc>
        <w:tc>
          <w:tcPr>
            <w:tcW w:w="5048" w:type="dxa"/>
            <w:tcBorders>
              <w:top w:val="single" w:color="auto" w:sz="4" w:space="0"/>
              <w:left w:val="single" w:color="auto" w:sz="4" w:space="0"/>
              <w:bottom w:val="single" w:color="auto" w:sz="4" w:space="0"/>
              <w:right w:val="single" w:color="auto" w:sz="4" w:space="0"/>
            </w:tcBorders>
            <w:vAlign w:val="center"/>
          </w:tcPr>
          <w:p w14:paraId="3E03EEE1">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2C429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8236376">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35B5B700">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9B77204">
            <w:pPr>
              <w:spacing w:line="400" w:lineRule="exact"/>
              <w:jc w:val="left"/>
              <w:rPr>
                <w:rFonts w:hint="eastAsia" w:ascii="宋体" w:hAnsi="宋体"/>
                <w:i/>
                <w:spacing w:val="4"/>
                <w:kern w:val="0"/>
                <w:szCs w:val="21"/>
              </w:rPr>
            </w:pPr>
            <w:r>
              <w:rPr>
                <w:rFonts w:ascii="宋体" w:hAnsi="宋体"/>
                <w:kern w:val="0"/>
              </w:rPr>
              <w:t>项目经理资格</w:t>
            </w:r>
            <w:r>
              <w:rPr>
                <w:rFonts w:hint="eastAsia" w:ascii="宋体" w:hAnsi="宋体"/>
                <w:kern w:val="0"/>
              </w:rPr>
              <w:t>要求</w:t>
            </w:r>
          </w:p>
        </w:tc>
        <w:tc>
          <w:tcPr>
            <w:tcW w:w="5048" w:type="dxa"/>
            <w:tcBorders>
              <w:top w:val="single" w:color="auto" w:sz="4" w:space="0"/>
              <w:left w:val="single" w:color="auto" w:sz="4" w:space="0"/>
              <w:bottom w:val="single" w:color="auto" w:sz="4" w:space="0"/>
              <w:right w:val="single" w:color="auto" w:sz="4" w:space="0"/>
            </w:tcBorders>
            <w:vAlign w:val="center"/>
          </w:tcPr>
          <w:p w14:paraId="09B5B135">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6270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81A7958">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22097B92">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4B2F085A">
            <w:pPr>
              <w:spacing w:line="400" w:lineRule="exact"/>
              <w:jc w:val="left"/>
              <w:rPr>
                <w:rFonts w:hint="eastAsia" w:ascii="宋体" w:hAnsi="宋体"/>
                <w:kern w:val="0"/>
              </w:rPr>
            </w:pPr>
            <w:r>
              <w:rPr>
                <w:rFonts w:hint="eastAsia" w:ascii="宋体" w:hAnsi="宋体"/>
                <w:kern w:val="0"/>
              </w:rPr>
              <w:t>项目总工资格要求</w:t>
            </w:r>
          </w:p>
        </w:tc>
        <w:tc>
          <w:tcPr>
            <w:tcW w:w="5048" w:type="dxa"/>
            <w:tcBorders>
              <w:top w:val="single" w:color="auto" w:sz="4" w:space="0"/>
              <w:left w:val="single" w:color="auto" w:sz="4" w:space="0"/>
              <w:bottom w:val="single" w:color="auto" w:sz="4" w:space="0"/>
              <w:right w:val="single" w:color="auto" w:sz="4" w:space="0"/>
            </w:tcBorders>
            <w:vAlign w:val="center"/>
          </w:tcPr>
          <w:p w14:paraId="3FCF14D6">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32C3E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0164213F">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5423B0E4">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26387B24">
            <w:pPr>
              <w:spacing w:line="400" w:lineRule="exact"/>
              <w:jc w:val="left"/>
              <w:rPr>
                <w:rFonts w:hint="eastAsia" w:ascii="宋体" w:hAnsi="宋体"/>
                <w:kern w:val="0"/>
              </w:rPr>
            </w:pPr>
            <w:r>
              <w:rPr>
                <w:rFonts w:hint="eastAsia" w:ascii="宋体" w:hAnsi="宋体" w:cs="宋体"/>
                <w:kern w:val="0"/>
              </w:rPr>
              <w:t>□</w:t>
            </w:r>
            <w:r>
              <w:rPr>
                <w:rFonts w:hint="eastAsia" w:ascii="宋体" w:hAnsi="宋体"/>
                <w:kern w:val="0"/>
              </w:rPr>
              <w:t>其他管理和技术人员要求</w:t>
            </w:r>
          </w:p>
        </w:tc>
        <w:tc>
          <w:tcPr>
            <w:tcW w:w="5048" w:type="dxa"/>
            <w:tcBorders>
              <w:top w:val="single" w:color="auto" w:sz="4" w:space="0"/>
              <w:left w:val="single" w:color="auto" w:sz="4" w:space="0"/>
              <w:bottom w:val="single" w:color="auto" w:sz="4" w:space="0"/>
              <w:right w:val="single" w:color="auto" w:sz="4" w:space="0"/>
            </w:tcBorders>
            <w:vAlign w:val="center"/>
          </w:tcPr>
          <w:p w14:paraId="08C6D79C">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73D9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13230CA">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2BEE028D">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08965E9E">
            <w:pPr>
              <w:spacing w:line="400" w:lineRule="exact"/>
              <w:rPr>
                <w:rFonts w:hint="eastAsia" w:ascii="宋体" w:hAnsi="宋体"/>
                <w:kern w:val="0"/>
              </w:rPr>
            </w:pPr>
            <w:r>
              <w:rPr>
                <w:rFonts w:hint="eastAsia" w:ascii="宋体" w:hAnsi="宋体" w:cs="宋体"/>
                <w:kern w:val="0"/>
              </w:rPr>
              <w:t>□</w:t>
            </w:r>
            <w:r>
              <w:rPr>
                <w:rFonts w:ascii="宋体" w:hAnsi="宋体"/>
                <w:kern w:val="0"/>
              </w:rPr>
              <w:t>主要机械设备和试验检测设备要求</w:t>
            </w:r>
          </w:p>
        </w:tc>
        <w:tc>
          <w:tcPr>
            <w:tcW w:w="5048" w:type="dxa"/>
            <w:tcBorders>
              <w:top w:val="single" w:color="auto" w:sz="4" w:space="0"/>
              <w:left w:val="single" w:color="auto" w:sz="4" w:space="0"/>
              <w:bottom w:val="single" w:color="auto" w:sz="4" w:space="0"/>
              <w:right w:val="single" w:color="auto" w:sz="4" w:space="0"/>
            </w:tcBorders>
            <w:vAlign w:val="center"/>
          </w:tcPr>
          <w:p w14:paraId="410F4E93">
            <w:pPr>
              <w:spacing w:line="400" w:lineRule="exact"/>
              <w:ind w:firstLine="420" w:firstLineChars="200"/>
              <w:jc w:val="left"/>
              <w:rPr>
                <w:rFonts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4EAB8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18C7209">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2A117C48">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3963EEC7">
            <w:pPr>
              <w:spacing w:line="400" w:lineRule="exact"/>
              <w:jc w:val="left"/>
              <w:rPr>
                <w:rFonts w:hint="eastAsia" w:ascii="宋体" w:hAnsi="宋体"/>
                <w:i/>
                <w:spacing w:val="4"/>
                <w:kern w:val="0"/>
                <w:szCs w:val="21"/>
              </w:rPr>
            </w:pPr>
            <w:r>
              <w:rPr>
                <w:rFonts w:ascii="宋体" w:hAnsi="宋体"/>
                <w:kern w:val="0"/>
              </w:rPr>
              <w:t>其他要求</w:t>
            </w:r>
          </w:p>
        </w:tc>
        <w:tc>
          <w:tcPr>
            <w:tcW w:w="5048" w:type="dxa"/>
            <w:tcBorders>
              <w:top w:val="single" w:color="auto" w:sz="4" w:space="0"/>
              <w:left w:val="single" w:color="auto" w:sz="4" w:space="0"/>
              <w:bottom w:val="single" w:color="auto" w:sz="4" w:space="0"/>
              <w:right w:val="single" w:color="auto" w:sz="4" w:space="0"/>
            </w:tcBorders>
            <w:vAlign w:val="center"/>
          </w:tcPr>
          <w:p w14:paraId="70FCEA57">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第1.4.1项规定</w:t>
            </w:r>
          </w:p>
        </w:tc>
      </w:tr>
      <w:tr w14:paraId="4712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59CBD635">
            <w:pPr>
              <w:spacing w:line="400" w:lineRule="exact"/>
              <w:ind w:firstLine="420"/>
              <w:rPr>
                <w:rFonts w:hint="eastAsia" w:ascii="宋体" w:hAnsi="宋体" w:cs="宋体"/>
              </w:rPr>
            </w:pPr>
          </w:p>
        </w:tc>
        <w:tc>
          <w:tcPr>
            <w:tcW w:w="1599" w:type="dxa"/>
            <w:vMerge w:val="continue"/>
            <w:tcBorders>
              <w:left w:val="single" w:color="auto" w:sz="4" w:space="0"/>
              <w:bottom w:val="single" w:color="auto" w:sz="4" w:space="0"/>
              <w:right w:val="single" w:color="auto" w:sz="4" w:space="0"/>
            </w:tcBorders>
            <w:vAlign w:val="center"/>
          </w:tcPr>
          <w:p w14:paraId="58F3EC66">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top"/>
          </w:tcPr>
          <w:p w14:paraId="27058891">
            <w:pPr>
              <w:spacing w:line="400" w:lineRule="exact"/>
              <w:jc w:val="left"/>
              <w:rPr>
                <w:rFonts w:hint="eastAsia" w:ascii="宋体" w:hAnsi="宋体"/>
                <w:i/>
                <w:spacing w:val="4"/>
                <w:kern w:val="0"/>
                <w:szCs w:val="21"/>
              </w:rPr>
            </w:pPr>
            <w:r>
              <w:rPr>
                <w:rFonts w:hint="eastAsia" w:ascii="宋体" w:hAnsi="宋体" w:cs="宋体"/>
                <w:kern w:val="0"/>
              </w:rPr>
              <w:t>□</w:t>
            </w:r>
            <w:r>
              <w:rPr>
                <w:rFonts w:ascii="宋体" w:hAnsi="宋体"/>
                <w:kern w:val="0"/>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14:paraId="57167C95">
            <w:pPr>
              <w:spacing w:line="400" w:lineRule="exact"/>
              <w:ind w:firstLine="420" w:firstLineChars="200"/>
              <w:jc w:val="left"/>
              <w:rPr>
                <w:rFonts w:hint="eastAsia" w:ascii="宋体" w:hAnsi="宋体"/>
                <w:i/>
                <w:spacing w:val="4"/>
                <w:kern w:val="0"/>
                <w:szCs w:val="21"/>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第1.4.2项规定</w:t>
            </w:r>
          </w:p>
        </w:tc>
      </w:tr>
      <w:tr w14:paraId="747A3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279D9B8E">
            <w:pPr>
              <w:spacing w:line="400" w:lineRule="exact"/>
              <w:jc w:val="center"/>
              <w:rPr>
                <w:rFonts w:hint="eastAsia" w:ascii="宋体" w:hAnsi="宋体" w:cs="宋体"/>
              </w:rPr>
            </w:pPr>
            <w:r>
              <w:rPr>
                <w:rFonts w:ascii="宋体" w:hAnsi="宋体"/>
                <w:kern w:val="0"/>
              </w:rPr>
              <w:t>2.1.</w:t>
            </w:r>
            <w:r>
              <w:rPr>
                <w:rFonts w:hint="eastAsia" w:ascii="宋体" w:hAnsi="宋体"/>
                <w:kern w:val="0"/>
              </w:rPr>
              <w:t>2</w:t>
            </w:r>
          </w:p>
        </w:tc>
        <w:tc>
          <w:tcPr>
            <w:tcW w:w="1599" w:type="dxa"/>
            <w:vMerge w:val="restart"/>
            <w:tcBorders>
              <w:left w:val="single" w:color="auto" w:sz="4" w:space="0"/>
              <w:right w:val="single" w:color="auto" w:sz="4" w:space="0"/>
            </w:tcBorders>
            <w:vAlign w:val="center"/>
          </w:tcPr>
          <w:p w14:paraId="207053A5">
            <w:pPr>
              <w:spacing w:line="400" w:lineRule="exact"/>
              <w:jc w:val="center"/>
              <w:rPr>
                <w:rFonts w:hint="eastAsia" w:ascii="宋体" w:hAnsi="宋体" w:cs="宋体"/>
              </w:rPr>
            </w:pPr>
            <w:r>
              <w:rPr>
                <w:rFonts w:hint="eastAsia" w:ascii="宋体" w:hAnsi="宋体"/>
                <w:kern w:val="0"/>
              </w:rPr>
              <w:t>形式评审标准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7DFD5D0">
            <w:pPr>
              <w:spacing w:line="400" w:lineRule="exact"/>
              <w:jc w:val="left"/>
              <w:rPr>
                <w:rFonts w:hint="eastAsia" w:ascii="宋体" w:hAnsi="宋体" w:cs="宋体"/>
                <w:kern w:val="0"/>
              </w:rPr>
            </w:pPr>
            <w:r>
              <w:rPr>
                <w:rFonts w:ascii="宋体" w:hAnsi="宋体"/>
                <w:kern w:val="0"/>
              </w:rPr>
              <w:t>投标人名称</w:t>
            </w:r>
          </w:p>
        </w:tc>
        <w:tc>
          <w:tcPr>
            <w:tcW w:w="5048" w:type="dxa"/>
            <w:tcBorders>
              <w:top w:val="single" w:color="auto" w:sz="4" w:space="0"/>
              <w:left w:val="single" w:color="auto" w:sz="4" w:space="0"/>
              <w:bottom w:val="single" w:color="auto" w:sz="4" w:space="0"/>
              <w:right w:val="single" w:color="auto" w:sz="4" w:space="0"/>
            </w:tcBorders>
            <w:vAlign w:val="center"/>
          </w:tcPr>
          <w:p w14:paraId="1794E51A">
            <w:pPr>
              <w:spacing w:line="400" w:lineRule="exact"/>
              <w:ind w:firstLine="420" w:firstLineChars="200"/>
              <w:rPr>
                <w:rFonts w:ascii="宋体" w:hAnsi="宋体"/>
                <w:kern w:val="0"/>
              </w:rPr>
            </w:pPr>
            <w:r>
              <w:rPr>
                <w:rFonts w:ascii="宋体" w:hAnsi="宋体"/>
                <w:kern w:val="0"/>
              </w:rPr>
              <w:t>与营业执照、资质证书、安全生产许可证一致</w:t>
            </w:r>
            <w:r>
              <w:rPr>
                <w:rFonts w:hint="eastAsia" w:ascii="宋体" w:hAnsi="宋体"/>
                <w:kern w:val="0"/>
              </w:rPr>
              <w:t>，依法变更名称的应提交相应证明材料</w:t>
            </w:r>
            <w:r>
              <w:rPr>
                <w:rFonts w:ascii="宋体" w:hAnsi="宋体"/>
                <w:kern w:val="0"/>
              </w:rPr>
              <w:t>。</w:t>
            </w:r>
          </w:p>
        </w:tc>
      </w:tr>
      <w:tr w14:paraId="0204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058E466">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5167518A">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A9FFB4E">
            <w:pPr>
              <w:spacing w:line="400" w:lineRule="exact"/>
              <w:jc w:val="left"/>
              <w:rPr>
                <w:rFonts w:hint="eastAsia" w:ascii="宋体" w:hAnsi="宋体" w:cs="宋体"/>
                <w:kern w:val="0"/>
              </w:rPr>
            </w:pPr>
            <w:r>
              <w:rPr>
                <w:rFonts w:ascii="宋体" w:hAnsi="宋体"/>
                <w:kern w:val="0"/>
              </w:rPr>
              <w:t>投标文件格式</w:t>
            </w:r>
          </w:p>
        </w:tc>
        <w:tc>
          <w:tcPr>
            <w:tcW w:w="5048" w:type="dxa"/>
            <w:tcBorders>
              <w:top w:val="single" w:color="auto" w:sz="4" w:space="0"/>
              <w:left w:val="single" w:color="auto" w:sz="4" w:space="0"/>
              <w:bottom w:val="single" w:color="auto" w:sz="4" w:space="0"/>
              <w:right w:val="single" w:color="auto" w:sz="4" w:space="0"/>
            </w:tcBorders>
            <w:vAlign w:val="center"/>
          </w:tcPr>
          <w:p w14:paraId="2EF14C56">
            <w:pPr>
              <w:spacing w:line="400" w:lineRule="exact"/>
              <w:ind w:firstLine="420" w:firstLineChars="200"/>
              <w:rPr>
                <w:rFonts w:ascii="宋体" w:hAnsi="宋体"/>
                <w:kern w:val="0"/>
              </w:rPr>
            </w:pPr>
            <w:r>
              <w:rPr>
                <w:rFonts w:ascii="宋体" w:hAnsi="宋体"/>
                <w:kern w:val="0"/>
              </w:rPr>
              <w:t>符合第</w:t>
            </w:r>
            <w:r>
              <w:rPr>
                <w:rFonts w:hint="eastAsia" w:ascii="宋体" w:hAnsi="宋体"/>
                <w:kern w:val="0"/>
              </w:rPr>
              <w:t>二</w:t>
            </w:r>
            <w:r>
              <w:rPr>
                <w:rFonts w:ascii="宋体" w:hAnsi="宋体"/>
                <w:kern w:val="0"/>
              </w:rPr>
              <w:t>章“投标</w:t>
            </w:r>
            <w:r>
              <w:rPr>
                <w:rFonts w:hint="eastAsia" w:ascii="宋体" w:hAnsi="宋体"/>
                <w:kern w:val="0"/>
              </w:rPr>
              <w:t>人须知</w:t>
            </w:r>
            <w:r>
              <w:rPr>
                <w:rFonts w:ascii="宋体" w:hAnsi="宋体"/>
                <w:kern w:val="0"/>
              </w:rPr>
              <w:t>”</w:t>
            </w:r>
            <w:r>
              <w:rPr>
                <w:rFonts w:hint="eastAsia" w:ascii="宋体" w:hAnsi="宋体"/>
                <w:kern w:val="0"/>
              </w:rPr>
              <w:t>第3.7款</w:t>
            </w:r>
            <w:r>
              <w:rPr>
                <w:rFonts w:ascii="宋体" w:hAnsi="宋体"/>
                <w:kern w:val="0"/>
              </w:rPr>
              <w:t>的要求</w:t>
            </w:r>
            <w:r>
              <w:rPr>
                <w:rFonts w:hint="eastAsia" w:ascii="宋体" w:hAnsi="宋体"/>
                <w:kern w:val="0"/>
              </w:rPr>
              <w:t>（不含投标函部分）</w:t>
            </w:r>
            <w:r>
              <w:rPr>
                <w:rFonts w:ascii="宋体" w:hAnsi="宋体"/>
                <w:kern w:val="0"/>
              </w:rPr>
              <w:t>。</w:t>
            </w:r>
          </w:p>
        </w:tc>
      </w:tr>
      <w:tr w14:paraId="2EE66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632B50B5">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23FBCE50">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D1C7E20">
            <w:pPr>
              <w:spacing w:line="400" w:lineRule="exact"/>
              <w:jc w:val="left"/>
              <w:rPr>
                <w:rFonts w:hint="eastAsia" w:ascii="宋体" w:hAnsi="宋体" w:cs="宋体"/>
                <w:kern w:val="0"/>
              </w:rPr>
            </w:pPr>
            <w:r>
              <w:rPr>
                <w:rFonts w:hint="eastAsia" w:ascii="宋体" w:hAnsi="宋体" w:cs="宋体"/>
                <w:kern w:val="0"/>
              </w:rPr>
              <w:t>□</w:t>
            </w:r>
            <w:r>
              <w:rPr>
                <w:rFonts w:ascii="宋体" w:hAnsi="宋体"/>
                <w:kern w:val="0"/>
              </w:rPr>
              <w:t>联合体投标人</w:t>
            </w:r>
          </w:p>
        </w:tc>
        <w:tc>
          <w:tcPr>
            <w:tcW w:w="5048" w:type="dxa"/>
            <w:tcBorders>
              <w:top w:val="single" w:color="auto" w:sz="4" w:space="0"/>
              <w:left w:val="single" w:color="auto" w:sz="4" w:space="0"/>
              <w:bottom w:val="single" w:color="auto" w:sz="4" w:space="0"/>
              <w:right w:val="single" w:color="auto" w:sz="4" w:space="0"/>
            </w:tcBorders>
            <w:vAlign w:val="center"/>
          </w:tcPr>
          <w:p w14:paraId="632E327F">
            <w:pPr>
              <w:spacing w:line="400" w:lineRule="exact"/>
              <w:ind w:firstLine="420" w:firstLineChars="200"/>
              <w:rPr>
                <w:rFonts w:ascii="宋体" w:hAnsi="宋体"/>
                <w:kern w:val="0"/>
              </w:rPr>
            </w:pPr>
            <w:r>
              <w:rPr>
                <w:rFonts w:ascii="宋体" w:hAnsi="宋体"/>
                <w:kern w:val="0"/>
              </w:rPr>
              <w:t>提交联合体协议书，并明确联合体牵头人</w:t>
            </w:r>
            <w:r>
              <w:rPr>
                <w:rFonts w:hint="eastAsia" w:ascii="宋体" w:hAnsi="宋体"/>
                <w:kern w:val="0"/>
              </w:rPr>
              <w:t>。在联合体协议书第5条联合体各成员单位内部的职责分工中填写的联合体所有成员单位名称应与其营业执照、资质证书、安全生产许可证一致，依法变更名称的应提交相应证明材料。</w:t>
            </w:r>
          </w:p>
        </w:tc>
      </w:tr>
      <w:tr w14:paraId="58B21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413CEE1A">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6D7A1CB1">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EB2430F">
            <w:pPr>
              <w:spacing w:line="400" w:lineRule="exact"/>
              <w:jc w:val="left"/>
              <w:rPr>
                <w:rFonts w:hint="eastAsia" w:ascii="宋体" w:hAnsi="宋体" w:cs="宋体"/>
                <w:kern w:val="0"/>
              </w:rPr>
            </w:pPr>
            <w:r>
              <w:rPr>
                <w:rFonts w:ascii="宋体" w:hAnsi="宋体"/>
                <w:kern w:val="0"/>
              </w:rPr>
              <w:t>投标文件的签署</w:t>
            </w:r>
          </w:p>
        </w:tc>
        <w:tc>
          <w:tcPr>
            <w:tcW w:w="5048" w:type="dxa"/>
            <w:tcBorders>
              <w:top w:val="single" w:color="auto" w:sz="4" w:space="0"/>
              <w:left w:val="single" w:color="auto" w:sz="4" w:space="0"/>
              <w:bottom w:val="single" w:color="auto" w:sz="4" w:space="0"/>
              <w:right w:val="single" w:color="auto" w:sz="4" w:space="0"/>
            </w:tcBorders>
            <w:vAlign w:val="center"/>
          </w:tcPr>
          <w:p w14:paraId="158F85D0">
            <w:pPr>
              <w:spacing w:line="400" w:lineRule="exact"/>
              <w:ind w:firstLine="420" w:firstLineChars="200"/>
              <w:rPr>
                <w:rFonts w:ascii="宋体" w:hAnsi="宋体"/>
                <w:kern w:val="0"/>
              </w:rPr>
            </w:pPr>
            <w:r>
              <w:rPr>
                <w:rFonts w:hint="eastAsia" w:ascii="宋体" w:hAnsi="宋体"/>
                <w:kern w:val="0"/>
              </w:rPr>
              <w:t xml:space="preserve">第九章 </w:t>
            </w:r>
            <w:r>
              <w:rPr>
                <w:rFonts w:ascii="宋体" w:hAnsi="宋体"/>
                <w:kern w:val="0"/>
              </w:rPr>
              <w:t>投标文件</w:t>
            </w:r>
            <w:r>
              <w:rPr>
                <w:rFonts w:hint="eastAsia" w:ascii="宋体" w:hAnsi="宋体"/>
                <w:kern w:val="0"/>
              </w:rPr>
              <w:t>格式（不含投标函部分）要求</w:t>
            </w:r>
            <w:r>
              <w:rPr>
                <w:rFonts w:ascii="宋体" w:hAnsi="宋体"/>
                <w:kern w:val="0"/>
              </w:rPr>
              <w:t>法定代表人或其委托代理人</w:t>
            </w:r>
            <w:r>
              <w:rPr>
                <w:rFonts w:hint="eastAsia" w:ascii="宋体" w:hAnsi="宋体"/>
                <w:kern w:val="0"/>
              </w:rPr>
              <w:t>签名</w:t>
            </w:r>
            <w:r>
              <w:rPr>
                <w:rFonts w:ascii="宋体" w:hAnsi="宋体"/>
                <w:kern w:val="0"/>
              </w:rPr>
              <w:t>（或盖章）</w:t>
            </w:r>
            <w:r>
              <w:rPr>
                <w:rFonts w:hint="eastAsia" w:ascii="宋体" w:hAnsi="宋体"/>
                <w:kern w:val="0"/>
              </w:rPr>
              <w:t>的须</w:t>
            </w:r>
            <w:r>
              <w:rPr>
                <w:rFonts w:ascii="宋体" w:hAnsi="宋体"/>
                <w:kern w:val="0"/>
              </w:rPr>
              <w:t>齐全。</w:t>
            </w:r>
            <w:r>
              <w:rPr>
                <w:rFonts w:hint="eastAsia" w:ascii="宋体" w:hAnsi="宋体" w:cs="宋体"/>
                <w:kern w:val="0"/>
              </w:rPr>
              <w:t>要求签名的，签名采用手写签名或签章或加盖CA数字证书均可。</w:t>
            </w:r>
          </w:p>
          <w:p w14:paraId="6DBD564B">
            <w:pPr>
              <w:autoSpaceDE w:val="0"/>
              <w:autoSpaceDN w:val="0"/>
              <w:adjustRightInd w:val="0"/>
              <w:snapToGrid w:val="0"/>
              <w:spacing w:line="400" w:lineRule="exact"/>
              <w:ind w:firstLine="420" w:firstLineChars="200"/>
              <w:rPr>
                <w:rFonts w:hint="eastAsia" w:ascii="宋体" w:hAnsi="宋体"/>
                <w:kern w:val="0"/>
              </w:rPr>
            </w:pPr>
            <w:r>
              <w:rPr>
                <w:rFonts w:hint="eastAsia" w:ascii="宋体" w:hAnsi="宋体"/>
                <w:snapToGrid w:val="0"/>
                <w:kern w:val="0"/>
                <w:szCs w:val="21"/>
              </w:rPr>
              <w:t>若投标单位为联合体，则联合体协议书各联合体成员单位签名（或盖章）须齐全，联合体协议书以外的</w:t>
            </w:r>
            <w:r>
              <w:rPr>
                <w:rFonts w:ascii="宋体" w:hAnsi="宋体"/>
                <w:kern w:val="0"/>
              </w:rPr>
              <w:t>投标文件</w:t>
            </w:r>
            <w:r>
              <w:rPr>
                <w:rFonts w:hint="eastAsia" w:ascii="宋体" w:hAnsi="宋体"/>
                <w:kern w:val="0"/>
              </w:rPr>
              <w:t>格式中，</w:t>
            </w:r>
            <w:r>
              <w:rPr>
                <w:rFonts w:hint="eastAsia" w:ascii="宋体" w:hAnsi="宋体" w:cs="宋体"/>
                <w:kern w:val="0"/>
              </w:rPr>
              <w:t>要求法定代表人或其委托代理人签名（或盖章）的均由联合体牵头人法定代表人或其委托代理人签名（或盖章）</w:t>
            </w:r>
            <w:r>
              <w:rPr>
                <w:rFonts w:ascii="宋体" w:hAnsi="宋体"/>
                <w:kern w:val="0"/>
              </w:rPr>
              <w:t>。</w:t>
            </w:r>
          </w:p>
          <w:p w14:paraId="4CB6D243">
            <w:pPr>
              <w:autoSpaceDE w:val="0"/>
              <w:autoSpaceDN w:val="0"/>
              <w:adjustRightInd w:val="0"/>
              <w:snapToGrid w:val="0"/>
              <w:spacing w:line="400" w:lineRule="exact"/>
              <w:ind w:firstLine="420" w:firstLineChars="200"/>
              <w:rPr>
                <w:rFonts w:hint="eastAsia" w:ascii="宋体" w:hAnsi="宋体"/>
                <w:kern w:val="0"/>
              </w:rPr>
            </w:pPr>
            <w:r>
              <w:rPr>
                <w:rFonts w:hint="eastAsia" w:ascii="宋体" w:hAnsi="宋体"/>
                <w:kern w:val="0"/>
              </w:rPr>
              <w:t>第九章 投标文件格式（不含投标函部分）要求加盖单位法人章的，应使用 CA 数字证书加盖投标人的单位电子印章</w:t>
            </w:r>
            <w:r>
              <w:rPr>
                <w:rFonts w:ascii="宋体" w:hAnsi="宋体"/>
                <w:kern w:val="0"/>
              </w:rPr>
              <w:t>。</w:t>
            </w:r>
          </w:p>
          <w:p w14:paraId="2C81AA2E">
            <w:pPr>
              <w:autoSpaceDE w:val="0"/>
              <w:autoSpaceDN w:val="0"/>
              <w:adjustRightInd w:val="0"/>
              <w:snapToGrid w:val="0"/>
              <w:spacing w:line="400" w:lineRule="exact"/>
              <w:ind w:firstLine="420" w:firstLineChars="200"/>
              <w:rPr>
                <w:rFonts w:ascii="宋体" w:hAnsi="宋体"/>
                <w:kern w:val="0"/>
              </w:rPr>
            </w:pPr>
            <w:r>
              <w:rPr>
                <w:rFonts w:hint="eastAsia" w:ascii="宋体" w:hAnsi="宋体"/>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08525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tcBorders>
              <w:left w:val="single" w:color="auto" w:sz="4" w:space="0"/>
              <w:bottom w:val="single" w:color="auto" w:sz="4" w:space="0"/>
              <w:right w:val="single" w:color="auto" w:sz="4" w:space="0"/>
            </w:tcBorders>
            <w:vAlign w:val="center"/>
          </w:tcPr>
          <w:p w14:paraId="58D595D8">
            <w:pPr>
              <w:spacing w:line="400" w:lineRule="exact"/>
              <w:ind w:firstLine="420"/>
              <w:rPr>
                <w:rFonts w:hint="eastAsia" w:ascii="宋体" w:hAnsi="宋体" w:cs="宋体"/>
              </w:rPr>
            </w:pPr>
          </w:p>
        </w:tc>
        <w:tc>
          <w:tcPr>
            <w:tcW w:w="1599" w:type="dxa"/>
            <w:vMerge w:val="continue"/>
            <w:tcBorders>
              <w:left w:val="single" w:color="auto" w:sz="4" w:space="0"/>
              <w:bottom w:val="single" w:color="auto" w:sz="4" w:space="0"/>
              <w:right w:val="single" w:color="auto" w:sz="4" w:space="0"/>
            </w:tcBorders>
            <w:vAlign w:val="center"/>
          </w:tcPr>
          <w:p w14:paraId="66818B6F">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1AD7BBA">
            <w:pPr>
              <w:spacing w:line="400" w:lineRule="exact"/>
              <w:jc w:val="left"/>
              <w:rPr>
                <w:rFonts w:hint="eastAsia" w:ascii="宋体" w:hAnsi="宋体" w:cs="宋体"/>
                <w:kern w:val="0"/>
              </w:rPr>
            </w:pPr>
            <w:r>
              <w:rPr>
                <w:rFonts w:ascii="宋体" w:hAnsi="宋体"/>
                <w:kern w:val="0"/>
              </w:rPr>
              <w:t>委托代理人</w:t>
            </w:r>
          </w:p>
        </w:tc>
        <w:tc>
          <w:tcPr>
            <w:tcW w:w="5048" w:type="dxa"/>
            <w:tcBorders>
              <w:top w:val="single" w:color="auto" w:sz="4" w:space="0"/>
              <w:left w:val="single" w:color="auto" w:sz="4" w:space="0"/>
              <w:bottom w:val="single" w:color="auto" w:sz="4" w:space="0"/>
              <w:right w:val="single" w:color="auto" w:sz="4" w:space="0"/>
            </w:tcBorders>
            <w:vAlign w:val="center"/>
          </w:tcPr>
          <w:p w14:paraId="6F627C25">
            <w:pPr>
              <w:spacing w:line="400" w:lineRule="exact"/>
              <w:ind w:firstLine="420" w:firstLineChars="200"/>
              <w:rPr>
                <w:rFonts w:ascii="宋体" w:hAnsi="宋体"/>
                <w:kern w:val="0"/>
              </w:rPr>
            </w:pPr>
            <w:r>
              <w:rPr>
                <w:rFonts w:ascii="宋体" w:hAnsi="宋体"/>
                <w:kern w:val="0"/>
              </w:rPr>
              <w:t>投标人法定代表人的委托代理人有法定代表人签署的授权委托书</w:t>
            </w:r>
            <w:r>
              <w:rPr>
                <w:rFonts w:hint="eastAsia" w:ascii="宋体" w:hAnsi="宋体"/>
                <w:kern w:val="0"/>
              </w:rPr>
              <w:t>和投标人为其缴纳的养老保险。</w:t>
            </w:r>
          </w:p>
        </w:tc>
      </w:tr>
      <w:tr w14:paraId="79253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restart"/>
            <w:tcBorders>
              <w:left w:val="single" w:color="auto" w:sz="4" w:space="0"/>
              <w:right w:val="single" w:color="auto" w:sz="4" w:space="0"/>
            </w:tcBorders>
            <w:vAlign w:val="center"/>
          </w:tcPr>
          <w:p w14:paraId="36A7EED1">
            <w:pPr>
              <w:spacing w:line="400" w:lineRule="exact"/>
              <w:jc w:val="center"/>
              <w:rPr>
                <w:rFonts w:ascii="宋体" w:hAnsi="宋体" w:cs="宋体"/>
              </w:rPr>
            </w:pPr>
            <w:r>
              <w:rPr>
                <w:rFonts w:hint="eastAsia" w:ascii="宋体" w:hAnsi="宋体" w:cs="宋体"/>
              </w:rPr>
              <w:t>2.1.3</w:t>
            </w:r>
          </w:p>
        </w:tc>
        <w:tc>
          <w:tcPr>
            <w:tcW w:w="1599" w:type="dxa"/>
            <w:vMerge w:val="restart"/>
            <w:tcBorders>
              <w:left w:val="single" w:color="auto" w:sz="4" w:space="0"/>
              <w:right w:val="single" w:color="auto" w:sz="4" w:space="0"/>
            </w:tcBorders>
            <w:vAlign w:val="center"/>
          </w:tcPr>
          <w:p w14:paraId="448F28B6">
            <w:pPr>
              <w:spacing w:line="400" w:lineRule="exact"/>
              <w:jc w:val="center"/>
              <w:rPr>
                <w:rFonts w:hint="eastAsia" w:ascii="宋体" w:hAnsi="宋体" w:cs="宋体"/>
              </w:rPr>
            </w:pPr>
            <w:r>
              <w:rPr>
                <w:rFonts w:ascii="宋体" w:hAnsi="宋体"/>
                <w:kern w:val="0"/>
              </w:rPr>
              <w:t>响应性评审标准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C991DD1">
            <w:pPr>
              <w:spacing w:line="400" w:lineRule="exact"/>
              <w:jc w:val="left"/>
              <w:rPr>
                <w:rFonts w:ascii="宋体" w:hAnsi="宋体"/>
                <w:kern w:val="0"/>
              </w:rPr>
            </w:pPr>
            <w:r>
              <w:rPr>
                <w:rFonts w:ascii="宋体" w:hAnsi="宋体"/>
                <w:kern w:val="0"/>
              </w:rPr>
              <w:t>投标内容</w:t>
            </w:r>
          </w:p>
        </w:tc>
        <w:tc>
          <w:tcPr>
            <w:tcW w:w="5048" w:type="dxa"/>
            <w:tcBorders>
              <w:top w:val="single" w:color="auto" w:sz="4" w:space="0"/>
              <w:left w:val="single" w:color="auto" w:sz="4" w:space="0"/>
              <w:bottom w:val="single" w:color="auto" w:sz="4" w:space="0"/>
              <w:right w:val="single" w:color="auto" w:sz="4" w:space="0"/>
            </w:tcBorders>
            <w:vAlign w:val="center"/>
          </w:tcPr>
          <w:p w14:paraId="0DE6BF90">
            <w:pPr>
              <w:spacing w:line="400" w:lineRule="exact"/>
              <w:ind w:firstLine="420" w:firstLineChars="200"/>
              <w:jc w:val="left"/>
              <w:rPr>
                <w:rFonts w:hint="eastAsia" w:ascii="宋体" w:hAnsi="宋体"/>
                <w:kern w:val="0"/>
              </w:rPr>
            </w:pPr>
            <w:r>
              <w:rPr>
                <w:rFonts w:ascii="宋体" w:hAnsi="宋体"/>
                <w:kern w:val="0"/>
              </w:rPr>
              <w:t>符合第二章</w:t>
            </w:r>
            <w:r>
              <w:rPr>
                <w:rFonts w:hint="eastAsia" w:ascii="宋体" w:hAnsi="宋体"/>
                <w:kern w:val="0"/>
              </w:rPr>
              <w:t>“</w:t>
            </w:r>
            <w:r>
              <w:rPr>
                <w:rFonts w:ascii="宋体" w:hAnsi="宋体"/>
                <w:kern w:val="0"/>
              </w:rPr>
              <w:t>投标人须知</w:t>
            </w:r>
            <w:r>
              <w:rPr>
                <w:rFonts w:hint="eastAsia" w:ascii="宋体" w:hAnsi="宋体"/>
                <w:kern w:val="0"/>
              </w:rPr>
              <w:t>”</w:t>
            </w:r>
            <w:r>
              <w:rPr>
                <w:rFonts w:ascii="宋体" w:hAnsi="宋体"/>
                <w:kern w:val="0"/>
              </w:rPr>
              <w:t>第1.3.1项规定</w:t>
            </w:r>
          </w:p>
        </w:tc>
      </w:tr>
      <w:tr w14:paraId="2DCA3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DDA9954">
            <w:pPr>
              <w:spacing w:line="400" w:lineRule="exact"/>
              <w:jc w:val="center"/>
              <w:rPr>
                <w:rFonts w:hint="eastAsia" w:ascii="宋体" w:hAnsi="宋体" w:cs="宋体"/>
              </w:rPr>
            </w:pPr>
          </w:p>
        </w:tc>
        <w:tc>
          <w:tcPr>
            <w:tcW w:w="1599" w:type="dxa"/>
            <w:vMerge w:val="continue"/>
            <w:tcBorders>
              <w:left w:val="single" w:color="auto" w:sz="4" w:space="0"/>
              <w:right w:val="single" w:color="auto" w:sz="4" w:space="0"/>
            </w:tcBorders>
            <w:vAlign w:val="center"/>
          </w:tcPr>
          <w:p w14:paraId="0DCE9234">
            <w:pPr>
              <w:spacing w:line="400" w:lineRule="exact"/>
              <w:jc w:val="center"/>
              <w:rPr>
                <w:rFonts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66C246D">
            <w:pPr>
              <w:spacing w:line="400" w:lineRule="exact"/>
              <w:jc w:val="left"/>
              <w:rPr>
                <w:rFonts w:ascii="宋体" w:hAnsi="宋体"/>
                <w:kern w:val="0"/>
              </w:rPr>
            </w:pPr>
            <w:r>
              <w:rPr>
                <w:rFonts w:hint="eastAsia" w:ascii="宋体" w:hAnsi="宋体" w:cs="宋体"/>
                <w:kern w:val="0"/>
              </w:rPr>
              <w:t>投标函附录</w:t>
            </w:r>
          </w:p>
        </w:tc>
        <w:tc>
          <w:tcPr>
            <w:tcW w:w="5048" w:type="dxa"/>
            <w:tcBorders>
              <w:top w:val="single" w:color="auto" w:sz="4" w:space="0"/>
              <w:left w:val="single" w:color="auto" w:sz="4" w:space="0"/>
              <w:bottom w:val="single" w:color="auto" w:sz="4" w:space="0"/>
              <w:right w:val="single" w:color="auto" w:sz="4" w:space="0"/>
            </w:tcBorders>
            <w:vAlign w:val="center"/>
          </w:tcPr>
          <w:p w14:paraId="21C3F8B1">
            <w:pPr>
              <w:spacing w:line="400" w:lineRule="exact"/>
              <w:ind w:firstLine="420" w:firstLineChars="200"/>
              <w:jc w:val="left"/>
              <w:rPr>
                <w:rFonts w:ascii="宋体" w:hAnsi="宋体"/>
                <w:kern w:val="0"/>
              </w:rPr>
            </w:pPr>
            <w:r>
              <w:rPr>
                <w:rFonts w:hint="eastAsia" w:ascii="宋体" w:hAnsi="宋体" w:cs="宋体"/>
                <w:kern w:val="0"/>
              </w:rPr>
              <w:t>投标函附录的所有数据均符合招标文件规定。</w:t>
            </w:r>
          </w:p>
        </w:tc>
      </w:tr>
      <w:tr w14:paraId="6B699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564CEE8B">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5F55A4DD">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19DB2F53">
            <w:pPr>
              <w:spacing w:line="400" w:lineRule="exact"/>
              <w:jc w:val="left"/>
              <w:rPr>
                <w:rFonts w:ascii="宋体" w:hAnsi="宋体"/>
                <w:kern w:val="0"/>
              </w:rPr>
            </w:pPr>
            <w:r>
              <w:rPr>
                <w:rFonts w:ascii="宋体" w:hAnsi="宋体"/>
                <w:kern w:val="0"/>
              </w:rPr>
              <w:t>投标保证金</w:t>
            </w:r>
          </w:p>
        </w:tc>
        <w:tc>
          <w:tcPr>
            <w:tcW w:w="5048" w:type="dxa"/>
            <w:tcBorders>
              <w:top w:val="single" w:color="auto" w:sz="4" w:space="0"/>
              <w:left w:val="single" w:color="auto" w:sz="4" w:space="0"/>
              <w:bottom w:val="single" w:color="auto" w:sz="4" w:space="0"/>
              <w:right w:val="single" w:color="auto" w:sz="4" w:space="0"/>
            </w:tcBorders>
            <w:vAlign w:val="center"/>
          </w:tcPr>
          <w:p w14:paraId="0F00454F">
            <w:pPr>
              <w:tabs>
                <w:tab w:val="left" w:pos="601"/>
                <w:tab w:val="left" w:pos="669"/>
              </w:tabs>
              <w:snapToGrid w:val="0"/>
              <w:spacing w:line="400" w:lineRule="exact"/>
              <w:ind w:firstLine="420" w:firstLineChars="200"/>
              <w:rPr>
                <w:rFonts w:hint="eastAsia" w:ascii="宋体" w:hAnsi="宋体"/>
                <w:kern w:val="0"/>
              </w:rPr>
            </w:pPr>
            <w:r>
              <w:rPr>
                <w:rFonts w:ascii="宋体" w:hAnsi="宋体"/>
                <w:kern w:val="0"/>
                <w:szCs w:val="21"/>
              </w:rPr>
              <w:t>符合第二章投标人须知前附表第3.4</w:t>
            </w:r>
            <w:r>
              <w:rPr>
                <w:rFonts w:hint="eastAsia" w:ascii="宋体" w:hAnsi="宋体"/>
                <w:kern w:val="0"/>
                <w:szCs w:val="21"/>
              </w:rPr>
              <w:t>款</w:t>
            </w:r>
            <w:r>
              <w:rPr>
                <w:rFonts w:ascii="宋体" w:hAnsi="宋体"/>
                <w:kern w:val="0"/>
              </w:rPr>
              <w:t>规定</w:t>
            </w:r>
          </w:p>
        </w:tc>
      </w:tr>
      <w:tr w14:paraId="13AC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65004405">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6E4B6049">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CEC48B3">
            <w:pPr>
              <w:spacing w:line="400" w:lineRule="exact"/>
              <w:jc w:val="left"/>
              <w:rPr>
                <w:rFonts w:ascii="宋体" w:hAnsi="宋体"/>
                <w:kern w:val="0"/>
              </w:rPr>
            </w:pPr>
            <w:r>
              <w:rPr>
                <w:rFonts w:ascii="宋体" w:hAnsi="宋体"/>
                <w:kern w:val="0"/>
              </w:rPr>
              <w:t>权利义务</w:t>
            </w:r>
          </w:p>
        </w:tc>
        <w:tc>
          <w:tcPr>
            <w:tcW w:w="5048" w:type="dxa"/>
            <w:tcBorders>
              <w:top w:val="single" w:color="auto" w:sz="4" w:space="0"/>
              <w:left w:val="single" w:color="auto" w:sz="4" w:space="0"/>
              <w:bottom w:val="single" w:color="auto" w:sz="4" w:space="0"/>
              <w:right w:val="single" w:color="auto" w:sz="4" w:space="0"/>
            </w:tcBorders>
            <w:vAlign w:val="center"/>
          </w:tcPr>
          <w:p w14:paraId="490F62A5">
            <w:pPr>
              <w:spacing w:after="62" w:afterLines="20" w:line="400" w:lineRule="exact"/>
              <w:ind w:firstLine="420" w:firstLineChars="200"/>
              <w:rPr>
                <w:rFonts w:hint="eastAsia" w:ascii="宋体" w:hAnsi="宋体"/>
                <w:kern w:val="0"/>
              </w:rPr>
            </w:pPr>
            <w:r>
              <w:rPr>
                <w:rFonts w:ascii="宋体" w:hAnsi="宋体"/>
                <w:kern w:val="0"/>
              </w:rPr>
              <w:t>符合第四章</w:t>
            </w:r>
            <w:r>
              <w:rPr>
                <w:rFonts w:hint="eastAsia" w:ascii="宋体" w:hAnsi="宋体"/>
                <w:kern w:val="0"/>
              </w:rPr>
              <w:t>“</w:t>
            </w:r>
            <w:r>
              <w:rPr>
                <w:rFonts w:ascii="宋体" w:hAnsi="宋体"/>
                <w:kern w:val="0"/>
              </w:rPr>
              <w:t>合同条款及格式</w:t>
            </w:r>
            <w:r>
              <w:rPr>
                <w:rFonts w:hint="eastAsia" w:ascii="宋体" w:hAnsi="宋体"/>
                <w:kern w:val="0"/>
              </w:rPr>
              <w:t>”</w:t>
            </w:r>
            <w:r>
              <w:rPr>
                <w:rFonts w:ascii="宋体" w:hAnsi="宋体"/>
                <w:kern w:val="0"/>
              </w:rPr>
              <w:t>规定，投标文件不应附有招标人不能接受的条件。</w:t>
            </w:r>
            <w:r>
              <w:rPr>
                <w:rFonts w:hint="eastAsia" w:ascii="宋体" w:hAnsi="宋体"/>
                <w:kern w:val="0"/>
              </w:rPr>
              <w:t>（由投标人承诺，承诺书格式详见第九章投标文件格式。）</w:t>
            </w:r>
          </w:p>
        </w:tc>
      </w:tr>
      <w:tr w14:paraId="02985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EE30135">
            <w:pPr>
              <w:spacing w:line="400" w:lineRule="exact"/>
              <w:ind w:firstLine="420"/>
              <w:rPr>
                <w:rFonts w:hint="eastAsia" w:ascii="宋体" w:hAnsi="宋体" w:cs="宋体"/>
              </w:rPr>
            </w:pPr>
          </w:p>
        </w:tc>
        <w:tc>
          <w:tcPr>
            <w:tcW w:w="1599" w:type="dxa"/>
            <w:vMerge w:val="continue"/>
            <w:tcBorders>
              <w:left w:val="single" w:color="auto" w:sz="4" w:space="0"/>
              <w:right w:val="single" w:color="auto" w:sz="4" w:space="0"/>
            </w:tcBorders>
            <w:vAlign w:val="center"/>
          </w:tcPr>
          <w:p w14:paraId="6FFF6F62">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7A4294B">
            <w:pPr>
              <w:spacing w:line="400" w:lineRule="exact"/>
              <w:jc w:val="left"/>
              <w:rPr>
                <w:rFonts w:ascii="宋体" w:hAnsi="宋体"/>
                <w:kern w:val="0"/>
              </w:rPr>
            </w:pPr>
            <w:r>
              <w:rPr>
                <w:rFonts w:ascii="宋体" w:hAnsi="宋体"/>
                <w:kern w:val="0"/>
              </w:rPr>
              <w:t>技术标准和要求</w:t>
            </w:r>
          </w:p>
        </w:tc>
        <w:tc>
          <w:tcPr>
            <w:tcW w:w="5048" w:type="dxa"/>
            <w:tcBorders>
              <w:top w:val="single" w:color="auto" w:sz="4" w:space="0"/>
              <w:left w:val="single" w:color="auto" w:sz="4" w:space="0"/>
              <w:bottom w:val="single" w:color="auto" w:sz="4" w:space="0"/>
              <w:right w:val="single" w:color="auto" w:sz="4" w:space="0"/>
            </w:tcBorders>
            <w:vAlign w:val="center"/>
          </w:tcPr>
          <w:p w14:paraId="0DD0F85C">
            <w:pPr>
              <w:spacing w:line="400" w:lineRule="exact"/>
              <w:ind w:firstLine="420" w:firstLineChars="200"/>
              <w:rPr>
                <w:rFonts w:hint="eastAsia" w:ascii="宋体" w:hAnsi="宋体"/>
                <w:kern w:val="0"/>
              </w:rPr>
            </w:pPr>
            <w:r>
              <w:rPr>
                <w:rFonts w:ascii="宋体" w:hAnsi="宋体"/>
                <w:kern w:val="0"/>
              </w:rPr>
              <w:t>符合第七章</w:t>
            </w:r>
            <w:r>
              <w:rPr>
                <w:rFonts w:hint="eastAsia" w:ascii="宋体" w:hAnsi="宋体"/>
                <w:kern w:val="0"/>
              </w:rPr>
              <w:t>“</w:t>
            </w:r>
            <w:r>
              <w:rPr>
                <w:rFonts w:ascii="宋体" w:hAnsi="宋体"/>
                <w:kern w:val="0"/>
              </w:rPr>
              <w:t>技术标准和要求</w:t>
            </w:r>
            <w:r>
              <w:rPr>
                <w:rFonts w:hint="eastAsia" w:ascii="宋体" w:hAnsi="宋体"/>
                <w:kern w:val="0"/>
              </w:rPr>
              <w:t>”</w:t>
            </w:r>
            <w:r>
              <w:rPr>
                <w:rFonts w:ascii="宋体" w:hAnsi="宋体"/>
                <w:kern w:val="0"/>
              </w:rPr>
              <w:t>规定</w:t>
            </w:r>
            <w:r>
              <w:rPr>
                <w:rFonts w:hint="eastAsia" w:ascii="宋体" w:hAnsi="宋体"/>
                <w:kern w:val="0"/>
              </w:rPr>
              <w:t>。（由投标人承诺，承诺书格式详见第九章投标文件格式。）</w:t>
            </w:r>
          </w:p>
        </w:tc>
      </w:tr>
      <w:tr w14:paraId="33A1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1381FF7D">
            <w:pPr>
              <w:spacing w:line="400" w:lineRule="exact"/>
              <w:ind w:firstLine="420"/>
              <w:rPr>
                <w:rFonts w:hint="eastAsia" w:ascii="宋体" w:hAnsi="宋体" w:cs="宋体"/>
              </w:rPr>
            </w:pPr>
          </w:p>
        </w:tc>
        <w:tc>
          <w:tcPr>
            <w:tcW w:w="1599" w:type="dxa"/>
            <w:vMerge w:val="continue"/>
            <w:tcBorders>
              <w:left w:val="single" w:color="auto" w:sz="4" w:space="0"/>
              <w:bottom w:val="single" w:color="auto" w:sz="4" w:space="0"/>
              <w:right w:val="single" w:color="auto" w:sz="4" w:space="0"/>
            </w:tcBorders>
            <w:vAlign w:val="center"/>
          </w:tcPr>
          <w:p w14:paraId="2914AF02">
            <w:pPr>
              <w:spacing w:line="400" w:lineRule="exact"/>
              <w:ind w:firstLine="420"/>
              <w:rPr>
                <w:rFonts w:hint="eastAsia" w:ascii="宋体" w:hAnsi="宋体" w:cs="宋体"/>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FCD1C68">
            <w:pPr>
              <w:spacing w:line="400" w:lineRule="exact"/>
              <w:jc w:val="left"/>
              <w:rPr>
                <w:rFonts w:ascii="宋体" w:hAnsi="宋体"/>
                <w:kern w:val="0"/>
              </w:rPr>
            </w:pPr>
            <w:r>
              <w:rPr>
                <w:rFonts w:ascii="宋体" w:hAnsi="宋体"/>
                <w:kern w:val="0"/>
              </w:rPr>
              <w:t>实质性要求</w:t>
            </w:r>
          </w:p>
        </w:tc>
        <w:tc>
          <w:tcPr>
            <w:tcW w:w="5048" w:type="dxa"/>
            <w:tcBorders>
              <w:top w:val="single" w:color="auto" w:sz="4" w:space="0"/>
              <w:left w:val="single" w:color="auto" w:sz="4" w:space="0"/>
              <w:bottom w:val="single" w:color="auto" w:sz="4" w:space="0"/>
              <w:right w:val="single" w:color="auto" w:sz="4" w:space="0"/>
            </w:tcBorders>
            <w:vAlign w:val="center"/>
          </w:tcPr>
          <w:p w14:paraId="09DED932">
            <w:pPr>
              <w:spacing w:after="62" w:afterLines="20" w:line="400" w:lineRule="exact"/>
              <w:ind w:firstLine="420" w:firstLineChars="200"/>
              <w:rPr>
                <w:rFonts w:hint="eastAsia" w:ascii="宋体" w:hAnsi="宋体"/>
                <w:kern w:val="0"/>
              </w:rPr>
            </w:pPr>
            <w:r>
              <w:rPr>
                <w:rFonts w:hint="eastAsia" w:ascii="宋体" w:hAnsi="宋体"/>
                <w:kern w:val="0"/>
              </w:rPr>
              <w:t>符合第二章“投标人须知”第1.4.3项规定。</w:t>
            </w:r>
          </w:p>
          <w:p w14:paraId="1A181758">
            <w:pPr>
              <w:spacing w:after="62" w:afterLines="20" w:line="400" w:lineRule="exact"/>
              <w:ind w:firstLine="420" w:firstLineChars="200"/>
              <w:rPr>
                <w:rFonts w:hint="eastAsia" w:ascii="宋体" w:hAnsi="宋体"/>
                <w:kern w:val="0"/>
              </w:rPr>
            </w:pPr>
            <w:r>
              <w:rPr>
                <w:rFonts w:hint="eastAsia" w:ascii="宋体" w:hAnsi="宋体"/>
                <w:kern w:val="0"/>
              </w:rPr>
              <w:t>本次投标不得有串通投标</w:t>
            </w:r>
            <w:r>
              <w:rPr>
                <w:rFonts w:ascii="宋体" w:hAnsi="宋体"/>
                <w:kern w:val="0"/>
              </w:rPr>
              <w:t>、弄虚作假等其他违反招投标相关法律、法规行为。</w:t>
            </w:r>
          </w:p>
          <w:p w14:paraId="2E5F492F">
            <w:pPr>
              <w:spacing w:after="62" w:afterLines="20" w:line="400" w:lineRule="exact"/>
              <w:ind w:firstLine="420" w:firstLineChars="200"/>
              <w:rPr>
                <w:rFonts w:hint="eastAsia" w:ascii="宋体" w:hAnsi="宋体"/>
                <w:kern w:val="0"/>
              </w:rPr>
            </w:pPr>
            <w:r>
              <w:rPr>
                <w:rFonts w:hint="eastAsia"/>
              </w:rPr>
              <w:t>按评标委员会要求澄清、说明或补正。</w:t>
            </w:r>
          </w:p>
        </w:tc>
      </w:tr>
      <w:tr w14:paraId="5A85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653A17F">
            <w:pPr>
              <w:widowControl/>
              <w:spacing w:line="400" w:lineRule="exact"/>
              <w:jc w:val="center"/>
              <w:rPr>
                <w:rFonts w:ascii="宋体" w:hAnsi="宋体"/>
                <w:kern w:val="0"/>
              </w:rPr>
            </w:pPr>
            <w:r>
              <w:rPr>
                <w:rFonts w:hint="eastAsia" w:ascii="宋体" w:hAnsi="宋体"/>
                <w:kern w:val="0"/>
              </w:rPr>
              <w:t>2.2.1</w:t>
            </w:r>
          </w:p>
        </w:tc>
        <w:tc>
          <w:tcPr>
            <w:tcW w:w="1599" w:type="dxa"/>
            <w:tcBorders>
              <w:top w:val="single" w:color="auto" w:sz="4" w:space="0"/>
              <w:left w:val="single" w:color="auto" w:sz="4" w:space="0"/>
              <w:bottom w:val="single" w:color="auto" w:sz="4" w:space="0"/>
              <w:right w:val="single" w:color="auto" w:sz="4" w:space="0"/>
            </w:tcBorders>
            <w:vAlign w:val="center"/>
          </w:tcPr>
          <w:p w14:paraId="204A51AA">
            <w:pPr>
              <w:widowControl/>
              <w:spacing w:line="400" w:lineRule="exact"/>
              <w:jc w:val="left"/>
              <w:rPr>
                <w:rFonts w:hint="eastAsia" w:ascii="宋体" w:hAnsi="宋体"/>
              </w:rPr>
            </w:pPr>
            <w:r>
              <w:rPr>
                <w:rFonts w:hint="eastAsia" w:ascii="宋体" w:hAnsi="宋体" w:cs="宋体"/>
                <w:kern w:val="0"/>
                <w:szCs w:val="21"/>
                <w:lang w:bidi="ar"/>
              </w:rPr>
              <w:t xml:space="preserve">分值构成（总分 </w:t>
            </w:r>
            <w:r>
              <w:rPr>
                <w:rFonts w:ascii="宋体" w:hAnsi="宋体"/>
                <w:kern w:val="0"/>
                <w:szCs w:val="21"/>
                <w:lang w:bidi="ar"/>
              </w:rPr>
              <w:t xml:space="preserve">100 </w:t>
            </w:r>
            <w:r>
              <w:rPr>
                <w:rFonts w:hint="eastAsia" w:ascii="宋体" w:hAnsi="宋体" w:cs="宋体"/>
                <w:kern w:val="0"/>
                <w:szCs w:val="21"/>
                <w:lang w:bidi="ar"/>
              </w:rPr>
              <w:t>分）</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4E005D80">
            <w:pPr>
              <w:snapToGrid w:val="0"/>
              <w:spacing w:line="400" w:lineRule="exact"/>
              <w:ind w:left="420"/>
              <w:rPr>
                <w:rFonts w:hint="eastAsia" w:ascii="宋体" w:hAnsi="宋体"/>
                <w:kern w:val="0"/>
              </w:rPr>
            </w:pPr>
            <w:r>
              <w:rPr>
                <w:rFonts w:hint="eastAsia"/>
              </w:rPr>
              <w:t>□</w:t>
            </w:r>
            <w:r>
              <w:rPr>
                <w:rFonts w:hint="eastAsia" w:ascii="宋体" w:hAnsi="宋体"/>
                <w:kern w:val="0"/>
              </w:rPr>
              <w:t>1</w:t>
            </w:r>
            <w:r>
              <w:rPr>
                <w:rFonts w:ascii="宋体" w:hAnsi="宋体"/>
                <w:kern w:val="0"/>
              </w:rPr>
              <w:t>.</w:t>
            </w:r>
            <w:r>
              <w:rPr>
                <w:rFonts w:hint="eastAsia" w:ascii="宋体" w:hAnsi="宋体"/>
                <w:kern w:val="0"/>
              </w:rPr>
              <w:t>技术部分</w:t>
            </w:r>
            <w:r>
              <w:rPr>
                <w:rFonts w:hint="eastAsia" w:ascii="宋体" w:hAnsi="宋体"/>
                <w:kern w:val="0"/>
                <w:u w:val="single"/>
              </w:rPr>
              <w:t xml:space="preserve">    </w:t>
            </w:r>
            <w:r>
              <w:rPr>
                <w:rFonts w:ascii="宋体" w:hAnsi="宋体"/>
                <w:kern w:val="0"/>
              </w:rPr>
              <w:t>分</w:t>
            </w:r>
            <w:r>
              <w:rPr>
                <w:rFonts w:hint="eastAsia" w:ascii="宋体" w:hAnsi="宋体"/>
                <w:kern w:val="0"/>
              </w:rPr>
              <w:t>；</w:t>
            </w:r>
            <w:r>
              <w:rPr>
                <w:rFonts w:hint="eastAsia" w:ascii="宋体" w:hAnsi="宋体"/>
                <w:i/>
                <w:kern w:val="0"/>
              </w:rPr>
              <w:t>[</w:t>
            </w:r>
            <w:r>
              <w:rPr>
                <w:rFonts w:ascii="宋体" w:hAnsi="宋体"/>
                <w:i/>
                <w:kern w:val="0"/>
              </w:rPr>
              <w:t>提示</w:t>
            </w:r>
            <w:r>
              <w:rPr>
                <w:rFonts w:hint="eastAsia" w:ascii="宋体" w:hAnsi="宋体"/>
                <w:i/>
                <w:kern w:val="0"/>
              </w:rPr>
              <w:t>：</w:t>
            </w:r>
            <w:r>
              <w:rPr>
                <w:rFonts w:ascii="宋体" w:hAnsi="宋体"/>
                <w:i/>
                <w:kern w:val="0"/>
              </w:rPr>
              <w:t>不高于</w:t>
            </w:r>
            <w:r>
              <w:rPr>
                <w:rFonts w:hint="eastAsia" w:ascii="宋体" w:hAnsi="宋体"/>
                <w:i/>
                <w:kern w:val="0"/>
              </w:rPr>
              <w:t>30</w:t>
            </w:r>
            <w:r>
              <w:rPr>
                <w:rFonts w:ascii="宋体" w:hAnsi="宋体"/>
                <w:i/>
                <w:kern w:val="0"/>
              </w:rPr>
              <w:t>分</w:t>
            </w:r>
            <w:r>
              <w:rPr>
                <w:rFonts w:hint="eastAsia" w:ascii="宋体" w:hAnsi="宋体"/>
                <w:i/>
                <w:kern w:val="0"/>
              </w:rPr>
              <w:t>]</w:t>
            </w:r>
          </w:p>
          <w:p w14:paraId="39F9873C">
            <w:pPr>
              <w:snapToGrid w:val="0"/>
              <w:spacing w:line="400" w:lineRule="exact"/>
              <w:ind w:left="420"/>
              <w:rPr>
                <w:rFonts w:hint="eastAsia" w:ascii="宋体" w:hAnsi="宋体"/>
                <w:kern w:val="0"/>
              </w:rPr>
            </w:pPr>
            <w:r>
              <w:rPr>
                <w:rFonts w:hint="eastAsia"/>
              </w:rPr>
              <w:t>□</w:t>
            </w:r>
            <w:r>
              <w:rPr>
                <w:rFonts w:hint="eastAsia" w:ascii="宋体" w:hAnsi="宋体"/>
                <w:kern w:val="0"/>
              </w:rPr>
              <w:t>2</w:t>
            </w:r>
            <w:r>
              <w:rPr>
                <w:rFonts w:ascii="宋体" w:hAnsi="宋体"/>
                <w:kern w:val="0"/>
              </w:rPr>
              <w:t>.</w:t>
            </w:r>
            <w:r>
              <w:rPr>
                <w:rFonts w:hint="eastAsia" w:ascii="宋体" w:hAnsi="宋体"/>
              </w:rPr>
              <w:t>商务部分</w:t>
            </w:r>
            <w:r>
              <w:rPr>
                <w:rFonts w:hint="eastAsia" w:ascii="宋体" w:hAnsi="宋体"/>
                <w:kern w:val="0"/>
                <w:u w:val="single"/>
              </w:rPr>
              <w:t xml:space="preserve">    </w:t>
            </w:r>
            <w:r>
              <w:rPr>
                <w:rFonts w:ascii="宋体" w:hAnsi="宋体"/>
                <w:kern w:val="0"/>
              </w:rPr>
              <w:t>分</w:t>
            </w:r>
            <w:r>
              <w:rPr>
                <w:rFonts w:hint="eastAsia" w:ascii="宋体" w:hAnsi="宋体"/>
                <w:kern w:val="0"/>
              </w:rPr>
              <w:t>；</w:t>
            </w:r>
            <w:r>
              <w:rPr>
                <w:rFonts w:hint="eastAsia" w:ascii="宋体" w:hAnsi="宋体"/>
                <w:i/>
                <w:kern w:val="0"/>
              </w:rPr>
              <w:t>[提示：不高于10分]</w:t>
            </w:r>
          </w:p>
          <w:p w14:paraId="606D414F">
            <w:pPr>
              <w:snapToGrid w:val="0"/>
              <w:spacing w:line="400" w:lineRule="exact"/>
              <w:ind w:left="420"/>
              <w:rPr>
                <w:rFonts w:hint="eastAsia" w:ascii="宋体" w:hAnsi="宋体"/>
                <w:kern w:val="0"/>
              </w:rPr>
            </w:pPr>
            <w:r>
              <w:rPr>
                <w:rFonts w:hint="eastAsia" w:ascii="宋体" w:hAnsi="宋体"/>
                <w:kern w:val="0"/>
              </w:rPr>
              <w:t>3</w:t>
            </w:r>
            <w:r>
              <w:rPr>
                <w:rFonts w:ascii="宋体" w:hAnsi="宋体"/>
                <w:kern w:val="0"/>
              </w:rPr>
              <w:t>.</w:t>
            </w:r>
            <w:r>
              <w:rPr>
                <w:rFonts w:hint="eastAsia" w:ascii="宋体" w:hAnsi="宋体"/>
                <w:kern w:val="0"/>
              </w:rPr>
              <w:t>投标总报价</w:t>
            </w:r>
            <w:r>
              <w:rPr>
                <w:rFonts w:hint="eastAsia" w:ascii="宋体" w:hAnsi="宋体"/>
                <w:kern w:val="0"/>
                <w:u w:val="single"/>
              </w:rPr>
              <w:t xml:space="preserve">    </w:t>
            </w:r>
            <w:r>
              <w:rPr>
                <w:rFonts w:hint="eastAsia" w:ascii="宋体" w:hAnsi="宋体"/>
                <w:kern w:val="0"/>
              </w:rPr>
              <w:t>分。</w:t>
            </w:r>
          </w:p>
          <w:p w14:paraId="749F3258">
            <w:pPr>
              <w:spacing w:line="400" w:lineRule="exact"/>
              <w:ind w:firstLine="420" w:firstLineChars="200"/>
              <w:rPr>
                <w:rFonts w:hint="eastAsia" w:ascii="宋体" w:hAnsi="宋体"/>
                <w:kern w:val="0"/>
              </w:rPr>
            </w:pPr>
            <w:r>
              <w:rPr>
                <w:rFonts w:hint="eastAsia" w:ascii="宋体" w:hAnsi="宋体"/>
                <w:i/>
              </w:rPr>
              <w:t>[提示：如需进行项目经理答辩，项目经理答辩得分不高于10分，技术部分其余部分得分不高于20分。]</w:t>
            </w:r>
          </w:p>
        </w:tc>
      </w:tr>
      <w:tr w14:paraId="668C6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880" w:type="dxa"/>
            <w:vMerge w:val="restart"/>
            <w:tcBorders>
              <w:top w:val="single" w:color="auto" w:sz="4" w:space="0"/>
              <w:left w:val="single" w:color="auto" w:sz="4" w:space="0"/>
              <w:right w:val="single" w:color="auto" w:sz="4" w:space="0"/>
            </w:tcBorders>
            <w:vAlign w:val="center"/>
          </w:tcPr>
          <w:p w14:paraId="0C65E691">
            <w:pPr>
              <w:pStyle w:val="2"/>
              <w:jc w:val="center"/>
              <w:rPr>
                <w:rFonts w:hint="eastAsia" w:ascii="宋体" w:hAnsi="宋体"/>
                <w:kern w:val="0"/>
              </w:rPr>
            </w:pPr>
            <w:r>
              <w:rPr>
                <w:rFonts w:hint="eastAsia" w:ascii="宋体" w:hAnsi="宋体"/>
                <w:kern w:val="0"/>
              </w:rPr>
              <w:t>2.2.2</w:t>
            </w:r>
          </w:p>
          <w:p w14:paraId="0DAFC94C">
            <w:pPr>
              <w:pStyle w:val="2"/>
              <w:jc w:val="center"/>
              <w:rPr>
                <w:rFonts w:hint="eastAsia"/>
              </w:rPr>
            </w:pPr>
            <w:r>
              <w:rPr>
                <w:rFonts w:hint="eastAsia" w:ascii="宋体" w:hAnsi="宋体"/>
                <w:kern w:val="0"/>
              </w:rPr>
              <w:t>（1）</w:t>
            </w:r>
          </w:p>
        </w:tc>
        <w:tc>
          <w:tcPr>
            <w:tcW w:w="1599" w:type="dxa"/>
            <w:vMerge w:val="restart"/>
            <w:tcBorders>
              <w:top w:val="single" w:color="auto" w:sz="4" w:space="0"/>
              <w:left w:val="single" w:color="auto" w:sz="4" w:space="0"/>
              <w:right w:val="single" w:color="auto" w:sz="4" w:space="0"/>
            </w:tcBorders>
            <w:vAlign w:val="center"/>
          </w:tcPr>
          <w:p w14:paraId="617F708B">
            <w:pPr>
              <w:widowControl/>
              <w:spacing w:line="400" w:lineRule="exact"/>
              <w:jc w:val="center"/>
              <w:rPr>
                <w:rFonts w:hint="eastAsia" w:ascii="宋体" w:hAnsi="宋体"/>
                <w:kern w:val="0"/>
              </w:rPr>
            </w:pPr>
            <w:r>
              <w:rPr>
                <w:rFonts w:hint="eastAsia" w:ascii="宋体" w:hAnsi="宋体"/>
                <w:kern w:val="0"/>
              </w:rPr>
              <w:t>技术部分评分标准</w:t>
            </w:r>
          </w:p>
        </w:tc>
        <w:tc>
          <w:tcPr>
            <w:tcW w:w="705" w:type="dxa"/>
            <w:vMerge w:val="restart"/>
            <w:tcBorders>
              <w:top w:val="single" w:color="auto" w:sz="4" w:space="0"/>
              <w:left w:val="single" w:color="auto" w:sz="4" w:space="0"/>
              <w:right w:val="single" w:color="auto" w:sz="4" w:space="0"/>
            </w:tcBorders>
            <w:vAlign w:val="center"/>
          </w:tcPr>
          <w:p w14:paraId="15802C80">
            <w:pPr>
              <w:pStyle w:val="2"/>
              <w:jc w:val="center"/>
              <w:rPr>
                <w:rFonts w:hint="eastAsia"/>
              </w:rPr>
            </w:pPr>
            <w:r>
              <w:rPr>
                <w:rFonts w:hint="eastAsia"/>
              </w:rPr>
              <w:t>技</w:t>
            </w:r>
          </w:p>
          <w:p w14:paraId="443A67F5">
            <w:pPr>
              <w:pStyle w:val="2"/>
              <w:jc w:val="center"/>
              <w:rPr>
                <w:rFonts w:hint="eastAsia"/>
              </w:rPr>
            </w:pPr>
            <w:r>
              <w:rPr>
                <w:rFonts w:hint="eastAsia"/>
              </w:rPr>
              <w:t>术</w:t>
            </w:r>
          </w:p>
          <w:p w14:paraId="01E76095">
            <w:pPr>
              <w:pStyle w:val="2"/>
              <w:jc w:val="center"/>
              <w:rPr>
                <w:rFonts w:hint="eastAsia"/>
              </w:rPr>
            </w:pPr>
            <w:r>
              <w:rPr>
                <w:rFonts w:hint="eastAsia"/>
              </w:rPr>
              <w:t>方</w:t>
            </w:r>
          </w:p>
          <w:p w14:paraId="1EF9755D">
            <w:pPr>
              <w:pStyle w:val="2"/>
              <w:jc w:val="center"/>
              <w:rPr>
                <w:rFonts w:hint="eastAsia"/>
              </w:rPr>
            </w:pPr>
            <w:r>
              <w:rPr>
                <w:rFonts w:hint="eastAsia"/>
              </w:rPr>
              <w:t>案</w:t>
            </w:r>
          </w:p>
          <w:p w14:paraId="22B00AAC">
            <w:pPr>
              <w:pStyle w:val="2"/>
              <w:jc w:val="center"/>
              <w:rPr>
                <w:rFonts w:hint="eastAsia"/>
              </w:rPr>
            </w:pPr>
            <w:r>
              <w:rPr>
                <w:rFonts w:hint="eastAsia"/>
              </w:rPr>
              <w:t>评</w:t>
            </w:r>
          </w:p>
          <w:p w14:paraId="03802897">
            <w:pPr>
              <w:pStyle w:val="2"/>
              <w:jc w:val="center"/>
              <w:rPr>
                <w:rFonts w:hint="eastAsia"/>
              </w:rPr>
            </w:pPr>
            <w:r>
              <w:rPr>
                <w:rFonts w:hint="eastAsia"/>
              </w:rPr>
              <w:t>审</w:t>
            </w:r>
          </w:p>
        </w:tc>
        <w:tc>
          <w:tcPr>
            <w:tcW w:w="1650" w:type="dxa"/>
            <w:tcBorders>
              <w:top w:val="single" w:color="auto" w:sz="4" w:space="0"/>
              <w:left w:val="single" w:color="auto" w:sz="4" w:space="0"/>
              <w:right w:val="single" w:color="auto" w:sz="4" w:space="0"/>
            </w:tcBorders>
            <w:vAlign w:val="center"/>
          </w:tcPr>
          <w:p w14:paraId="6BDE0DC7">
            <w:pPr>
              <w:pStyle w:val="2"/>
              <w:rPr>
                <w:rFonts w:hint="eastAsia"/>
              </w:rPr>
            </w:pPr>
            <w:r>
              <w:rPr>
                <w:rFonts w:hint="eastAsia"/>
              </w:rPr>
              <w:t>□</w:t>
            </w:r>
            <w:r>
              <w:rPr>
                <w:rFonts w:hint="eastAsia" w:ascii="宋体" w:hAnsi="宋体" w:cs="宋体"/>
                <w:kern w:val="0"/>
                <w:szCs w:val="21"/>
                <w:lang w:bidi="ar"/>
              </w:rPr>
              <w:t>总体施工组织布置及规划</w:t>
            </w:r>
          </w:p>
        </w:tc>
        <w:tc>
          <w:tcPr>
            <w:tcW w:w="5048" w:type="dxa"/>
            <w:tcBorders>
              <w:top w:val="single" w:color="auto" w:sz="4" w:space="0"/>
              <w:left w:val="single" w:color="auto" w:sz="4" w:space="0"/>
              <w:bottom w:val="single" w:color="auto" w:sz="4" w:space="0"/>
              <w:right w:val="single" w:color="auto" w:sz="4" w:space="0"/>
            </w:tcBorders>
            <w:vAlign w:val="center"/>
          </w:tcPr>
          <w:p w14:paraId="79A53764">
            <w:pPr>
              <w:snapToGrid w:val="0"/>
              <w:spacing w:line="400" w:lineRule="exact"/>
              <w:ind w:firstLine="420" w:firstLineChars="200"/>
              <w:rPr>
                <w:rFonts w:hint="eastAsia" w:ascii="宋体" w:hAnsi="宋体" w:cs="宋体"/>
                <w:kern w:val="0"/>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14:paraId="71CDE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840808E">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30A4D165">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06BDCF16">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5081C567">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主要工程项目的施工方案、方法与技术措施</w:t>
            </w:r>
          </w:p>
        </w:tc>
        <w:tc>
          <w:tcPr>
            <w:tcW w:w="5048" w:type="dxa"/>
            <w:tcBorders>
              <w:top w:val="single" w:color="auto" w:sz="4" w:space="0"/>
              <w:left w:val="single" w:color="auto" w:sz="4" w:space="0"/>
              <w:bottom w:val="single" w:color="auto" w:sz="4" w:space="0"/>
              <w:right w:val="single" w:color="auto" w:sz="4" w:space="0"/>
            </w:tcBorders>
            <w:vAlign w:val="center"/>
          </w:tcPr>
          <w:p w14:paraId="6A9C137D">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14:paraId="1C88C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4CCE957D">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16CB1F82">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65BA5EA5">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38DEB413">
            <w:pPr>
              <w:widowControl/>
              <w:spacing w:line="400" w:lineRule="exact"/>
              <w:rPr>
                <w:rFonts w:hint="eastAsia" w:ascii="宋体" w:hAnsi="宋体" w:cs="宋体"/>
                <w:kern w:val="0"/>
                <w:szCs w:val="21"/>
                <w:lang w:bidi="ar"/>
              </w:rPr>
            </w:pPr>
            <w:r>
              <w:rPr>
                <w:rFonts w:hint="eastAsia"/>
              </w:rPr>
              <w:t>□</w:t>
            </w:r>
            <w:r>
              <w:rPr>
                <w:rFonts w:hint="eastAsia" w:ascii="宋体" w:hAnsi="宋体" w:cs="宋体"/>
                <w:kern w:val="0"/>
                <w:szCs w:val="21"/>
                <w:lang w:bidi="ar"/>
              </w:rPr>
              <w:t>对本工程的特点、重点与难点分析及针对性措施</w:t>
            </w:r>
          </w:p>
        </w:tc>
        <w:tc>
          <w:tcPr>
            <w:tcW w:w="5048" w:type="dxa"/>
            <w:tcBorders>
              <w:top w:val="single" w:color="auto" w:sz="4" w:space="0"/>
              <w:left w:val="single" w:color="auto" w:sz="4" w:space="0"/>
              <w:bottom w:val="single" w:color="auto" w:sz="4" w:space="0"/>
              <w:right w:val="single" w:color="auto" w:sz="4" w:space="0"/>
            </w:tcBorders>
            <w:vAlign w:val="center"/>
          </w:tcPr>
          <w:p w14:paraId="77DA4B1B">
            <w:pPr>
              <w:snapToGrid w:val="0"/>
              <w:spacing w:line="400" w:lineRule="exact"/>
              <w:ind w:firstLine="420" w:firstLineChars="200"/>
              <w:rPr>
                <w:rFonts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 xml:space="preserve"> </w:t>
            </w:r>
            <w:r>
              <w:rPr>
                <w:rFonts w:ascii="宋体" w:hAnsi="宋体"/>
              </w:rPr>
              <w:t xml:space="preserve"> 编制要点</w:t>
            </w:r>
            <w:r>
              <w:rPr>
                <w:rFonts w:hint="eastAsia" w:ascii="宋体" w:hAnsi="宋体"/>
              </w:rPr>
              <w:t>：</w:t>
            </w:r>
            <w:r>
              <w:rPr>
                <w:rFonts w:hint="eastAsia" w:ascii="宋体" w:hAnsi="宋体"/>
                <w:u w:val="single"/>
              </w:rPr>
              <w:t xml:space="preserve">    </w:t>
            </w:r>
          </w:p>
        </w:tc>
      </w:tr>
      <w:tr w14:paraId="209F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7540CC83">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41F46868">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3797066F">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4B9018D5">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工期保证体系及保证措施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535E0A71">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39BDA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15B370FE">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6E7DD0C9">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1506891F">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66DBC8FE">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工程质量管理体系及保证措施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10E22703">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20E16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DF80B49">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331B19E9">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6B235CF2">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55C030D0">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安全生产管理体系及保证措施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671A37BB">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42E7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673090D7">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49F8CB5C">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63B8FB95">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19420775">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文明施工与环境保护保证体系及保证措施</w:t>
            </w:r>
          </w:p>
        </w:tc>
        <w:tc>
          <w:tcPr>
            <w:tcW w:w="5048" w:type="dxa"/>
            <w:tcBorders>
              <w:top w:val="single" w:color="auto" w:sz="4" w:space="0"/>
              <w:left w:val="single" w:color="auto" w:sz="4" w:space="0"/>
              <w:bottom w:val="single" w:color="auto" w:sz="4" w:space="0"/>
              <w:right w:val="single" w:color="auto" w:sz="4" w:space="0"/>
            </w:tcBorders>
            <w:vAlign w:val="center"/>
          </w:tcPr>
          <w:p w14:paraId="719C02FE">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5F652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E8B5297">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0C17B687">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0EB7277C">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3C485603">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施工过程中的交通组织措施</w:t>
            </w:r>
          </w:p>
        </w:tc>
        <w:tc>
          <w:tcPr>
            <w:tcW w:w="5048" w:type="dxa"/>
            <w:tcBorders>
              <w:top w:val="single" w:color="auto" w:sz="4" w:space="0"/>
              <w:left w:val="single" w:color="auto" w:sz="4" w:space="0"/>
              <w:bottom w:val="single" w:color="auto" w:sz="4" w:space="0"/>
              <w:right w:val="single" w:color="auto" w:sz="4" w:space="0"/>
            </w:tcBorders>
            <w:vAlign w:val="center"/>
          </w:tcPr>
          <w:p w14:paraId="50309521">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62C68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3DB73664">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055C0437">
            <w:pPr>
              <w:widowControl/>
              <w:spacing w:line="400" w:lineRule="exact"/>
              <w:jc w:val="center"/>
              <w:rPr>
                <w:rFonts w:hint="eastAsia" w:ascii="宋体" w:hAnsi="宋体"/>
                <w:kern w:val="0"/>
              </w:rPr>
            </w:pPr>
          </w:p>
        </w:tc>
        <w:tc>
          <w:tcPr>
            <w:tcW w:w="705" w:type="dxa"/>
            <w:vMerge w:val="continue"/>
            <w:tcBorders>
              <w:left w:val="single" w:color="auto" w:sz="4" w:space="0"/>
              <w:right w:val="single" w:color="auto" w:sz="4" w:space="0"/>
            </w:tcBorders>
            <w:vAlign w:val="center"/>
          </w:tcPr>
          <w:p w14:paraId="747B24E5">
            <w:pPr>
              <w:widowControl/>
              <w:spacing w:line="400" w:lineRule="exact"/>
              <w:jc w:val="left"/>
              <w:rPr>
                <w:rFonts w:hint="eastAsia" w:ascii="宋体" w:hAnsi="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08ECE014">
            <w:pPr>
              <w:widowControl/>
              <w:spacing w:line="400" w:lineRule="exact"/>
              <w:rPr>
                <w:rFonts w:hint="eastAsia" w:ascii="宋体" w:hAnsi="宋体"/>
                <w:kern w:val="0"/>
              </w:rPr>
            </w:pPr>
            <w:r>
              <w:rPr>
                <w:rFonts w:hint="eastAsia"/>
              </w:rPr>
              <w:t>□</w:t>
            </w:r>
            <w:r>
              <w:rPr>
                <w:rFonts w:hint="eastAsia" w:ascii="宋体" w:hAnsi="宋体" w:cs="宋体"/>
                <w:kern w:val="0"/>
                <w:szCs w:val="21"/>
                <w:lang w:bidi="ar"/>
              </w:rPr>
              <w:t>项目风险预测与防范，事故应急预案</w:t>
            </w:r>
          </w:p>
        </w:tc>
        <w:tc>
          <w:tcPr>
            <w:tcW w:w="5048" w:type="dxa"/>
            <w:tcBorders>
              <w:top w:val="single" w:color="auto" w:sz="4" w:space="0"/>
              <w:left w:val="single" w:color="auto" w:sz="4" w:space="0"/>
              <w:bottom w:val="single" w:color="auto" w:sz="4" w:space="0"/>
              <w:right w:val="single" w:color="auto" w:sz="4" w:space="0"/>
            </w:tcBorders>
            <w:vAlign w:val="center"/>
          </w:tcPr>
          <w:p w14:paraId="1DCD41BE">
            <w:pPr>
              <w:snapToGrid w:val="0"/>
              <w:spacing w:line="400" w:lineRule="exact"/>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分   编制要点</w:t>
            </w:r>
            <w:r>
              <w:rPr>
                <w:rFonts w:hint="eastAsia" w:ascii="宋体" w:hAnsi="宋体"/>
              </w:rPr>
              <w:t>：</w:t>
            </w:r>
            <w:r>
              <w:rPr>
                <w:rFonts w:hint="eastAsia" w:ascii="宋体" w:hAnsi="宋体"/>
                <w:u w:val="single"/>
              </w:rPr>
              <w:t xml:space="preserve">    </w:t>
            </w:r>
          </w:p>
        </w:tc>
      </w:tr>
      <w:tr w14:paraId="73A5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right w:val="single" w:color="auto" w:sz="4" w:space="0"/>
            </w:tcBorders>
            <w:vAlign w:val="center"/>
          </w:tcPr>
          <w:p w14:paraId="25416417">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6446EE29">
            <w:pPr>
              <w:widowControl/>
              <w:spacing w:line="400" w:lineRule="exact"/>
              <w:jc w:val="center"/>
              <w:rPr>
                <w:rFonts w:hint="eastAsia" w:ascii="宋体" w:hAnsi="宋体"/>
                <w:kern w:val="0"/>
              </w:rPr>
            </w:pPr>
          </w:p>
        </w:tc>
        <w:tc>
          <w:tcPr>
            <w:tcW w:w="705" w:type="dxa"/>
            <w:vMerge w:val="continue"/>
            <w:tcBorders>
              <w:left w:val="single" w:color="auto" w:sz="4" w:space="0"/>
              <w:bottom w:val="single" w:color="auto" w:sz="4" w:space="0"/>
              <w:right w:val="single" w:color="auto" w:sz="4" w:space="0"/>
            </w:tcBorders>
            <w:vAlign w:val="top"/>
          </w:tcPr>
          <w:p w14:paraId="70A9131C">
            <w:pPr>
              <w:snapToGrid w:val="0"/>
              <w:spacing w:line="400" w:lineRule="exact"/>
              <w:jc w:val="left"/>
              <w:rPr>
                <w:rFonts w:hint="eastAsia" w:ascii="宋体" w:hAnsi="宋体" w:cs="宋体"/>
                <w:kern w:val="0"/>
              </w:rPr>
            </w:pPr>
          </w:p>
        </w:tc>
        <w:tc>
          <w:tcPr>
            <w:tcW w:w="1650" w:type="dxa"/>
            <w:tcBorders>
              <w:top w:val="single" w:color="auto" w:sz="4" w:space="0"/>
              <w:left w:val="single" w:color="auto" w:sz="4" w:space="0"/>
              <w:bottom w:val="single" w:color="auto" w:sz="4" w:space="0"/>
              <w:right w:val="single" w:color="auto" w:sz="4" w:space="0"/>
            </w:tcBorders>
            <w:vAlign w:val="center"/>
          </w:tcPr>
          <w:p w14:paraId="466F3079">
            <w:pPr>
              <w:snapToGrid w:val="0"/>
              <w:spacing w:line="400" w:lineRule="exact"/>
              <w:rPr>
                <w:rFonts w:hint="eastAsia" w:ascii="宋体" w:hAnsi="宋体" w:cs="宋体"/>
                <w:kern w:val="0"/>
              </w:rPr>
            </w:pPr>
            <w:r>
              <w:rPr>
                <w:rFonts w:hint="eastAsia" w:ascii="宋体" w:hAnsi="宋体" w:cs="宋体"/>
                <w:kern w:val="0"/>
              </w:rPr>
              <w:t>□</w:t>
            </w:r>
            <w:r>
              <w:rPr>
                <w:rFonts w:ascii="宋体" w:hAnsi="宋体" w:cs="宋体"/>
                <w:kern w:val="0"/>
              </w:rPr>
              <w:t>……</w:t>
            </w:r>
          </w:p>
        </w:tc>
        <w:tc>
          <w:tcPr>
            <w:tcW w:w="5048" w:type="dxa"/>
            <w:tcBorders>
              <w:top w:val="single" w:color="auto" w:sz="4" w:space="0"/>
              <w:left w:val="single" w:color="auto" w:sz="4" w:space="0"/>
              <w:bottom w:val="single" w:color="auto" w:sz="4" w:space="0"/>
              <w:right w:val="single" w:color="auto" w:sz="4" w:space="0"/>
            </w:tcBorders>
            <w:vAlign w:val="center"/>
          </w:tcPr>
          <w:p w14:paraId="49D57004">
            <w:pPr>
              <w:snapToGrid w:val="0"/>
              <w:spacing w:line="400" w:lineRule="exact"/>
              <w:ind w:firstLine="420" w:firstLineChars="200"/>
              <w:rPr>
                <w:rFonts w:hint="eastAsia" w:ascii="宋体" w:hAnsi="宋体"/>
                <w:u w:val="single"/>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ascii="宋体" w:hAnsi="宋体"/>
                <w:u w:val="single"/>
              </w:rPr>
              <w:t>……</w:t>
            </w:r>
          </w:p>
        </w:tc>
      </w:tr>
      <w:tr w14:paraId="22E1F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tcBorders>
              <w:left w:val="single" w:color="auto" w:sz="4" w:space="0"/>
              <w:bottom w:val="single" w:color="auto" w:sz="4" w:space="0"/>
              <w:right w:val="single" w:color="auto" w:sz="4" w:space="0"/>
            </w:tcBorders>
            <w:vAlign w:val="center"/>
          </w:tcPr>
          <w:p w14:paraId="170EE171">
            <w:pPr>
              <w:widowControl/>
              <w:spacing w:line="400" w:lineRule="exact"/>
              <w:jc w:val="center"/>
              <w:rPr>
                <w:rFonts w:hint="eastAsia" w:ascii="宋体" w:hAnsi="宋体"/>
                <w:kern w:val="0"/>
              </w:rPr>
            </w:pPr>
          </w:p>
        </w:tc>
        <w:tc>
          <w:tcPr>
            <w:tcW w:w="1599" w:type="dxa"/>
            <w:vMerge w:val="continue"/>
            <w:tcBorders>
              <w:left w:val="single" w:color="auto" w:sz="4" w:space="0"/>
              <w:bottom w:val="single" w:color="auto" w:sz="4" w:space="0"/>
              <w:right w:val="single" w:color="auto" w:sz="4" w:space="0"/>
            </w:tcBorders>
            <w:vAlign w:val="center"/>
          </w:tcPr>
          <w:p w14:paraId="503BEB93">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095DD14">
            <w:pPr>
              <w:snapToGrid w:val="0"/>
              <w:spacing w:line="400" w:lineRule="exact"/>
              <w:rPr>
                <w:rFonts w:hint="eastAsia" w:ascii="宋体" w:hAnsi="宋体" w:cs="宋体"/>
                <w:kern w:val="0"/>
              </w:rPr>
            </w:pPr>
            <w:r>
              <w:rPr>
                <w:rFonts w:hint="eastAsia" w:ascii="宋体" w:hAnsi="宋体" w:cs="宋体"/>
                <w:kern w:val="0"/>
              </w:rPr>
              <w:t>□项目经理答辩</w:t>
            </w:r>
          </w:p>
        </w:tc>
        <w:tc>
          <w:tcPr>
            <w:tcW w:w="5048" w:type="dxa"/>
            <w:tcBorders>
              <w:top w:val="single" w:color="auto" w:sz="4" w:space="0"/>
              <w:left w:val="single" w:color="auto" w:sz="4" w:space="0"/>
              <w:bottom w:val="single" w:color="auto" w:sz="4" w:space="0"/>
              <w:right w:val="single" w:color="auto" w:sz="4" w:space="0"/>
            </w:tcBorders>
            <w:vAlign w:val="center"/>
          </w:tcPr>
          <w:p w14:paraId="1A0AA6D8">
            <w:pPr>
              <w:snapToGrid w:val="0"/>
              <w:spacing w:line="400" w:lineRule="exact"/>
              <w:ind w:firstLine="420" w:firstLineChars="200"/>
              <w:rPr>
                <w:rFonts w:hint="eastAsia" w:ascii="宋体" w:hAnsi="宋体"/>
              </w:rPr>
            </w:pPr>
            <w:r>
              <w:rPr>
                <w:rFonts w:ascii="宋体" w:hAnsi="宋体"/>
                <w:u w:val="single"/>
              </w:rPr>
              <w:t xml:space="preserve"> </w:t>
            </w:r>
            <w:r>
              <w:rPr>
                <w:rFonts w:hint="eastAsia" w:ascii="宋体" w:hAnsi="宋体"/>
                <w:u w:val="single"/>
              </w:rPr>
              <w:t xml:space="preserve">     </w:t>
            </w:r>
            <w:r>
              <w:rPr>
                <w:rFonts w:ascii="宋体" w:hAnsi="宋体"/>
                <w:u w:val="single"/>
              </w:rPr>
              <w:t xml:space="preserve"> 　</w:t>
            </w:r>
            <w:r>
              <w:rPr>
                <w:rFonts w:ascii="宋体" w:hAnsi="宋体"/>
              </w:rPr>
              <w:t xml:space="preserve">分   </w:t>
            </w:r>
            <w:r>
              <w:rPr>
                <w:rFonts w:hint="eastAsia" w:ascii="宋体" w:hAnsi="宋体"/>
              </w:rPr>
              <w:t>答辩</w:t>
            </w:r>
            <w:r>
              <w:rPr>
                <w:rFonts w:ascii="宋体" w:hAnsi="宋体"/>
              </w:rPr>
              <w:t>要点</w:t>
            </w:r>
            <w:r>
              <w:rPr>
                <w:rFonts w:hint="eastAsia" w:ascii="宋体" w:hAnsi="宋体"/>
              </w:rPr>
              <w:t>：</w:t>
            </w:r>
            <w:r>
              <w:rPr>
                <w:rFonts w:hint="eastAsia" w:ascii="宋体" w:hAnsi="宋体"/>
                <w:u w:val="single"/>
              </w:rPr>
              <w:t xml:space="preserve">    </w:t>
            </w:r>
            <w:r>
              <w:rPr>
                <w:rFonts w:hint="eastAsia" w:ascii="宋体" w:hAnsi="宋体"/>
              </w:rPr>
              <w:t>。答辩过程中不得透露与投标人企业有关的任何信息。</w:t>
            </w:r>
          </w:p>
        </w:tc>
      </w:tr>
      <w:tr w14:paraId="77231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jc w:val="center"/>
        </w:trPr>
        <w:tc>
          <w:tcPr>
            <w:tcW w:w="880" w:type="dxa"/>
            <w:vMerge w:val="restart"/>
            <w:tcBorders>
              <w:left w:val="single" w:color="auto" w:sz="4" w:space="0"/>
              <w:right w:val="single" w:color="auto" w:sz="4" w:space="0"/>
            </w:tcBorders>
            <w:vAlign w:val="center"/>
          </w:tcPr>
          <w:p w14:paraId="430C59D1">
            <w:pPr>
              <w:pStyle w:val="2"/>
              <w:jc w:val="center"/>
              <w:rPr>
                <w:rFonts w:hint="eastAsia" w:ascii="宋体" w:hAnsi="宋体"/>
                <w:kern w:val="0"/>
              </w:rPr>
            </w:pPr>
            <w:r>
              <w:rPr>
                <w:rFonts w:hint="eastAsia" w:ascii="宋体" w:hAnsi="宋体"/>
                <w:kern w:val="0"/>
              </w:rPr>
              <w:t>2.2.2</w:t>
            </w:r>
          </w:p>
          <w:p w14:paraId="1F8191D2">
            <w:pPr>
              <w:pStyle w:val="2"/>
              <w:jc w:val="center"/>
            </w:pPr>
            <w:r>
              <w:rPr>
                <w:rFonts w:hint="eastAsia" w:ascii="宋体" w:hAnsi="宋体"/>
                <w:kern w:val="0"/>
              </w:rPr>
              <w:t>（2）</w:t>
            </w:r>
          </w:p>
        </w:tc>
        <w:tc>
          <w:tcPr>
            <w:tcW w:w="1599" w:type="dxa"/>
            <w:vMerge w:val="restart"/>
            <w:tcBorders>
              <w:left w:val="single" w:color="auto" w:sz="4" w:space="0"/>
              <w:right w:val="single" w:color="auto" w:sz="4" w:space="0"/>
            </w:tcBorders>
            <w:vAlign w:val="center"/>
          </w:tcPr>
          <w:p w14:paraId="510ACBBD">
            <w:pPr>
              <w:widowControl/>
              <w:spacing w:line="400" w:lineRule="exact"/>
              <w:jc w:val="center"/>
              <w:rPr>
                <w:rFonts w:ascii="宋体" w:hAnsi="宋体"/>
                <w:kern w:val="0"/>
              </w:rPr>
            </w:pPr>
            <w:r>
              <w:rPr>
                <w:rFonts w:hint="eastAsia" w:ascii="宋体" w:hAnsi="宋体"/>
                <w:kern w:val="0"/>
              </w:rPr>
              <w:t>商务部分评分标准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6858246">
            <w:pPr>
              <w:snapToGrid w:val="0"/>
              <w:spacing w:line="400" w:lineRule="exact"/>
              <w:jc w:val="left"/>
              <w:rPr>
                <w:rFonts w:hint="eastAsia" w:ascii="宋体" w:hAnsi="宋体" w:cs="宋体"/>
                <w:kern w:val="0"/>
              </w:rPr>
            </w:pPr>
            <w:r>
              <w:rPr>
                <w:rFonts w:hint="eastAsia" w:ascii="宋体" w:hAnsi="宋体" w:cs="宋体"/>
                <w:kern w:val="0"/>
              </w:rPr>
              <w:t>□</w:t>
            </w:r>
            <w:r>
              <w:rPr>
                <w:rFonts w:hint="eastAsia" w:ascii="宋体" w:hAnsi="宋体" w:cs="宋体"/>
                <w:kern w:val="0"/>
                <w:szCs w:val="21"/>
                <w:lang w:bidi="ar"/>
              </w:rPr>
              <w:t>主要人员业绩：</w:t>
            </w:r>
            <w:r>
              <w:rPr>
                <w:rFonts w:ascii="宋体" w:hAnsi="宋体"/>
                <w:kern w:val="0"/>
                <w:szCs w:val="21"/>
                <w:u w:val="single"/>
                <w:lang w:bidi="ar"/>
              </w:rPr>
              <w:t xml:space="preserve"> </w:t>
            </w:r>
            <w:r>
              <w:rPr>
                <w:rFonts w:hint="eastAsia" w:ascii="宋体" w:hAnsi="宋体"/>
                <w:kern w:val="0"/>
                <w:szCs w:val="21"/>
                <w:u w:val="single"/>
                <w:lang w:bidi="ar"/>
              </w:rPr>
              <w:t xml:space="preserve">  </w:t>
            </w:r>
            <w:r>
              <w:rPr>
                <w:rFonts w:hint="eastAsia" w:ascii="宋体" w:hAnsi="宋体" w:cs="宋体"/>
                <w:kern w:val="0"/>
                <w:szCs w:val="21"/>
                <w:lang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096A8C3E">
            <w:pPr>
              <w:snapToGrid w:val="0"/>
              <w:spacing w:line="400" w:lineRule="exact"/>
              <w:jc w:val="left"/>
              <w:rPr>
                <w:rFonts w:hint="eastAsia"/>
                <w:u w:val="single"/>
              </w:rPr>
            </w:pPr>
            <w:r>
              <w:rPr>
                <w:rFonts w:hint="eastAsia" w:ascii="宋体" w:hAnsi="宋体" w:cs="宋体"/>
                <w:kern w:val="0"/>
              </w:rPr>
              <w:t>□</w:t>
            </w:r>
            <w:r>
              <w:rPr>
                <w:rFonts w:hint="eastAsia"/>
              </w:rPr>
              <w:t>项目经理业绩：</w:t>
            </w:r>
            <w:r>
              <w:rPr>
                <w:rFonts w:hint="eastAsia"/>
                <w:u w:val="single"/>
              </w:rPr>
              <w:t xml:space="preserve">        </w:t>
            </w:r>
          </w:p>
          <w:p w14:paraId="0E702C6D">
            <w:pPr>
              <w:widowControl/>
              <w:spacing w:line="400" w:lineRule="exact"/>
              <w:jc w:val="left"/>
              <w:rPr>
                <w:rFonts w:hint="eastAsia"/>
                <w:u w:val="single"/>
              </w:rPr>
            </w:pPr>
            <w:r>
              <w:rPr>
                <w:rFonts w:hint="eastAsia" w:ascii="宋体" w:hAnsi="宋体" w:cs="宋体"/>
                <w:kern w:val="0"/>
              </w:rPr>
              <w:t>□</w:t>
            </w:r>
            <w:r>
              <w:rPr>
                <w:rFonts w:hint="eastAsia"/>
              </w:rPr>
              <w:t>项目总工业绩：</w:t>
            </w:r>
            <w:r>
              <w:rPr>
                <w:rFonts w:hint="eastAsia"/>
                <w:u w:val="single"/>
              </w:rPr>
              <w:t xml:space="preserve">        </w:t>
            </w:r>
          </w:p>
          <w:p w14:paraId="072E5E36">
            <w:pPr>
              <w:widowControl/>
              <w:spacing w:line="400" w:lineRule="exact"/>
              <w:jc w:val="left"/>
            </w:pPr>
            <w:r>
              <w:rPr>
                <w:rFonts w:hint="eastAsia" w:ascii="宋体" w:hAnsi="宋体"/>
                <w:i/>
                <w:kern w:val="0"/>
                <w:szCs w:val="21"/>
              </w:rPr>
              <w:t>[提示：投标人须知前附表1.4.1条未设置相应人员业绩资格条件的可在此设置业绩评分；]</w:t>
            </w:r>
          </w:p>
        </w:tc>
      </w:tr>
      <w:tr w14:paraId="267C8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38F53F5C">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3B180D70">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4126765E">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单位业绩：</w:t>
            </w:r>
            <w:r>
              <w:rPr>
                <w:rFonts w:ascii="宋体" w:hAnsi="宋体"/>
                <w:kern w:val="0"/>
                <w:szCs w:val="21"/>
                <w:u w:val="single"/>
                <w:lang w:bidi="ar"/>
              </w:rPr>
              <w:t xml:space="preserve"> </w:t>
            </w:r>
            <w:r>
              <w:rPr>
                <w:rFonts w:hint="eastAsia" w:ascii="宋体" w:hAnsi="宋体"/>
                <w:kern w:val="0"/>
                <w:szCs w:val="21"/>
                <w:u w:val="single"/>
                <w:lang w:bidi="ar"/>
              </w:rPr>
              <w:t xml:space="preserve">   </w:t>
            </w:r>
            <w:r>
              <w:rPr>
                <w:rFonts w:hint="eastAsia" w:ascii="宋体" w:hAnsi="宋体" w:cs="宋体"/>
                <w:kern w:val="0"/>
                <w:szCs w:val="21"/>
                <w:lang w:bidi="ar"/>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601DB44C">
            <w:pPr>
              <w:snapToGrid w:val="0"/>
              <w:spacing w:line="400" w:lineRule="exact"/>
              <w:ind w:firstLine="420" w:firstLineChars="200"/>
              <w:jc w:val="left"/>
              <w:rPr>
                <w:rFonts w:ascii="宋体" w:hAnsi="宋体"/>
                <w:i/>
              </w:rPr>
            </w:pPr>
            <w:r>
              <w:rPr>
                <w:rFonts w:hint="eastAsia" w:ascii="宋体" w:hAnsi="宋体"/>
                <w:iCs/>
                <w:kern w:val="0"/>
                <w:szCs w:val="21"/>
                <w:u w:val="single"/>
              </w:rPr>
              <w:t>在满足投标人须知前附表1.4.1条第3款资格条件的基础上，按照投标人须知前附表1.4.1条第3款的业绩要求每增加1个业绩，得</w:t>
            </w:r>
            <w:r>
              <w:rPr>
                <w:rFonts w:ascii="宋体" w:hAnsi="宋体"/>
                <w:kern w:val="0"/>
                <w:szCs w:val="21"/>
                <w:u w:val="single"/>
                <w:lang w:bidi="ar"/>
              </w:rPr>
              <w:t xml:space="preserve"> </w:t>
            </w:r>
            <w:r>
              <w:rPr>
                <w:rFonts w:hint="eastAsia" w:ascii="宋体" w:hAnsi="宋体"/>
                <w:kern w:val="0"/>
                <w:szCs w:val="21"/>
                <w:u w:val="single"/>
                <w:lang w:bidi="ar"/>
              </w:rPr>
              <w:t xml:space="preserve">   </w:t>
            </w:r>
            <w:r>
              <w:rPr>
                <w:rFonts w:hint="eastAsia" w:ascii="宋体" w:hAnsi="宋体" w:cs="宋体"/>
                <w:kern w:val="0"/>
                <w:szCs w:val="21"/>
                <w:u w:val="single"/>
                <w:lang w:bidi="ar"/>
              </w:rPr>
              <w:t>分，最多得</w:t>
            </w:r>
            <w:r>
              <w:rPr>
                <w:rFonts w:ascii="宋体" w:hAnsi="宋体"/>
                <w:kern w:val="0"/>
                <w:szCs w:val="21"/>
                <w:u w:val="single"/>
                <w:lang w:bidi="ar"/>
              </w:rPr>
              <w:t xml:space="preserve"> </w:t>
            </w:r>
            <w:r>
              <w:rPr>
                <w:rFonts w:hint="eastAsia" w:ascii="宋体" w:hAnsi="宋体"/>
                <w:kern w:val="0"/>
                <w:szCs w:val="21"/>
                <w:u w:val="single"/>
                <w:lang w:bidi="ar"/>
              </w:rPr>
              <w:t xml:space="preserve">   </w:t>
            </w:r>
            <w:r>
              <w:rPr>
                <w:rFonts w:hint="eastAsia" w:ascii="宋体" w:hAnsi="宋体" w:cs="宋体"/>
                <w:kern w:val="0"/>
                <w:szCs w:val="21"/>
                <w:u w:val="single"/>
                <w:lang w:bidi="ar"/>
              </w:rPr>
              <w:t>分。</w:t>
            </w:r>
          </w:p>
        </w:tc>
      </w:tr>
      <w:tr w14:paraId="54938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0DA2044D">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7D45BD19">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15F5EE0">
            <w:pPr>
              <w:snapToGrid w:val="0"/>
              <w:spacing w:line="400" w:lineRule="exact"/>
              <w:jc w:val="left"/>
              <w:rPr>
                <w:rFonts w:hint="eastAsia" w:ascii="宋体" w:hAnsi="宋体" w:cs="宋体"/>
                <w:kern w:val="0"/>
                <w:szCs w:val="21"/>
                <w:lang w:bidi="ar"/>
              </w:rPr>
            </w:pPr>
            <w:r>
              <w:rPr>
                <w:rFonts w:hint="eastAsia" w:ascii="宋体" w:hAnsi="宋体" w:cs="宋体"/>
                <w:kern w:val="0"/>
              </w:rPr>
              <w:t>□</w:t>
            </w:r>
            <w:r>
              <w:rPr>
                <w:rFonts w:ascii="宋体" w:hAnsi="宋体" w:cs="宋体"/>
                <w:kern w:val="0"/>
              </w:rPr>
              <w:t>……</w:t>
            </w:r>
            <w:r>
              <w:rPr>
                <w:rFonts w:hint="eastAsia" w:ascii="宋体" w:hAnsi="宋体"/>
              </w:rPr>
              <w:t xml:space="preserve">： </w:t>
            </w:r>
            <w:r>
              <w:rPr>
                <w:rFonts w:hint="eastAsia" w:ascii="宋体" w:hAnsi="宋体"/>
                <w:u w:val="single"/>
              </w:rPr>
              <w:t xml:space="preserve">  </w:t>
            </w:r>
            <w:r>
              <w:rPr>
                <w:rFonts w:ascii="宋体" w:hAnsi="宋体"/>
                <w:u w:val="single"/>
              </w:rPr>
              <w:t xml:space="preserve"> 　</w:t>
            </w:r>
            <w:r>
              <w:rPr>
                <w:rFonts w:ascii="宋体" w:hAnsi="宋体"/>
              </w:rPr>
              <w:t>分</w:t>
            </w:r>
          </w:p>
        </w:tc>
        <w:tc>
          <w:tcPr>
            <w:tcW w:w="5048" w:type="dxa"/>
            <w:tcBorders>
              <w:top w:val="single" w:color="auto" w:sz="4" w:space="0"/>
              <w:left w:val="single" w:color="auto" w:sz="4" w:space="0"/>
              <w:bottom w:val="single" w:color="auto" w:sz="4" w:space="0"/>
              <w:right w:val="single" w:color="auto" w:sz="4" w:space="0"/>
            </w:tcBorders>
            <w:vAlign w:val="center"/>
          </w:tcPr>
          <w:p w14:paraId="50F5B1C0">
            <w:pPr>
              <w:snapToGrid w:val="0"/>
              <w:spacing w:line="400" w:lineRule="exact"/>
              <w:ind w:firstLine="420" w:firstLineChars="200"/>
              <w:jc w:val="left"/>
              <w:rPr>
                <w:rFonts w:hint="eastAsia" w:ascii="宋体" w:hAnsi="宋体"/>
                <w:iCs/>
                <w:kern w:val="0"/>
                <w:szCs w:val="21"/>
                <w:u w:val="single"/>
              </w:rPr>
            </w:pPr>
            <w:r>
              <w:rPr>
                <w:rFonts w:ascii="宋体" w:hAnsi="宋体"/>
                <w:u w:val="single"/>
              </w:rPr>
              <w:t>……</w:t>
            </w:r>
          </w:p>
        </w:tc>
      </w:tr>
      <w:tr w14:paraId="3591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restart"/>
            <w:tcBorders>
              <w:left w:val="single" w:color="auto" w:sz="4" w:space="0"/>
              <w:right w:val="single" w:color="auto" w:sz="4" w:space="0"/>
            </w:tcBorders>
            <w:vAlign w:val="center"/>
          </w:tcPr>
          <w:p w14:paraId="5A89018D">
            <w:pPr>
              <w:widowControl/>
              <w:spacing w:line="400" w:lineRule="exact"/>
              <w:jc w:val="center"/>
              <w:rPr>
                <w:rFonts w:hint="eastAsia" w:ascii="宋体" w:hAnsi="宋体"/>
                <w:kern w:val="0"/>
              </w:rPr>
            </w:pPr>
            <w:r>
              <w:rPr>
                <w:rFonts w:hint="eastAsia" w:ascii="宋体" w:hAnsi="宋体"/>
                <w:kern w:val="0"/>
              </w:rPr>
              <w:t>2.2.2</w:t>
            </w:r>
          </w:p>
          <w:p w14:paraId="552BE2BD">
            <w:pPr>
              <w:pStyle w:val="2"/>
              <w:jc w:val="center"/>
            </w:pPr>
            <w:r>
              <w:rPr>
                <w:rFonts w:hint="eastAsia" w:ascii="宋体" w:hAnsi="宋体"/>
              </w:rPr>
              <w:t>（3）</w:t>
            </w:r>
          </w:p>
        </w:tc>
        <w:tc>
          <w:tcPr>
            <w:tcW w:w="1599" w:type="dxa"/>
            <w:vMerge w:val="restart"/>
            <w:tcBorders>
              <w:left w:val="single" w:color="auto" w:sz="4" w:space="0"/>
              <w:right w:val="single" w:color="auto" w:sz="4" w:space="0"/>
            </w:tcBorders>
            <w:vAlign w:val="center"/>
          </w:tcPr>
          <w:p w14:paraId="2CA0C88E">
            <w:pPr>
              <w:widowControl/>
              <w:spacing w:line="400" w:lineRule="exact"/>
              <w:jc w:val="center"/>
              <w:rPr>
                <w:rFonts w:hint="eastAsia" w:ascii="宋体" w:hAnsi="宋体"/>
                <w:kern w:val="0"/>
              </w:rPr>
            </w:pPr>
            <w:r>
              <w:rPr>
                <w:rFonts w:hint="eastAsia" w:ascii="宋体" w:hAnsi="宋体"/>
                <w:kern w:val="0"/>
              </w:rPr>
              <w:t>投标函部分及经济部分评审标准</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D610113">
            <w:pPr>
              <w:snapToGrid w:val="0"/>
              <w:spacing w:line="400" w:lineRule="exact"/>
              <w:jc w:val="left"/>
              <w:rPr>
                <w:rFonts w:hint="eastAsia" w:ascii="宋体" w:hAnsi="宋体" w:cs="宋体"/>
                <w:kern w:val="0"/>
                <w:szCs w:val="21"/>
                <w:lang w:bidi="ar"/>
              </w:rPr>
            </w:pPr>
            <w:r>
              <w:rPr>
                <w:rFonts w:hint="eastAsia" w:ascii="宋体" w:hAnsi="宋体" w:cs="宋体"/>
                <w:kern w:val="0"/>
              </w:rPr>
              <w:t>投标函部分的签名盖章</w:t>
            </w:r>
          </w:p>
        </w:tc>
        <w:tc>
          <w:tcPr>
            <w:tcW w:w="5048" w:type="dxa"/>
            <w:tcBorders>
              <w:top w:val="single" w:color="auto" w:sz="4" w:space="0"/>
              <w:left w:val="single" w:color="auto" w:sz="4" w:space="0"/>
              <w:bottom w:val="single" w:color="auto" w:sz="4" w:space="0"/>
              <w:right w:val="single" w:color="auto" w:sz="4" w:space="0"/>
            </w:tcBorders>
            <w:vAlign w:val="center"/>
          </w:tcPr>
          <w:p w14:paraId="286A11E2">
            <w:pPr>
              <w:snapToGrid w:val="0"/>
              <w:spacing w:after="31" w:afterLines="10" w:line="400" w:lineRule="exact"/>
              <w:ind w:firstLine="420" w:firstLineChars="200"/>
              <w:rPr>
                <w:rFonts w:hint="eastAsia" w:ascii="宋体" w:hAnsi="宋体" w:cs="宋体"/>
                <w:kern w:val="0"/>
              </w:rPr>
            </w:pP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p>
          <w:p w14:paraId="077BEA28">
            <w:pPr>
              <w:snapToGrid w:val="0"/>
              <w:spacing w:after="31" w:afterLines="10" w:line="400" w:lineRule="exact"/>
              <w:ind w:firstLine="420" w:firstLineChars="200"/>
              <w:rPr>
                <w:rFonts w:hint="eastAsia" w:ascii="宋体" w:hAnsi="宋体"/>
                <w:u w:val="single"/>
              </w:rPr>
            </w:pPr>
            <w:r>
              <w:rPr>
                <w:rFonts w:hint="eastAsia" w:ascii="宋体" w:hAnsi="宋体" w:cs="宋体"/>
                <w:kern w:val="0"/>
              </w:rPr>
              <w:t>联合体投标的，投标函部分的格式中要求投标人加盖单位法人章的，均由联合体牵头人使用 CA 数字证书加盖其单位电子印章。</w:t>
            </w:r>
          </w:p>
        </w:tc>
      </w:tr>
      <w:tr w14:paraId="00F1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4BEC21BE">
            <w:pPr>
              <w:widowControl/>
              <w:spacing w:line="400" w:lineRule="exact"/>
              <w:jc w:val="center"/>
              <w:rPr>
                <w:rFonts w:hint="eastAsia" w:ascii="宋体" w:hAnsi="宋体"/>
                <w:kern w:val="0"/>
              </w:rPr>
            </w:pPr>
          </w:p>
        </w:tc>
        <w:tc>
          <w:tcPr>
            <w:tcW w:w="1599" w:type="dxa"/>
            <w:vMerge w:val="continue"/>
            <w:vAlign w:val="center"/>
          </w:tcPr>
          <w:p w14:paraId="10570B9C">
            <w:pPr>
              <w:widowControl/>
              <w:spacing w:line="400" w:lineRule="exact"/>
              <w:jc w:val="center"/>
              <w:rPr>
                <w:rFonts w:hint="eastAsia" w:ascii="宋体" w:hAnsi="宋体"/>
                <w:kern w:val="0"/>
              </w:rPr>
            </w:pPr>
          </w:p>
        </w:tc>
        <w:tc>
          <w:tcPr>
            <w:tcW w:w="2355" w:type="dxa"/>
            <w:gridSpan w:val="2"/>
            <w:vAlign w:val="center"/>
          </w:tcPr>
          <w:p w14:paraId="5EBCEC4F">
            <w:pPr>
              <w:snapToGrid w:val="0"/>
              <w:spacing w:line="400" w:lineRule="exact"/>
              <w:jc w:val="left"/>
              <w:rPr>
                <w:rFonts w:hint="eastAsia" w:ascii="宋体" w:hAnsi="宋体" w:cs="宋体"/>
                <w:kern w:val="0"/>
                <w:szCs w:val="21"/>
                <w:lang w:bidi="ar"/>
              </w:rPr>
            </w:pPr>
            <w:r>
              <w:rPr>
                <w:rFonts w:hint="eastAsia" w:ascii="宋体" w:hAnsi="宋体" w:cs="宋体"/>
                <w:kern w:val="0"/>
              </w:rPr>
              <w:t>工期</w:t>
            </w:r>
          </w:p>
        </w:tc>
        <w:tc>
          <w:tcPr>
            <w:tcW w:w="5048" w:type="dxa"/>
            <w:vAlign w:val="center"/>
          </w:tcPr>
          <w:p w14:paraId="0AE12CD9">
            <w:pPr>
              <w:snapToGrid w:val="0"/>
              <w:spacing w:after="31" w:afterLines="10" w:line="400" w:lineRule="exact"/>
              <w:ind w:firstLine="420" w:firstLineChars="200"/>
              <w:rPr>
                <w:rFonts w:hint="eastAsia" w:ascii="宋体" w:hAnsi="宋体"/>
              </w:rPr>
            </w:pPr>
            <w:r>
              <w:rPr>
                <w:rFonts w:hint="eastAsia" w:ascii="宋体" w:hAnsi="宋体" w:cs="宋体"/>
                <w:kern w:val="0"/>
              </w:rPr>
              <w:t>符合第二章“投标人须知”第1.3.2项规定</w:t>
            </w:r>
          </w:p>
        </w:tc>
      </w:tr>
      <w:tr w14:paraId="45758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14C1118C">
            <w:pPr>
              <w:widowControl/>
              <w:spacing w:line="400" w:lineRule="exact"/>
              <w:jc w:val="center"/>
              <w:rPr>
                <w:rFonts w:hint="eastAsia" w:ascii="宋体" w:hAnsi="宋体"/>
                <w:kern w:val="0"/>
              </w:rPr>
            </w:pPr>
          </w:p>
        </w:tc>
        <w:tc>
          <w:tcPr>
            <w:tcW w:w="1599" w:type="dxa"/>
            <w:vMerge w:val="continue"/>
            <w:vAlign w:val="center"/>
          </w:tcPr>
          <w:p w14:paraId="0157E823">
            <w:pPr>
              <w:widowControl/>
              <w:spacing w:line="400" w:lineRule="exact"/>
              <w:jc w:val="center"/>
              <w:rPr>
                <w:rFonts w:hint="eastAsia" w:ascii="宋体" w:hAnsi="宋体"/>
                <w:kern w:val="0"/>
              </w:rPr>
            </w:pPr>
          </w:p>
        </w:tc>
        <w:tc>
          <w:tcPr>
            <w:tcW w:w="2355" w:type="dxa"/>
            <w:gridSpan w:val="2"/>
            <w:vAlign w:val="center"/>
          </w:tcPr>
          <w:p w14:paraId="4DBA7489">
            <w:pPr>
              <w:snapToGrid w:val="0"/>
              <w:spacing w:line="400" w:lineRule="exact"/>
              <w:jc w:val="left"/>
              <w:rPr>
                <w:rFonts w:hint="eastAsia" w:ascii="宋体" w:hAnsi="宋体" w:cs="宋体"/>
                <w:kern w:val="0"/>
                <w:szCs w:val="21"/>
                <w:lang w:bidi="ar"/>
              </w:rPr>
            </w:pPr>
            <w:r>
              <w:rPr>
                <w:rFonts w:hint="eastAsia" w:ascii="宋体" w:hAnsi="宋体" w:cs="宋体"/>
                <w:kern w:val="0"/>
              </w:rPr>
              <w:t>工程质量</w:t>
            </w:r>
          </w:p>
        </w:tc>
        <w:tc>
          <w:tcPr>
            <w:tcW w:w="5048" w:type="dxa"/>
            <w:vAlign w:val="center"/>
          </w:tcPr>
          <w:p w14:paraId="705D4A4A">
            <w:pPr>
              <w:snapToGrid w:val="0"/>
              <w:spacing w:after="31" w:afterLines="10" w:line="400" w:lineRule="exact"/>
              <w:ind w:firstLine="420" w:firstLineChars="200"/>
              <w:rPr>
                <w:rFonts w:hint="eastAsia" w:ascii="宋体" w:hAnsi="宋体"/>
              </w:rPr>
            </w:pPr>
            <w:r>
              <w:rPr>
                <w:rFonts w:hint="eastAsia" w:ascii="宋体" w:hAnsi="宋体" w:cs="宋体"/>
                <w:kern w:val="0"/>
              </w:rPr>
              <w:t>符合第二章“投标人须知”第1.3.3项规定</w:t>
            </w:r>
          </w:p>
        </w:tc>
      </w:tr>
      <w:tr w14:paraId="1D1D4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1C8A21A6">
            <w:pPr>
              <w:widowControl/>
              <w:spacing w:line="400" w:lineRule="exact"/>
              <w:jc w:val="center"/>
              <w:rPr>
                <w:rFonts w:hint="eastAsia" w:ascii="宋体" w:hAnsi="宋体"/>
                <w:kern w:val="0"/>
              </w:rPr>
            </w:pPr>
          </w:p>
        </w:tc>
        <w:tc>
          <w:tcPr>
            <w:tcW w:w="1599" w:type="dxa"/>
            <w:vMerge w:val="continue"/>
            <w:vAlign w:val="center"/>
          </w:tcPr>
          <w:p w14:paraId="2ADAE528">
            <w:pPr>
              <w:widowControl/>
              <w:spacing w:line="400" w:lineRule="exact"/>
              <w:jc w:val="center"/>
              <w:rPr>
                <w:rFonts w:hint="eastAsia" w:ascii="宋体" w:hAnsi="宋体"/>
                <w:kern w:val="0"/>
              </w:rPr>
            </w:pPr>
          </w:p>
        </w:tc>
        <w:tc>
          <w:tcPr>
            <w:tcW w:w="2355" w:type="dxa"/>
            <w:gridSpan w:val="2"/>
            <w:vAlign w:val="center"/>
          </w:tcPr>
          <w:p w14:paraId="78E98D84">
            <w:pPr>
              <w:snapToGrid w:val="0"/>
              <w:spacing w:line="400" w:lineRule="exact"/>
              <w:jc w:val="left"/>
              <w:rPr>
                <w:rFonts w:hint="eastAsia" w:ascii="宋体" w:hAnsi="宋体" w:cs="宋体"/>
                <w:kern w:val="0"/>
                <w:szCs w:val="21"/>
                <w:lang w:bidi="ar"/>
              </w:rPr>
            </w:pPr>
            <w:r>
              <w:rPr>
                <w:rFonts w:hint="eastAsia" w:ascii="宋体" w:hAnsi="宋体" w:cs="宋体"/>
                <w:kern w:val="0"/>
              </w:rPr>
              <w:t>投标有效期</w:t>
            </w:r>
          </w:p>
        </w:tc>
        <w:tc>
          <w:tcPr>
            <w:tcW w:w="5048" w:type="dxa"/>
            <w:vAlign w:val="center"/>
          </w:tcPr>
          <w:p w14:paraId="2EAEA66F">
            <w:pPr>
              <w:snapToGrid w:val="0"/>
              <w:spacing w:after="31" w:afterLines="10" w:line="400" w:lineRule="exact"/>
              <w:ind w:firstLine="420" w:firstLineChars="200"/>
              <w:rPr>
                <w:rFonts w:hint="eastAsia" w:ascii="宋体" w:hAnsi="宋体"/>
              </w:rPr>
            </w:pPr>
            <w:r>
              <w:rPr>
                <w:rFonts w:hint="eastAsia" w:ascii="宋体" w:hAnsi="宋体" w:cs="宋体"/>
                <w:kern w:val="0"/>
              </w:rPr>
              <w:t>符合第二章“投标人须知”第3.3.1项规定</w:t>
            </w:r>
          </w:p>
        </w:tc>
      </w:tr>
      <w:tr w14:paraId="3FE0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D1F9ACE">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48D34890">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5BE0F82">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投标总报价</w:t>
            </w:r>
          </w:p>
        </w:tc>
        <w:tc>
          <w:tcPr>
            <w:tcW w:w="5048" w:type="dxa"/>
            <w:tcBorders>
              <w:top w:val="single" w:color="auto" w:sz="4" w:space="0"/>
              <w:left w:val="single" w:color="auto" w:sz="4" w:space="0"/>
              <w:bottom w:val="single" w:color="auto" w:sz="4" w:space="0"/>
              <w:right w:val="single" w:color="auto" w:sz="4" w:space="0"/>
            </w:tcBorders>
            <w:vAlign w:val="center"/>
          </w:tcPr>
          <w:p w14:paraId="4C40B43C">
            <w:pPr>
              <w:snapToGrid w:val="0"/>
              <w:spacing w:line="400" w:lineRule="exact"/>
              <w:ind w:firstLine="420" w:firstLineChars="200"/>
              <w:jc w:val="left"/>
              <w:rPr>
                <w:rFonts w:hint="eastAsia" w:ascii="宋体" w:hAnsi="宋体"/>
                <w:u w:val="single"/>
              </w:rPr>
            </w:pPr>
            <w:r>
              <w:rPr>
                <w:rFonts w:hint="eastAsia" w:ascii="宋体" w:hAnsi="宋体"/>
              </w:rPr>
              <w:t>投标总报价不得高于招标人公布的投标总报价最高限价。</w:t>
            </w:r>
          </w:p>
        </w:tc>
      </w:tr>
      <w:tr w14:paraId="14752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vAlign w:val="center"/>
          </w:tcPr>
          <w:p w14:paraId="132B297B">
            <w:pPr>
              <w:widowControl/>
              <w:spacing w:line="400" w:lineRule="exact"/>
              <w:jc w:val="center"/>
              <w:rPr>
                <w:rFonts w:hint="eastAsia" w:ascii="宋体" w:hAnsi="宋体"/>
                <w:kern w:val="0"/>
              </w:rPr>
            </w:pPr>
          </w:p>
        </w:tc>
        <w:tc>
          <w:tcPr>
            <w:tcW w:w="1599" w:type="dxa"/>
            <w:vMerge w:val="continue"/>
            <w:vAlign w:val="center"/>
          </w:tcPr>
          <w:p w14:paraId="35EC3D76">
            <w:pPr>
              <w:widowControl/>
              <w:spacing w:line="400" w:lineRule="exact"/>
              <w:jc w:val="center"/>
              <w:rPr>
                <w:rFonts w:hint="eastAsia" w:ascii="宋体" w:hAnsi="宋体"/>
                <w:kern w:val="0"/>
              </w:rPr>
            </w:pPr>
          </w:p>
        </w:tc>
        <w:tc>
          <w:tcPr>
            <w:tcW w:w="2355" w:type="dxa"/>
            <w:gridSpan w:val="2"/>
            <w:vAlign w:val="center"/>
          </w:tcPr>
          <w:p w14:paraId="03CA17B9">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报价唯一</w:t>
            </w:r>
          </w:p>
        </w:tc>
        <w:tc>
          <w:tcPr>
            <w:tcW w:w="5048" w:type="dxa"/>
            <w:vAlign w:val="center"/>
          </w:tcPr>
          <w:p w14:paraId="27B01066">
            <w:pPr>
              <w:snapToGrid w:val="0"/>
              <w:spacing w:line="400" w:lineRule="exact"/>
              <w:ind w:firstLine="420" w:firstLineChars="200"/>
              <w:jc w:val="left"/>
              <w:rPr>
                <w:rFonts w:hint="eastAsia" w:ascii="宋体" w:hAnsi="宋体"/>
              </w:rPr>
            </w:pPr>
            <w:r>
              <w:rPr>
                <w:rFonts w:hint="eastAsia" w:ascii="宋体" w:hAnsi="宋体"/>
              </w:rPr>
              <w:t>只能有一个有效报价，在招标文件没有规定的情况下，不得提交选择性报价。</w:t>
            </w:r>
          </w:p>
        </w:tc>
      </w:tr>
      <w:tr w14:paraId="1D4C8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77353926">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62FFF956">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01768A4E">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已标价工程量清单</w:t>
            </w:r>
          </w:p>
        </w:tc>
        <w:tc>
          <w:tcPr>
            <w:tcW w:w="5048" w:type="dxa"/>
            <w:tcBorders>
              <w:top w:val="single" w:color="auto" w:sz="4" w:space="0"/>
              <w:left w:val="single" w:color="auto" w:sz="4" w:space="0"/>
              <w:bottom w:val="single" w:color="auto" w:sz="4" w:space="0"/>
              <w:right w:val="single" w:color="auto" w:sz="4" w:space="0"/>
            </w:tcBorders>
            <w:vAlign w:val="center"/>
          </w:tcPr>
          <w:p w14:paraId="53E24714">
            <w:pPr>
              <w:snapToGrid w:val="0"/>
              <w:spacing w:line="400" w:lineRule="exact"/>
              <w:ind w:firstLine="420" w:firstLineChars="200"/>
              <w:jc w:val="left"/>
              <w:rPr>
                <w:rFonts w:hint="eastAsia" w:ascii="宋体" w:hAnsi="宋体"/>
              </w:rPr>
            </w:pPr>
            <w:r>
              <w:rPr>
                <w:rFonts w:hint="eastAsia" w:ascii="宋体" w:hAnsi="宋体"/>
              </w:rPr>
              <w:t>投标人承诺满足以下内容：</w:t>
            </w:r>
          </w:p>
          <w:p w14:paraId="6EE7CC21">
            <w:pPr>
              <w:snapToGrid w:val="0"/>
              <w:spacing w:line="400" w:lineRule="exact"/>
              <w:ind w:firstLine="420" w:firstLineChars="200"/>
              <w:jc w:val="left"/>
              <w:rPr>
                <w:rFonts w:hint="eastAsia" w:ascii="宋体" w:hAnsi="宋体"/>
              </w:rPr>
            </w:pPr>
            <w:r>
              <w:rPr>
                <w:rFonts w:hint="eastAsia" w:ascii="宋体" w:hAnsi="宋体"/>
              </w:rPr>
              <w:t>1.按照第五章“工程量清单”、第八章“工程量清单计量规则”的规定进行报价。</w:t>
            </w:r>
          </w:p>
          <w:p w14:paraId="7364C9C7">
            <w:pPr>
              <w:snapToGrid w:val="0"/>
              <w:spacing w:line="400" w:lineRule="exact"/>
              <w:ind w:firstLine="420" w:firstLineChars="200"/>
              <w:jc w:val="left"/>
              <w:rPr>
                <w:rFonts w:hint="eastAsia" w:ascii="宋体" w:hAnsi="宋体"/>
              </w:rPr>
            </w:pPr>
            <w:r>
              <w:rPr>
                <w:rFonts w:hint="eastAsia" w:ascii="宋体" w:hAnsi="宋体"/>
              </w:rPr>
              <w:t>2.招标文件中规定工程量清单不允许修改的内容不得修改。</w:t>
            </w:r>
          </w:p>
          <w:p w14:paraId="00C13ACC">
            <w:pPr>
              <w:snapToGrid w:val="0"/>
              <w:spacing w:line="400" w:lineRule="exact"/>
              <w:ind w:firstLine="420" w:firstLineChars="200"/>
              <w:jc w:val="left"/>
              <w:rPr>
                <w:rFonts w:hint="eastAsia" w:ascii="宋体" w:hAnsi="宋体"/>
              </w:rPr>
            </w:pPr>
            <w:r>
              <w:rPr>
                <w:rFonts w:hint="eastAsia" w:ascii="宋体" w:hAnsi="宋体"/>
              </w:rPr>
              <w:t>3.投标总报价不高于招标人公布的投标总报价最高限价。</w:t>
            </w:r>
          </w:p>
          <w:p w14:paraId="1E2FBC19">
            <w:pPr>
              <w:snapToGrid w:val="0"/>
              <w:spacing w:line="400" w:lineRule="exact"/>
              <w:ind w:firstLine="420" w:firstLineChars="200"/>
              <w:jc w:val="left"/>
              <w:rPr>
                <w:rFonts w:hint="eastAsia" w:ascii="宋体" w:hAnsi="宋体"/>
              </w:rPr>
            </w:pPr>
            <w:r>
              <w:rPr>
                <w:rFonts w:hint="eastAsia" w:ascii="宋体" w:hAnsi="宋体"/>
              </w:rPr>
              <w:t>4.各清单子目单价不高于招标人公布的各清单子目单价最高限价的。</w:t>
            </w:r>
          </w:p>
          <w:p w14:paraId="532A46A2">
            <w:pPr>
              <w:snapToGrid w:val="0"/>
              <w:spacing w:line="400" w:lineRule="exact"/>
              <w:ind w:firstLine="420" w:firstLineChars="200"/>
              <w:jc w:val="left"/>
              <w:rPr>
                <w:rFonts w:hint="eastAsia" w:ascii="宋体" w:hAnsi="宋体"/>
              </w:rPr>
            </w:pPr>
            <w:r>
              <w:rPr>
                <w:rFonts w:hint="eastAsia" w:ascii="宋体" w:hAnsi="宋体"/>
              </w:rPr>
              <w:t>5.若出现差错，按招标文件第二章投标人须知前附表第3.2.9项规定的原则进行处理（或结算）。</w:t>
            </w:r>
          </w:p>
        </w:tc>
      </w:tr>
      <w:tr w14:paraId="5ECC2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vMerge w:val="continue"/>
            <w:tcBorders>
              <w:left w:val="single" w:color="auto" w:sz="4" w:space="0"/>
              <w:right w:val="single" w:color="auto" w:sz="4" w:space="0"/>
            </w:tcBorders>
            <w:vAlign w:val="center"/>
          </w:tcPr>
          <w:p w14:paraId="5A88153F">
            <w:pPr>
              <w:widowControl/>
              <w:spacing w:line="400" w:lineRule="exact"/>
              <w:jc w:val="center"/>
              <w:rPr>
                <w:rFonts w:hint="eastAsia" w:ascii="宋体" w:hAnsi="宋体"/>
                <w:kern w:val="0"/>
              </w:rPr>
            </w:pPr>
          </w:p>
        </w:tc>
        <w:tc>
          <w:tcPr>
            <w:tcW w:w="1599" w:type="dxa"/>
            <w:vMerge w:val="continue"/>
            <w:tcBorders>
              <w:left w:val="single" w:color="auto" w:sz="4" w:space="0"/>
              <w:right w:val="single" w:color="auto" w:sz="4" w:space="0"/>
            </w:tcBorders>
            <w:vAlign w:val="center"/>
          </w:tcPr>
          <w:p w14:paraId="3CBE411E">
            <w:pPr>
              <w:widowControl/>
              <w:spacing w:line="400" w:lineRule="exact"/>
              <w:jc w:val="center"/>
              <w:rPr>
                <w:rFonts w:hint="eastAsia" w:ascii="宋体" w:hAnsi="宋体"/>
                <w:kern w:val="0"/>
              </w:rPr>
            </w:pP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7F23E7F">
            <w:pPr>
              <w:snapToGrid w:val="0"/>
              <w:spacing w:line="400" w:lineRule="exact"/>
              <w:jc w:val="left"/>
              <w:rPr>
                <w:rFonts w:hint="eastAsia" w:ascii="宋体" w:hAnsi="宋体" w:cs="宋体"/>
                <w:kern w:val="0"/>
                <w:szCs w:val="21"/>
                <w:lang w:bidi="ar"/>
              </w:rPr>
            </w:pPr>
            <w:r>
              <w:rPr>
                <w:rFonts w:hint="eastAsia" w:ascii="宋体" w:hAnsi="宋体" w:cs="宋体"/>
                <w:kern w:val="0"/>
                <w:szCs w:val="21"/>
                <w:lang w:bidi="ar"/>
              </w:rPr>
              <w:t>投标报价算术错误修正</w:t>
            </w:r>
          </w:p>
        </w:tc>
        <w:tc>
          <w:tcPr>
            <w:tcW w:w="5048" w:type="dxa"/>
            <w:tcBorders>
              <w:top w:val="single" w:color="auto" w:sz="4" w:space="0"/>
              <w:left w:val="single" w:color="auto" w:sz="4" w:space="0"/>
              <w:bottom w:val="single" w:color="auto" w:sz="4" w:space="0"/>
              <w:right w:val="single" w:color="auto" w:sz="4" w:space="0"/>
            </w:tcBorders>
            <w:vAlign w:val="center"/>
          </w:tcPr>
          <w:p w14:paraId="58B650EB">
            <w:pPr>
              <w:snapToGrid w:val="0"/>
              <w:spacing w:line="400" w:lineRule="exact"/>
              <w:ind w:firstLine="420" w:firstLineChars="200"/>
              <w:jc w:val="left"/>
              <w:rPr>
                <w:rFonts w:hint="eastAsia" w:ascii="宋体" w:hAnsi="宋体"/>
                <w:u w:val="single"/>
              </w:rPr>
            </w:pPr>
            <w:r>
              <w:rPr>
                <w:rFonts w:hint="eastAsia" w:ascii="宋体" w:hAnsi="宋体"/>
              </w:rPr>
              <w:t>符合第三章3.评标程序第3.1.3项规定。</w:t>
            </w:r>
          </w:p>
        </w:tc>
      </w:tr>
      <w:tr w14:paraId="4CC32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0EEB74C4">
            <w:pPr>
              <w:spacing w:line="400" w:lineRule="exact"/>
              <w:jc w:val="center"/>
              <w:rPr>
                <w:rFonts w:hint="eastAsia" w:ascii="宋体" w:hAnsi="宋体"/>
                <w:kern w:val="0"/>
              </w:rPr>
            </w:pPr>
            <w:r>
              <w:rPr>
                <w:rFonts w:ascii="宋体" w:hAnsi="宋体"/>
                <w:kern w:val="0"/>
              </w:rPr>
              <w:t>2.2.</w:t>
            </w:r>
            <w:r>
              <w:rPr>
                <w:rFonts w:hint="eastAsia" w:ascii="宋体" w:hAnsi="宋体"/>
                <w:kern w:val="0"/>
              </w:rPr>
              <w:t>3</w:t>
            </w:r>
          </w:p>
        </w:tc>
        <w:tc>
          <w:tcPr>
            <w:tcW w:w="1599" w:type="dxa"/>
            <w:tcBorders>
              <w:top w:val="single" w:color="auto" w:sz="4" w:space="0"/>
              <w:left w:val="single" w:color="auto" w:sz="4" w:space="0"/>
              <w:bottom w:val="single" w:color="auto" w:sz="4" w:space="0"/>
              <w:right w:val="single" w:color="auto" w:sz="4" w:space="0"/>
            </w:tcBorders>
            <w:vAlign w:val="center"/>
          </w:tcPr>
          <w:p w14:paraId="7E2FB9E3">
            <w:pPr>
              <w:snapToGrid w:val="0"/>
              <w:spacing w:line="400" w:lineRule="exact"/>
              <w:jc w:val="left"/>
              <w:rPr>
                <w:rFonts w:ascii="宋体" w:hAnsi="宋体"/>
                <w:b/>
                <w:kern w:val="0"/>
              </w:rPr>
            </w:pPr>
            <w:r>
              <w:rPr>
                <w:rFonts w:hint="eastAsia" w:ascii="宋体" w:hAnsi="宋体"/>
                <w:b/>
                <w:kern w:val="0"/>
              </w:rPr>
              <w:t>□选项一：</w:t>
            </w:r>
          </w:p>
          <w:p w14:paraId="06AD04FE">
            <w:pPr>
              <w:spacing w:line="400" w:lineRule="exact"/>
              <w:jc w:val="center"/>
              <w:rPr>
                <w:rFonts w:hint="eastAsia" w:ascii="宋体" w:hAnsi="宋体" w:cs="宋体"/>
                <w:kern w:val="0"/>
                <w:szCs w:val="21"/>
                <w:lang w:bidi="ar"/>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725BE8E4">
            <w:pPr>
              <w:spacing w:line="400" w:lineRule="exact"/>
              <w:jc w:val="center"/>
              <w:rPr>
                <w:rFonts w:hint="eastAsia" w:ascii="宋体" w:hAnsi="宋体" w:cs="宋体"/>
                <w:kern w:val="0"/>
                <w:szCs w:val="21"/>
                <w:lang w:bidi="ar"/>
              </w:rPr>
            </w:pPr>
            <w:r>
              <w:rPr>
                <w:rFonts w:ascii="宋体" w:hAnsi="宋体"/>
                <w:kern w:val="0"/>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14:paraId="42D5EAD0">
            <w:pPr>
              <w:snapToGrid w:val="0"/>
              <w:spacing w:line="400" w:lineRule="exact"/>
              <w:ind w:firstLine="420" w:firstLineChars="200"/>
              <w:rPr>
                <w:rFonts w:hint="eastAsia" w:ascii="宋体" w:hAnsi="宋体"/>
                <w:i/>
                <w:kern w:val="0"/>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w:t>
            </w:r>
            <w:r>
              <w:rPr>
                <w:rFonts w:hint="eastAsia" w:ascii="宋体" w:hAnsi="宋体"/>
                <w:kern w:val="0"/>
                <w:szCs w:val="21"/>
              </w:rPr>
              <w:t>，即为本项目的投标总报价的评标基准价。</w:t>
            </w:r>
          </w:p>
          <w:p w14:paraId="1C26627C">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p w14:paraId="3F39ED30">
            <w:pPr>
              <w:snapToGrid w:val="0"/>
              <w:spacing w:line="400" w:lineRule="exact"/>
              <w:ind w:firstLine="420" w:firstLineChars="200"/>
              <w:rPr>
                <w:rFonts w:hint="eastAsia" w:ascii="宋体" w:hAnsi="宋体" w:cs="宋体"/>
                <w:kern w:val="0"/>
                <w:szCs w:val="21"/>
                <w:lang w:bidi="ar"/>
              </w:rPr>
            </w:pPr>
            <w:r>
              <w:rPr>
                <w:rFonts w:hint="eastAsia" w:ascii="宋体" w:hAnsi="宋体"/>
                <w:kern w:val="0"/>
                <w:szCs w:val="21"/>
              </w:rPr>
              <w:t>重庆市电子招投标系统按照上述计算方法自动计算评标基准价。</w:t>
            </w:r>
            <w:r>
              <w:rPr>
                <w:rFonts w:ascii="宋体" w:hAnsi="宋体"/>
                <w:kern w:val="0"/>
                <w:szCs w:val="21"/>
              </w:rPr>
              <w:t>在评标基准价计算完成后（除计算错误外），在后续的评审中不得再对其做出调整。</w:t>
            </w:r>
          </w:p>
        </w:tc>
      </w:tr>
      <w:tr w14:paraId="7CCF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7C4A744B">
            <w:pPr>
              <w:spacing w:line="400" w:lineRule="exact"/>
              <w:jc w:val="center"/>
              <w:rPr>
                <w:rFonts w:hint="eastAsia" w:ascii="宋体" w:hAnsi="宋体"/>
                <w:kern w:val="0"/>
              </w:rPr>
            </w:pPr>
            <w:r>
              <w:rPr>
                <w:rFonts w:ascii="宋体" w:hAnsi="宋体"/>
                <w:kern w:val="0"/>
              </w:rPr>
              <w:t>2.2.</w:t>
            </w:r>
            <w:r>
              <w:rPr>
                <w:rFonts w:hint="eastAsia" w:ascii="宋体" w:hAnsi="宋体"/>
                <w:kern w:val="0"/>
              </w:rPr>
              <w:t>3</w:t>
            </w:r>
          </w:p>
        </w:tc>
        <w:tc>
          <w:tcPr>
            <w:tcW w:w="1599" w:type="dxa"/>
            <w:tcBorders>
              <w:top w:val="single" w:color="auto" w:sz="4" w:space="0"/>
              <w:left w:val="single" w:color="auto" w:sz="4" w:space="0"/>
              <w:bottom w:val="single" w:color="auto" w:sz="4" w:space="0"/>
              <w:right w:val="single" w:color="auto" w:sz="4" w:space="0"/>
            </w:tcBorders>
            <w:vAlign w:val="center"/>
          </w:tcPr>
          <w:p w14:paraId="2D3300D1">
            <w:pPr>
              <w:snapToGrid w:val="0"/>
              <w:spacing w:line="400" w:lineRule="exact"/>
              <w:jc w:val="left"/>
              <w:rPr>
                <w:rFonts w:hint="eastAsia" w:ascii="宋体" w:hAnsi="宋体"/>
                <w:b/>
                <w:kern w:val="0"/>
              </w:rPr>
            </w:pPr>
            <w:r>
              <w:rPr>
                <w:rFonts w:hint="eastAsia" w:ascii="宋体" w:hAnsi="宋体"/>
                <w:b/>
                <w:kern w:val="0"/>
              </w:rPr>
              <w:t>□选项二：</w:t>
            </w:r>
          </w:p>
          <w:p w14:paraId="703D93E1">
            <w:pPr>
              <w:spacing w:line="400" w:lineRule="exact"/>
              <w:jc w:val="center"/>
              <w:rPr>
                <w:rFonts w:ascii="宋体" w:hAnsi="宋体"/>
                <w:kern w:val="0"/>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C0F9583">
            <w:pPr>
              <w:spacing w:line="400" w:lineRule="exact"/>
              <w:jc w:val="center"/>
              <w:rPr>
                <w:rFonts w:ascii="宋体" w:hAnsi="宋体"/>
                <w:kern w:val="0"/>
              </w:rPr>
            </w:pPr>
            <w:r>
              <w:rPr>
                <w:rFonts w:ascii="宋体" w:hAnsi="宋体"/>
                <w:kern w:val="0"/>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14:paraId="1D50CFF9">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价中去掉六分之一（不能整除的按小数点前整数取整，不足六家报价则不去掉）的最低价和相同家数的最高价后的算术平均值乘以</w:t>
            </w:r>
            <w:r>
              <w:rPr>
                <w:rFonts w:hint="eastAsia" w:ascii="宋体" w:hAnsi="宋体"/>
                <w:kern w:val="0"/>
                <w:szCs w:val="21"/>
              </w:rPr>
              <w:t>（1-</w:t>
            </w:r>
            <w:r>
              <w:rPr>
                <w:rFonts w:ascii="宋体" w:hAnsi="宋体"/>
                <w:kern w:val="0"/>
                <w:szCs w:val="21"/>
              </w:rPr>
              <w:t>本项目评标基准价浮动值N</w:t>
            </w:r>
            <w:r>
              <w:rPr>
                <w:rFonts w:hint="eastAsia" w:ascii="宋体" w:hAnsi="宋体"/>
                <w:kern w:val="0"/>
                <w:szCs w:val="21"/>
              </w:rPr>
              <w:t>）</w:t>
            </w:r>
            <w:r>
              <w:rPr>
                <w:rFonts w:ascii="宋体" w:hAnsi="宋体"/>
                <w:kern w:val="0"/>
                <w:szCs w:val="21"/>
              </w:rPr>
              <w:t>，即为本项目的投标总报价的评标基准价。（评标基准价浮动值N为</w:t>
            </w:r>
            <w:r>
              <w:rPr>
                <w:rFonts w:hint="eastAsia" w:ascii="宋体" w:hAnsi="宋体"/>
                <w:kern w:val="0"/>
              </w:rPr>
              <w:t>1</w:t>
            </w:r>
            <w:r>
              <w:rPr>
                <w:rFonts w:ascii="宋体" w:hAnsi="宋体"/>
                <w:kern w:val="0"/>
              </w:rPr>
              <w:t>%～</w:t>
            </w:r>
            <w:r>
              <w:rPr>
                <w:rFonts w:hint="eastAsia" w:ascii="宋体" w:hAnsi="宋体"/>
                <w:kern w:val="0"/>
              </w:rPr>
              <w:t>5%范围内百分数取整</w:t>
            </w:r>
            <w:r>
              <w:rPr>
                <w:rFonts w:ascii="宋体" w:hAnsi="宋体"/>
                <w:kern w:val="0"/>
              </w:rPr>
              <w:t>，</w:t>
            </w:r>
            <w:r>
              <w:rPr>
                <w:rFonts w:hint="eastAsia" w:ascii="宋体" w:hAnsi="宋体"/>
                <w:kern w:val="0"/>
              </w:rPr>
              <w:t>□在开标现场随机抽取决定/□由招标人直接确定为</w:t>
            </w:r>
            <w:r>
              <w:rPr>
                <w:rFonts w:ascii="宋体" w:hAnsi="宋体"/>
                <w:kern w:val="0"/>
                <w:u w:val="single"/>
              </w:rPr>
              <w:t xml:space="preserve">   </w:t>
            </w:r>
            <w:r>
              <w:rPr>
                <w:rFonts w:hint="eastAsia" w:ascii="宋体" w:hAnsi="宋体"/>
                <w:kern w:val="0"/>
              </w:rPr>
              <w:t>%</w:t>
            </w:r>
            <w:r>
              <w:rPr>
                <w:rFonts w:ascii="宋体" w:hAnsi="宋体"/>
                <w:kern w:val="0"/>
                <w:szCs w:val="21"/>
              </w:rPr>
              <w:t>）</w:t>
            </w:r>
          </w:p>
          <w:p w14:paraId="5D74C97D">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p w14:paraId="2BF39803">
            <w:pPr>
              <w:snapToGrid w:val="0"/>
              <w:spacing w:line="400" w:lineRule="exact"/>
              <w:ind w:firstLine="420" w:firstLineChars="200"/>
              <w:rPr>
                <w:rFonts w:hint="eastAsia" w:ascii="宋体" w:hAnsi="宋体"/>
              </w:rPr>
            </w:pPr>
            <w:r>
              <w:rPr>
                <w:rFonts w:hint="eastAsia" w:ascii="宋体" w:hAnsi="宋体"/>
                <w:kern w:val="0"/>
                <w:szCs w:val="21"/>
              </w:rPr>
              <w:t>重庆市电子招投标系统按照上述计算方法自动计算评标基准价。</w:t>
            </w:r>
            <w:r>
              <w:rPr>
                <w:rFonts w:ascii="宋体" w:hAnsi="宋体"/>
                <w:kern w:val="0"/>
                <w:szCs w:val="21"/>
              </w:rPr>
              <w:t>在评标基准价计算完成后（除计算错误外），在后续的评审中不得再对其做出调整。</w:t>
            </w:r>
          </w:p>
        </w:tc>
      </w:tr>
      <w:tr w14:paraId="41564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1C29968B">
            <w:pPr>
              <w:spacing w:line="400" w:lineRule="exact"/>
              <w:jc w:val="center"/>
              <w:rPr>
                <w:rFonts w:hint="eastAsia" w:ascii="宋体" w:hAnsi="宋体"/>
                <w:kern w:val="0"/>
              </w:rPr>
            </w:pPr>
            <w:r>
              <w:rPr>
                <w:rFonts w:ascii="宋体" w:hAnsi="宋体"/>
                <w:kern w:val="0"/>
              </w:rPr>
              <w:t>2.2.</w:t>
            </w:r>
            <w:r>
              <w:rPr>
                <w:rFonts w:hint="eastAsia" w:ascii="宋体" w:hAnsi="宋体"/>
                <w:kern w:val="0"/>
              </w:rPr>
              <w:t>3</w:t>
            </w:r>
          </w:p>
        </w:tc>
        <w:tc>
          <w:tcPr>
            <w:tcW w:w="1599" w:type="dxa"/>
            <w:tcBorders>
              <w:top w:val="single" w:color="auto" w:sz="4" w:space="0"/>
              <w:left w:val="single" w:color="auto" w:sz="4" w:space="0"/>
              <w:bottom w:val="single" w:color="auto" w:sz="4" w:space="0"/>
              <w:right w:val="single" w:color="auto" w:sz="4" w:space="0"/>
            </w:tcBorders>
            <w:vAlign w:val="center"/>
          </w:tcPr>
          <w:p w14:paraId="225435E0">
            <w:pPr>
              <w:snapToGrid w:val="0"/>
              <w:spacing w:line="400" w:lineRule="exact"/>
              <w:jc w:val="left"/>
              <w:rPr>
                <w:rFonts w:hint="eastAsia" w:ascii="宋体" w:hAnsi="宋体"/>
                <w:b/>
                <w:kern w:val="0"/>
              </w:rPr>
            </w:pPr>
            <w:r>
              <w:rPr>
                <w:rFonts w:hint="eastAsia" w:ascii="宋体" w:hAnsi="宋体"/>
                <w:b/>
                <w:kern w:val="0"/>
              </w:rPr>
              <w:t>□选项三：</w:t>
            </w:r>
          </w:p>
          <w:p w14:paraId="02C5D944">
            <w:pPr>
              <w:spacing w:line="400" w:lineRule="exact"/>
              <w:jc w:val="center"/>
              <w:rPr>
                <w:rFonts w:hint="eastAsia" w:ascii="宋体" w:hAnsi="宋体"/>
                <w:kern w:val="0"/>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06CBE70">
            <w:pPr>
              <w:spacing w:line="400" w:lineRule="exact"/>
              <w:jc w:val="center"/>
              <w:rPr>
                <w:rFonts w:hint="eastAsia" w:ascii="宋体" w:hAnsi="宋体"/>
                <w:kern w:val="0"/>
              </w:rPr>
            </w:pPr>
            <w:r>
              <w:rPr>
                <w:rFonts w:ascii="宋体" w:hAnsi="宋体"/>
                <w:kern w:val="0"/>
              </w:rPr>
              <w:t>投标总报价</w:t>
            </w:r>
          </w:p>
        </w:tc>
        <w:tc>
          <w:tcPr>
            <w:tcW w:w="5048" w:type="dxa"/>
            <w:tcBorders>
              <w:top w:val="single" w:color="auto" w:sz="4" w:space="0"/>
              <w:left w:val="single" w:color="auto" w:sz="4" w:space="0"/>
              <w:bottom w:val="single" w:color="auto" w:sz="4" w:space="0"/>
              <w:right w:val="single" w:color="auto" w:sz="4" w:space="0"/>
            </w:tcBorders>
            <w:vAlign w:val="top"/>
          </w:tcPr>
          <w:p w14:paraId="48F1C8EF">
            <w:pPr>
              <w:snapToGrid w:val="0"/>
              <w:spacing w:line="400" w:lineRule="exact"/>
              <w:ind w:firstLine="420" w:firstLineChars="200"/>
              <w:rPr>
                <w:rFonts w:ascii="宋体" w:hAnsi="宋体"/>
                <w:kern w:val="0"/>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价中</w:t>
            </w:r>
            <w:r>
              <w:rPr>
                <w:rFonts w:hint="eastAsia" w:ascii="宋体" w:hAnsi="宋体"/>
                <w:kern w:val="0"/>
                <w:szCs w:val="21"/>
              </w:rPr>
              <w:t>，</w:t>
            </w:r>
            <w:r>
              <w:rPr>
                <w:rFonts w:hint="eastAsia"/>
              </w:rPr>
              <w:t>报价</w:t>
            </w:r>
            <w:r>
              <w:t>最低</w:t>
            </w:r>
            <w:r>
              <w:rPr>
                <w:rFonts w:hint="eastAsia"/>
              </w:rPr>
              <w:t>的</w:t>
            </w:r>
            <w:r>
              <w:rPr>
                <w:rFonts w:ascii="宋体" w:hAnsi="宋体"/>
                <w:kern w:val="0"/>
                <w:szCs w:val="21"/>
              </w:rPr>
              <w:t>即为本项目投标总报价的评标基准价。</w:t>
            </w:r>
          </w:p>
          <w:p w14:paraId="4D3E3FD3">
            <w:pPr>
              <w:snapToGrid w:val="0"/>
              <w:spacing w:line="400" w:lineRule="exact"/>
              <w:ind w:firstLine="420" w:firstLineChars="200"/>
              <w:rPr>
                <w:rFonts w:ascii="宋体" w:hAnsi="宋体"/>
                <w:kern w:val="0"/>
                <w:szCs w:val="21"/>
              </w:rPr>
            </w:pPr>
            <w:r>
              <w:rPr>
                <w:rFonts w:hint="eastAsia" w:ascii="宋体" w:hAnsi="宋体"/>
                <w:kern w:val="0"/>
                <w:szCs w:val="21"/>
              </w:rPr>
              <w:t>评标基准价计算的最终结果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p w14:paraId="198F26FE">
            <w:pPr>
              <w:snapToGrid w:val="0"/>
              <w:spacing w:line="400" w:lineRule="exact"/>
              <w:ind w:firstLine="420" w:firstLineChars="200"/>
              <w:rPr>
                <w:rFonts w:ascii="宋体" w:hAnsi="宋体"/>
                <w:kern w:val="0"/>
                <w:szCs w:val="21"/>
              </w:rPr>
            </w:pPr>
            <w:r>
              <w:rPr>
                <w:rFonts w:hint="eastAsia" w:ascii="宋体" w:hAnsi="宋体"/>
                <w:kern w:val="0"/>
                <w:szCs w:val="21"/>
              </w:rPr>
              <w:t>重庆市电子招投标系统按照上述计算方法自动计算评标基准价。</w:t>
            </w:r>
            <w:r>
              <w:rPr>
                <w:rFonts w:ascii="宋体" w:hAnsi="宋体"/>
                <w:kern w:val="0"/>
                <w:szCs w:val="21"/>
              </w:rPr>
              <w:t>在评标基准价计算完成后（除计算错误外），在后续的评审中不得再对其做出调整。</w:t>
            </w:r>
          </w:p>
          <w:p w14:paraId="1F2636E5">
            <w:pPr>
              <w:snapToGrid w:val="0"/>
              <w:spacing w:line="400" w:lineRule="exact"/>
              <w:ind w:firstLine="420" w:firstLineChars="200"/>
              <w:rPr>
                <w:rFonts w:ascii="宋体" w:hAnsi="宋体"/>
                <w:kern w:val="0"/>
              </w:rPr>
            </w:pPr>
            <w:r>
              <w:rPr>
                <w:rFonts w:hint="eastAsia" w:ascii="宋体" w:hAnsi="宋体"/>
                <w:i/>
                <w:iCs/>
                <w:kern w:val="0"/>
                <w:szCs w:val="21"/>
              </w:rPr>
              <w:t>[适用于第3.2.1（3）目“投标报价得分”选项三。</w:t>
            </w:r>
            <w:r>
              <w:rPr>
                <w:rFonts w:hint="eastAsia" w:ascii="宋体" w:hAnsi="宋体"/>
                <w:i/>
                <w:kern w:val="0"/>
                <w:szCs w:val="21"/>
              </w:rPr>
              <w:t>]</w:t>
            </w:r>
          </w:p>
        </w:tc>
      </w:tr>
      <w:tr w14:paraId="04A83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695E5FAC">
            <w:pPr>
              <w:spacing w:line="400" w:lineRule="exact"/>
              <w:jc w:val="center"/>
              <w:rPr>
                <w:rFonts w:ascii="宋体" w:hAnsi="宋体"/>
                <w:kern w:val="0"/>
              </w:rPr>
            </w:pPr>
            <w:r>
              <w:rPr>
                <w:rFonts w:hint="eastAsia" w:ascii="宋体" w:hAnsi="宋体"/>
                <w:kern w:val="0"/>
              </w:rPr>
              <w:t>2.2.3</w:t>
            </w:r>
          </w:p>
        </w:tc>
        <w:tc>
          <w:tcPr>
            <w:tcW w:w="1599" w:type="dxa"/>
            <w:tcBorders>
              <w:top w:val="single" w:color="auto" w:sz="4" w:space="0"/>
              <w:left w:val="single" w:color="auto" w:sz="4" w:space="0"/>
              <w:bottom w:val="single" w:color="auto" w:sz="4" w:space="0"/>
              <w:right w:val="single" w:color="auto" w:sz="4" w:space="0"/>
            </w:tcBorders>
            <w:vAlign w:val="center"/>
          </w:tcPr>
          <w:p w14:paraId="0BAA28AB">
            <w:pPr>
              <w:snapToGrid w:val="0"/>
              <w:spacing w:line="400" w:lineRule="exact"/>
              <w:jc w:val="left"/>
              <w:rPr>
                <w:rFonts w:hint="eastAsia" w:ascii="宋体" w:hAnsi="宋体"/>
                <w:b/>
                <w:kern w:val="0"/>
              </w:rPr>
            </w:pPr>
            <w:r>
              <w:rPr>
                <w:rFonts w:hint="eastAsia" w:ascii="宋体" w:hAnsi="宋体"/>
                <w:b/>
                <w:kern w:val="0"/>
              </w:rPr>
              <w:t>□选项四：</w:t>
            </w:r>
          </w:p>
          <w:p w14:paraId="046B06A0">
            <w:pPr>
              <w:spacing w:line="400" w:lineRule="exact"/>
              <w:jc w:val="center"/>
              <w:rPr>
                <w:rFonts w:ascii="宋体" w:hAnsi="宋体"/>
                <w:kern w:val="0"/>
              </w:rPr>
            </w:pPr>
            <w:r>
              <w:rPr>
                <w:rFonts w:ascii="宋体" w:hAnsi="宋体"/>
                <w:kern w:val="0"/>
              </w:rPr>
              <w:t>评标基准价计算方法</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8930510">
            <w:pPr>
              <w:spacing w:line="400" w:lineRule="exact"/>
              <w:jc w:val="center"/>
              <w:rPr>
                <w:rFonts w:ascii="宋体" w:hAnsi="宋体"/>
                <w:kern w:val="0"/>
                <w:u w:val="single"/>
              </w:rPr>
            </w:pPr>
            <w:r>
              <w:rPr>
                <w:rFonts w:hint="eastAsia" w:ascii="宋体" w:hAnsi="宋体"/>
                <w:kern w:val="0"/>
                <w:u w:val="single"/>
              </w:rPr>
              <w:t>……</w:t>
            </w:r>
          </w:p>
        </w:tc>
        <w:tc>
          <w:tcPr>
            <w:tcW w:w="5048" w:type="dxa"/>
            <w:tcBorders>
              <w:top w:val="single" w:color="auto" w:sz="4" w:space="0"/>
              <w:left w:val="single" w:color="auto" w:sz="4" w:space="0"/>
              <w:bottom w:val="single" w:color="auto" w:sz="4" w:space="0"/>
              <w:right w:val="single" w:color="auto" w:sz="4" w:space="0"/>
            </w:tcBorders>
            <w:vAlign w:val="top"/>
          </w:tcPr>
          <w:p w14:paraId="2BCC9025">
            <w:pPr>
              <w:snapToGrid w:val="0"/>
              <w:spacing w:line="400" w:lineRule="exact"/>
              <w:ind w:firstLine="420" w:firstLineChars="200"/>
              <w:rPr>
                <w:rFonts w:hint="eastAsia" w:ascii="宋体" w:hAnsi="宋体"/>
                <w:i/>
                <w:kern w:val="0"/>
                <w:szCs w:val="21"/>
                <w:u w:val="single"/>
              </w:rPr>
            </w:pPr>
            <w:r>
              <w:rPr>
                <w:rFonts w:hint="eastAsia" w:ascii="宋体" w:hAnsi="宋体"/>
                <w:i/>
                <w:kern w:val="0"/>
                <w:szCs w:val="21"/>
                <w:u w:val="single"/>
              </w:rPr>
              <w:t xml:space="preserve">               </w:t>
            </w:r>
          </w:p>
          <w:p w14:paraId="79D4B0A1">
            <w:pPr>
              <w:snapToGrid w:val="0"/>
              <w:spacing w:line="400" w:lineRule="exact"/>
              <w:ind w:firstLine="420" w:firstLineChars="200"/>
              <w:rPr>
                <w:rFonts w:hint="eastAsia" w:ascii="宋体" w:hAnsi="宋体"/>
                <w:kern w:val="0"/>
                <w:szCs w:val="21"/>
              </w:rPr>
            </w:pPr>
            <w:r>
              <w:rPr>
                <w:rFonts w:hint="eastAsia" w:ascii="宋体" w:hAnsi="宋体"/>
                <w:i/>
                <w:kern w:val="0"/>
                <w:szCs w:val="21"/>
              </w:rPr>
              <w:t>[提示：招标人在编制招标文件时，可根据实际情况制定本项目评标基准价的计算方法，但不得违背法律、法规及规范性文件的规定。</w:t>
            </w:r>
            <w:r>
              <w:rPr>
                <w:rFonts w:hint="eastAsia" w:ascii="宋体" w:hAnsi="宋体"/>
                <w:i/>
                <w:iCs/>
                <w:kern w:val="0"/>
                <w:szCs w:val="21"/>
              </w:rPr>
              <w:t>适用于第3.2.1（3）目“投标报价得分”选项四。</w:t>
            </w:r>
            <w:r>
              <w:rPr>
                <w:rFonts w:hint="eastAsia" w:ascii="宋体" w:hAnsi="宋体"/>
                <w:i/>
                <w:kern w:val="0"/>
                <w:szCs w:val="21"/>
              </w:rPr>
              <w:t>]</w:t>
            </w:r>
          </w:p>
        </w:tc>
      </w:tr>
      <w:tr w14:paraId="21FB5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5667223F">
            <w:pPr>
              <w:spacing w:line="400" w:lineRule="exact"/>
              <w:jc w:val="center"/>
              <w:rPr>
                <w:rFonts w:ascii="宋体" w:hAnsi="宋体"/>
                <w:kern w:val="0"/>
              </w:rPr>
            </w:pPr>
            <w:r>
              <w:rPr>
                <w:rFonts w:hint="eastAsia" w:ascii="宋体" w:hAnsi="宋体"/>
                <w:kern w:val="0"/>
              </w:rPr>
              <w:t>2.2.4</w:t>
            </w:r>
          </w:p>
        </w:tc>
        <w:tc>
          <w:tcPr>
            <w:tcW w:w="1599" w:type="dxa"/>
            <w:tcBorders>
              <w:top w:val="single" w:color="auto" w:sz="4" w:space="0"/>
              <w:left w:val="single" w:color="auto" w:sz="4" w:space="0"/>
              <w:bottom w:val="single" w:color="auto" w:sz="4" w:space="0"/>
              <w:right w:val="single" w:color="auto" w:sz="4" w:space="0"/>
            </w:tcBorders>
            <w:vAlign w:val="center"/>
          </w:tcPr>
          <w:p w14:paraId="0E2F9988">
            <w:pPr>
              <w:spacing w:line="400" w:lineRule="exact"/>
              <w:jc w:val="center"/>
              <w:rPr>
                <w:rFonts w:hint="eastAsia" w:ascii="宋体" w:hAnsi="宋体"/>
                <w:kern w:val="0"/>
              </w:rPr>
            </w:pPr>
            <w:r>
              <w:rPr>
                <w:rFonts w:hint="eastAsia" w:ascii="宋体" w:hAnsi="宋体"/>
                <w:kern w:val="0"/>
              </w:rPr>
              <w:t>偏差率计算</w:t>
            </w:r>
          </w:p>
        </w:tc>
        <w:tc>
          <w:tcPr>
            <w:tcW w:w="7403" w:type="dxa"/>
            <w:gridSpan w:val="3"/>
            <w:tcBorders>
              <w:top w:val="single" w:color="auto" w:sz="4" w:space="0"/>
              <w:left w:val="single" w:color="auto" w:sz="4" w:space="0"/>
              <w:bottom w:val="single" w:color="auto" w:sz="4" w:space="0"/>
              <w:right w:val="single" w:color="auto" w:sz="4" w:space="0"/>
            </w:tcBorders>
            <w:vAlign w:val="center"/>
          </w:tcPr>
          <w:p w14:paraId="5262A50D">
            <w:pPr>
              <w:spacing w:line="400" w:lineRule="exact"/>
              <w:ind w:firstLine="420" w:firstLineChars="200"/>
              <w:jc w:val="left"/>
              <w:rPr>
                <w:rFonts w:ascii="宋体" w:hAnsi="宋体"/>
                <w:kern w:val="0"/>
              </w:rPr>
            </w:pPr>
            <w:r>
              <w:rPr>
                <w:rFonts w:ascii="宋体" w:hAnsi="宋体"/>
                <w:kern w:val="0"/>
              </w:rPr>
              <w:t>投标总报价的偏差率计算公式</w:t>
            </w:r>
          </w:p>
          <w:p w14:paraId="5EFAE8D1">
            <w:pPr>
              <w:spacing w:line="400" w:lineRule="exact"/>
              <w:ind w:firstLine="420" w:firstLineChars="200"/>
              <w:jc w:val="left"/>
              <w:rPr>
                <w:rFonts w:ascii="宋体" w:hAnsi="宋体"/>
                <w:kern w:val="0"/>
              </w:rPr>
            </w:pPr>
            <w:r>
              <w:rPr>
                <w:rFonts w:ascii="宋体" w:hAnsi="宋体"/>
                <w:kern w:val="0"/>
              </w:rPr>
              <w:t>偏差率</w:t>
            </w:r>
            <w:r>
              <w:rPr>
                <w:rFonts w:ascii="宋体" w:hAnsi="宋体"/>
                <w:kern w:val="0"/>
                <w:sz w:val="28"/>
                <w:szCs w:val="28"/>
              </w:rPr>
              <w:t>=</w:t>
            </w:r>
            <w:r>
              <w:rPr>
                <w:rFonts w:ascii="宋体" w:hAnsi="宋体"/>
                <w:kern w:val="0"/>
              </w:rPr>
              <w:t>100％×（投标人报价一评标基准价</w:t>
            </w:r>
            <w:r>
              <w:rPr>
                <w:rFonts w:hint="eastAsia" w:ascii="宋体" w:hAnsi="宋体"/>
                <w:kern w:val="0"/>
              </w:rPr>
              <w:t>）</w:t>
            </w:r>
            <w:r>
              <w:rPr>
                <w:rFonts w:ascii="宋体" w:hAnsi="宋体"/>
                <w:kern w:val="0"/>
              </w:rPr>
              <w:t>／评标基准价</w:t>
            </w:r>
          </w:p>
          <w:p w14:paraId="4A89BE25">
            <w:pPr>
              <w:spacing w:line="400" w:lineRule="exact"/>
              <w:ind w:firstLine="200"/>
              <w:rPr>
                <w:rFonts w:hint="eastAsia" w:ascii="宋体" w:hAnsi="宋体"/>
                <w:kern w:val="0"/>
              </w:rPr>
            </w:pPr>
            <w:r>
              <w:rPr>
                <w:rFonts w:ascii="宋体" w:hAnsi="宋体"/>
                <w:kern w:val="0"/>
              </w:rPr>
              <w:t xml:space="preserve">  </w:t>
            </w:r>
            <w:r>
              <w:rPr>
                <w:rFonts w:hint="eastAsia" w:ascii="宋体" w:hAnsi="宋体"/>
                <w:kern w:val="0"/>
              </w:rPr>
              <w:t>偏差率计算的最终结果取小数点后两位</w:t>
            </w:r>
            <w:r>
              <w:rPr>
                <w:rFonts w:ascii="宋体" w:hAnsi="宋体"/>
                <w:kern w:val="0"/>
                <w:szCs w:val="21"/>
              </w:rPr>
              <w:t>，小数点后第三位四舍五入。</w:t>
            </w:r>
          </w:p>
        </w:tc>
      </w:tr>
      <w:tr w14:paraId="09E47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top w:val="single" w:color="auto" w:sz="4" w:space="0"/>
              <w:left w:val="single" w:color="auto" w:sz="4" w:space="0"/>
              <w:bottom w:val="single" w:color="auto" w:sz="4" w:space="0"/>
              <w:right w:val="single" w:color="auto" w:sz="4" w:space="0"/>
            </w:tcBorders>
            <w:vAlign w:val="center"/>
          </w:tcPr>
          <w:p w14:paraId="21E22E75">
            <w:pPr>
              <w:spacing w:line="400" w:lineRule="exact"/>
              <w:jc w:val="center"/>
              <w:rPr>
                <w:rFonts w:hint="eastAsia" w:ascii="宋体" w:hAnsi="宋体"/>
                <w:kern w:val="0"/>
              </w:rPr>
            </w:pPr>
            <w:r>
              <w:rPr>
                <w:rFonts w:ascii="宋体" w:hAnsi="宋体"/>
              </w:rPr>
              <w:t>3</w:t>
            </w:r>
          </w:p>
        </w:tc>
        <w:tc>
          <w:tcPr>
            <w:tcW w:w="1599" w:type="dxa"/>
            <w:tcBorders>
              <w:top w:val="single" w:color="auto" w:sz="4" w:space="0"/>
              <w:left w:val="single" w:color="auto" w:sz="4" w:space="0"/>
              <w:bottom w:val="single" w:color="auto" w:sz="4" w:space="0"/>
              <w:right w:val="single" w:color="auto" w:sz="4" w:space="0"/>
            </w:tcBorders>
            <w:vAlign w:val="center"/>
          </w:tcPr>
          <w:p w14:paraId="5265FEC8">
            <w:pPr>
              <w:spacing w:line="400" w:lineRule="exact"/>
              <w:jc w:val="center"/>
              <w:rPr>
                <w:rFonts w:hint="eastAsia" w:ascii="宋体" w:hAnsi="宋体"/>
                <w:kern w:val="0"/>
              </w:rPr>
            </w:pPr>
            <w:r>
              <w:rPr>
                <w:rFonts w:hint="eastAsia" w:ascii="宋体" w:hAnsi="宋体"/>
              </w:rPr>
              <w:t>评标程序</w:t>
            </w:r>
          </w:p>
        </w:tc>
        <w:tc>
          <w:tcPr>
            <w:tcW w:w="7403" w:type="dxa"/>
            <w:gridSpan w:val="3"/>
            <w:tcBorders>
              <w:top w:val="single" w:color="auto" w:sz="4" w:space="0"/>
              <w:left w:val="single" w:color="auto" w:sz="4" w:space="0"/>
              <w:bottom w:val="single" w:color="auto" w:sz="4" w:space="0"/>
              <w:right w:val="single" w:color="auto" w:sz="4" w:space="0"/>
            </w:tcBorders>
            <w:vAlign w:val="top"/>
          </w:tcPr>
          <w:p w14:paraId="3AD22BC9">
            <w:pPr>
              <w:spacing w:line="400" w:lineRule="exact"/>
              <w:ind w:firstLine="420" w:firstLineChars="200"/>
              <w:rPr>
                <w:rFonts w:hint="eastAsia" w:ascii="宋体" w:hAnsi="宋体"/>
                <w:szCs w:val="21"/>
              </w:rPr>
            </w:pPr>
            <w:r>
              <w:rPr>
                <w:rFonts w:hint="eastAsia" w:ascii="宋体" w:hAnsi="宋体"/>
                <w:szCs w:val="21"/>
              </w:rPr>
              <w:t>1.按本章评标办法第3.1款进行初步评审，未通过初步评审或评标委员会认定为无效的投标文件的不再进行后续评审。</w:t>
            </w:r>
          </w:p>
          <w:p w14:paraId="40EB7C29">
            <w:pPr>
              <w:spacing w:line="400" w:lineRule="exact"/>
              <w:ind w:firstLine="420" w:firstLineChars="200"/>
              <w:rPr>
                <w:rFonts w:hint="eastAsia" w:ascii="宋体" w:hAnsi="宋体"/>
                <w:szCs w:val="21"/>
              </w:rPr>
            </w:pPr>
            <w:r>
              <w:rPr>
                <w:rFonts w:hint="eastAsia" w:ascii="宋体" w:hAnsi="宋体"/>
                <w:szCs w:val="21"/>
              </w:rPr>
              <w:t>2.按本章评标办法前附表第2.2.2（1）目及第3.2.1（1）目的规定对技术部分进行评审。</w:t>
            </w:r>
            <w:r>
              <w:rPr>
                <w:rFonts w:hint="eastAsia" w:ascii="宋体" w:hAnsi="宋体"/>
                <w:kern w:val="0"/>
              </w:rPr>
              <w:t>□</w:t>
            </w:r>
            <w:r>
              <w:rPr>
                <w:rFonts w:hint="eastAsia" w:ascii="宋体" w:hAnsi="宋体"/>
                <w:szCs w:val="21"/>
              </w:rPr>
              <w:t>采用项目经理答辩的，确定答辩顺序的原则为：</w:t>
            </w:r>
            <w:r>
              <w:rPr>
                <w:rFonts w:hint="eastAsia" w:ascii="宋体" w:hAnsi="宋体"/>
                <w:szCs w:val="21"/>
                <w:u w:val="single"/>
              </w:rPr>
              <w:t xml:space="preserve">        </w:t>
            </w:r>
            <w:r>
              <w:rPr>
                <w:rFonts w:hint="eastAsia" w:ascii="宋体" w:hAnsi="宋体"/>
                <w:szCs w:val="21"/>
              </w:rPr>
              <w:t>。</w:t>
            </w:r>
          </w:p>
          <w:p w14:paraId="48CDA85D">
            <w:pPr>
              <w:spacing w:line="400" w:lineRule="exact"/>
              <w:ind w:firstLine="420" w:firstLineChars="200"/>
              <w:rPr>
                <w:rFonts w:hint="eastAsia"/>
              </w:rPr>
            </w:pPr>
            <w:r>
              <w:rPr>
                <w:rFonts w:hint="eastAsia" w:ascii="宋体" w:hAnsi="宋体"/>
                <w:szCs w:val="21"/>
              </w:rPr>
              <w:t>3.按本章评标办法前附表第2.2.2（2）目及第3.2.1（2）目的规定对商务部分进行评审。</w:t>
            </w:r>
          </w:p>
          <w:p w14:paraId="4A64B1D9">
            <w:pPr>
              <w:spacing w:line="400" w:lineRule="exact"/>
              <w:ind w:firstLine="420" w:firstLineChars="200"/>
              <w:rPr>
                <w:rFonts w:hint="eastAsia" w:ascii="宋体" w:hAnsi="宋体"/>
              </w:rPr>
            </w:pPr>
            <w:r>
              <w:rPr>
                <w:rFonts w:hint="eastAsia" w:ascii="宋体" w:hAnsi="宋体"/>
                <w:szCs w:val="21"/>
              </w:rPr>
              <w:t>4.按本章评标办法前附表第2.2.2（3）目的规定对投标函部分及经济</w:t>
            </w:r>
            <w:r>
              <w:rPr>
                <w:rFonts w:hint="eastAsia" w:ascii="宋体" w:hAnsi="宋体"/>
                <w:szCs w:val="21"/>
                <w:lang w:eastAsia="zh-CN"/>
              </w:rPr>
              <w:t>部分</w:t>
            </w:r>
            <w:r>
              <w:rPr>
                <w:rFonts w:hint="eastAsia" w:ascii="宋体" w:hAnsi="宋体"/>
                <w:szCs w:val="21"/>
              </w:rPr>
              <w:t>进行评审，经评审不合格的投标文件不再参与后续评审。</w:t>
            </w:r>
          </w:p>
          <w:p w14:paraId="062A5875">
            <w:pPr>
              <w:spacing w:after="31" w:afterLines="10" w:line="400" w:lineRule="exact"/>
              <w:ind w:firstLine="420" w:firstLineChars="200"/>
              <w:jc w:val="left"/>
              <w:rPr>
                <w:rFonts w:hint="eastAsia" w:ascii="宋体" w:hAnsi="宋体"/>
                <w:szCs w:val="21"/>
              </w:rPr>
            </w:pPr>
            <w:r>
              <w:rPr>
                <w:rFonts w:hint="eastAsia" w:ascii="宋体" w:hAnsi="宋体"/>
                <w:szCs w:val="21"/>
              </w:rPr>
              <w:t>5.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2DD0F13D">
            <w:pPr>
              <w:spacing w:after="31" w:afterLines="10" w:line="400" w:lineRule="exact"/>
              <w:ind w:firstLine="420" w:firstLineChars="200"/>
              <w:jc w:val="left"/>
              <w:rPr>
                <w:rFonts w:hint="eastAsia" w:ascii="宋体" w:hAnsi="宋体"/>
                <w:szCs w:val="21"/>
              </w:rPr>
            </w:pPr>
            <w:r>
              <w:rPr>
                <w:rFonts w:hint="eastAsia" w:ascii="宋体" w:hAnsi="宋体"/>
                <w:szCs w:val="21"/>
              </w:rPr>
              <w:t>6.经评审合格的投标人按照本章第2.2.3项计算方法计算评标基准价，并按本附表第3.2.1（3）目规定的评分方法对投标总报价进行评分。</w:t>
            </w:r>
          </w:p>
          <w:p w14:paraId="73845585">
            <w:pPr>
              <w:spacing w:line="400" w:lineRule="exact"/>
              <w:ind w:firstLine="420" w:firstLineChars="200"/>
              <w:rPr>
                <w:rFonts w:hint="eastAsia" w:ascii="宋体" w:hAnsi="宋体"/>
                <w:szCs w:val="21"/>
              </w:rPr>
            </w:pPr>
            <w:r>
              <w:rPr>
                <w:rFonts w:hint="eastAsia" w:ascii="宋体" w:hAnsi="宋体"/>
                <w:szCs w:val="21"/>
              </w:rPr>
              <w:t>7.对技术部分、商务部分、投标总报价得分进行汇总，确定得分由高至低前三名投标人为中标候选人。</w:t>
            </w:r>
          </w:p>
        </w:tc>
      </w:tr>
      <w:tr w14:paraId="0016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880" w:type="dxa"/>
            <w:vMerge w:val="restart"/>
            <w:vAlign w:val="center"/>
          </w:tcPr>
          <w:p w14:paraId="4903D702">
            <w:pPr>
              <w:spacing w:line="400" w:lineRule="exact"/>
              <w:jc w:val="center"/>
              <w:rPr>
                <w:rFonts w:ascii="宋体" w:hAnsi="宋体"/>
              </w:rPr>
            </w:pPr>
            <w:r>
              <w:rPr>
                <w:rFonts w:ascii="宋体" w:hAnsi="宋体"/>
              </w:rPr>
              <w:t>3.2.1</w:t>
            </w:r>
          </w:p>
          <w:p w14:paraId="32E6F6F5">
            <w:pPr>
              <w:spacing w:line="400" w:lineRule="exact"/>
              <w:jc w:val="center"/>
              <w:rPr>
                <w:rFonts w:ascii="宋体" w:hAnsi="宋体"/>
              </w:rPr>
            </w:pPr>
            <w:r>
              <w:rPr>
                <w:rFonts w:ascii="宋体" w:hAnsi="宋体"/>
              </w:rPr>
              <w:t>（</w:t>
            </w:r>
            <w:r>
              <w:rPr>
                <w:rFonts w:hint="eastAsia" w:ascii="宋体" w:hAnsi="宋体"/>
              </w:rPr>
              <w:t>1</w:t>
            </w:r>
            <w:r>
              <w:rPr>
                <w:rFonts w:ascii="宋体" w:hAnsi="宋体"/>
              </w:rPr>
              <w:t>）</w:t>
            </w:r>
          </w:p>
        </w:tc>
        <w:tc>
          <w:tcPr>
            <w:tcW w:w="1599" w:type="dxa"/>
            <w:vMerge w:val="restart"/>
            <w:vAlign w:val="center"/>
          </w:tcPr>
          <w:p w14:paraId="155D4FB8">
            <w:pPr>
              <w:spacing w:line="400" w:lineRule="exact"/>
              <w:jc w:val="center"/>
              <w:rPr>
                <w:rFonts w:hint="eastAsia" w:ascii="宋体" w:hAnsi="宋体"/>
              </w:rPr>
            </w:pPr>
            <w:r>
              <w:rPr>
                <w:rFonts w:hint="eastAsia" w:ascii="宋体" w:hAnsi="宋体"/>
              </w:rPr>
              <w:t>技术部分</w:t>
            </w:r>
            <w:r>
              <w:rPr>
                <w:rFonts w:ascii="宋体" w:hAnsi="宋体"/>
                <w:kern w:val="0"/>
              </w:rPr>
              <w:t>得分</w:t>
            </w:r>
            <w:r>
              <w:rPr>
                <w:rFonts w:ascii="宋体" w:hAnsi="宋体"/>
                <w:spacing w:val="-4"/>
              </w:rPr>
              <w:t>（</w:t>
            </w:r>
            <w:r>
              <w:rPr>
                <w:rFonts w:hint="eastAsia" w:ascii="宋体" w:hAnsi="宋体"/>
                <w:spacing w:val="-4"/>
              </w:rPr>
              <w:t>A）</w:t>
            </w:r>
          </w:p>
        </w:tc>
        <w:tc>
          <w:tcPr>
            <w:tcW w:w="2355" w:type="dxa"/>
            <w:gridSpan w:val="2"/>
            <w:vAlign w:val="center"/>
          </w:tcPr>
          <w:p w14:paraId="657601E7">
            <w:pPr>
              <w:widowControl/>
              <w:spacing w:line="400" w:lineRule="exact"/>
              <w:jc w:val="left"/>
              <w:rPr>
                <w:rFonts w:hint="eastAsia"/>
              </w:rPr>
            </w:pPr>
            <w:r>
              <w:rPr>
                <w:rFonts w:hint="eastAsia"/>
              </w:rPr>
              <w:t>□</w:t>
            </w:r>
            <w:r>
              <w:rPr>
                <w:rFonts w:hint="eastAsia" w:ascii="宋体" w:hAnsi="宋体" w:cs="宋体"/>
                <w:kern w:val="0"/>
                <w:szCs w:val="21"/>
                <w:lang w:bidi="ar"/>
              </w:rPr>
              <w:t>总体施工组织布置及规划</w:t>
            </w:r>
          </w:p>
        </w:tc>
        <w:tc>
          <w:tcPr>
            <w:tcW w:w="5048" w:type="dxa"/>
            <w:vMerge w:val="restart"/>
            <w:vAlign w:val="center"/>
          </w:tcPr>
          <w:p w14:paraId="1F2F2094">
            <w:pPr>
              <w:autoSpaceDE w:val="0"/>
              <w:autoSpaceDN w:val="0"/>
              <w:adjustRightInd w:val="0"/>
              <w:snapToGrid w:val="0"/>
              <w:spacing w:line="400" w:lineRule="exact"/>
              <w:ind w:firstLine="420" w:firstLineChars="200"/>
              <w:rPr>
                <w:rFonts w:ascii="宋体" w:hAnsi="宋体"/>
                <w:szCs w:val="21"/>
              </w:rPr>
            </w:pPr>
            <w:r>
              <w:rPr>
                <w:rFonts w:ascii="宋体" w:hAnsi="宋体"/>
                <w:szCs w:val="21"/>
              </w:rPr>
              <w:t>评标委员会按第2.2.</w:t>
            </w:r>
            <w:r>
              <w:rPr>
                <w:rFonts w:hint="eastAsia" w:ascii="宋体" w:hAnsi="宋体"/>
                <w:szCs w:val="21"/>
              </w:rPr>
              <w:t>2（1）目</w:t>
            </w:r>
            <w:r>
              <w:rPr>
                <w:rFonts w:ascii="宋体" w:hAnsi="宋体"/>
                <w:szCs w:val="21"/>
              </w:rPr>
              <w:t>各评审因素设定的分值评分。</w:t>
            </w:r>
          </w:p>
          <w:p w14:paraId="79F75989">
            <w:pPr>
              <w:spacing w:line="400" w:lineRule="exact"/>
              <w:ind w:firstLine="420" w:firstLineChars="200"/>
              <w:rPr>
                <w:rFonts w:ascii="宋体" w:hAnsi="宋体"/>
                <w:snapToGrid w:val="0"/>
                <w:kern w:val="0"/>
                <w:szCs w:val="21"/>
              </w:rPr>
            </w:pPr>
            <w:r>
              <w:rPr>
                <w:rFonts w:ascii="宋体" w:hAnsi="宋体"/>
                <w:snapToGrid w:val="0"/>
                <w:kern w:val="0"/>
                <w:szCs w:val="21"/>
              </w:rPr>
              <w:t>评标委员会成员为5人及以上时，所有评委</w:t>
            </w:r>
            <w:r>
              <w:rPr>
                <w:rFonts w:hint="eastAsia" w:ascii="宋体" w:hAnsi="宋体"/>
                <w:snapToGrid w:val="0"/>
                <w:kern w:val="0"/>
                <w:szCs w:val="21"/>
              </w:rPr>
              <w:t>评分</w:t>
            </w:r>
            <w:r>
              <w:rPr>
                <w:rFonts w:ascii="宋体" w:hAnsi="宋体"/>
                <w:snapToGrid w:val="0"/>
                <w:kern w:val="0"/>
                <w:szCs w:val="21"/>
              </w:rPr>
              <w:t>中去掉一个最高和一个最低分，余下评委</w:t>
            </w:r>
            <w:r>
              <w:rPr>
                <w:rFonts w:hint="eastAsia" w:ascii="宋体" w:hAnsi="宋体"/>
                <w:snapToGrid w:val="0"/>
                <w:kern w:val="0"/>
                <w:szCs w:val="21"/>
              </w:rPr>
              <w:t>评分</w:t>
            </w:r>
            <w:r>
              <w:rPr>
                <w:rFonts w:ascii="宋体" w:hAnsi="宋体"/>
                <w:snapToGrid w:val="0"/>
                <w:kern w:val="0"/>
                <w:szCs w:val="21"/>
              </w:rPr>
              <w:t>取算术平均值为该投标人技术方案得分。</w:t>
            </w:r>
          </w:p>
          <w:p w14:paraId="1F4F662F">
            <w:pPr>
              <w:spacing w:line="400" w:lineRule="exact"/>
              <w:ind w:firstLine="420" w:firstLineChars="200"/>
              <w:jc w:val="left"/>
              <w:rPr>
                <w:rFonts w:hint="eastAsia" w:ascii="宋体" w:hAnsi="宋体"/>
                <w:kern w:val="0"/>
                <w:szCs w:val="21"/>
              </w:rPr>
            </w:pPr>
            <w:r>
              <w:rPr>
                <w:rFonts w:hint="eastAsia" w:ascii="宋体" w:hAnsi="宋体"/>
                <w:kern w:val="0"/>
                <w:szCs w:val="21"/>
              </w:rPr>
              <w:t>技术方案得分的最终结果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tc>
      </w:tr>
      <w:tr w14:paraId="77D48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2D3B0B1A">
            <w:pPr>
              <w:spacing w:line="400" w:lineRule="exact"/>
              <w:jc w:val="center"/>
              <w:rPr>
                <w:rFonts w:ascii="宋体" w:hAnsi="宋体"/>
              </w:rPr>
            </w:pPr>
          </w:p>
        </w:tc>
        <w:tc>
          <w:tcPr>
            <w:tcW w:w="1599" w:type="dxa"/>
            <w:vMerge w:val="continue"/>
            <w:vAlign w:val="center"/>
          </w:tcPr>
          <w:p w14:paraId="4CCE54A4">
            <w:pPr>
              <w:spacing w:line="400" w:lineRule="exact"/>
              <w:jc w:val="center"/>
              <w:rPr>
                <w:rFonts w:hint="eastAsia" w:ascii="宋体" w:hAnsi="宋体"/>
              </w:rPr>
            </w:pPr>
          </w:p>
        </w:tc>
        <w:tc>
          <w:tcPr>
            <w:tcW w:w="2355" w:type="dxa"/>
            <w:gridSpan w:val="2"/>
            <w:vAlign w:val="center"/>
          </w:tcPr>
          <w:p w14:paraId="31723733">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主要工程项目的施工方案、方法与技术措施</w:t>
            </w:r>
          </w:p>
        </w:tc>
        <w:tc>
          <w:tcPr>
            <w:tcW w:w="5048" w:type="dxa"/>
            <w:vMerge w:val="continue"/>
            <w:vAlign w:val="top"/>
          </w:tcPr>
          <w:p w14:paraId="78B119AB">
            <w:pPr>
              <w:spacing w:after="31" w:afterLines="10" w:line="400" w:lineRule="exact"/>
              <w:ind w:firstLine="420" w:firstLineChars="200"/>
              <w:jc w:val="left"/>
              <w:rPr>
                <w:rFonts w:hint="eastAsia" w:ascii="宋体" w:hAnsi="宋体"/>
                <w:szCs w:val="21"/>
              </w:rPr>
            </w:pPr>
          </w:p>
        </w:tc>
      </w:tr>
      <w:tr w14:paraId="19F86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41ADE27E">
            <w:pPr>
              <w:spacing w:line="400" w:lineRule="exact"/>
              <w:jc w:val="center"/>
              <w:rPr>
                <w:rFonts w:ascii="宋体" w:hAnsi="宋体"/>
              </w:rPr>
            </w:pPr>
          </w:p>
        </w:tc>
        <w:tc>
          <w:tcPr>
            <w:tcW w:w="1599" w:type="dxa"/>
            <w:vMerge w:val="continue"/>
            <w:vAlign w:val="center"/>
          </w:tcPr>
          <w:p w14:paraId="7C21067A">
            <w:pPr>
              <w:spacing w:line="400" w:lineRule="exact"/>
              <w:jc w:val="center"/>
              <w:rPr>
                <w:rFonts w:hint="eastAsia" w:ascii="宋体" w:hAnsi="宋体"/>
              </w:rPr>
            </w:pPr>
          </w:p>
        </w:tc>
        <w:tc>
          <w:tcPr>
            <w:tcW w:w="2355" w:type="dxa"/>
            <w:gridSpan w:val="2"/>
            <w:vAlign w:val="center"/>
          </w:tcPr>
          <w:p w14:paraId="6B1837F4">
            <w:pPr>
              <w:widowControl/>
              <w:jc w:val="left"/>
              <w:rPr>
                <w:rFonts w:hint="eastAsia" w:ascii="宋体" w:hAnsi="宋体" w:cs="宋体"/>
                <w:kern w:val="0"/>
                <w:szCs w:val="21"/>
                <w:lang w:bidi="ar"/>
              </w:rPr>
            </w:pPr>
            <w:r>
              <w:rPr>
                <w:rFonts w:hint="eastAsia"/>
              </w:rPr>
              <w:t>□</w:t>
            </w:r>
            <w:r>
              <w:rPr>
                <w:rFonts w:hint="eastAsia" w:ascii="宋体" w:hAnsi="宋体" w:cs="宋体"/>
                <w:kern w:val="0"/>
                <w:szCs w:val="21"/>
                <w:lang w:bidi="ar"/>
              </w:rPr>
              <w:t>对本工程的特点、重点与难点分析及针对性措施</w:t>
            </w:r>
          </w:p>
        </w:tc>
        <w:tc>
          <w:tcPr>
            <w:tcW w:w="5048" w:type="dxa"/>
            <w:vMerge w:val="continue"/>
            <w:vAlign w:val="top"/>
          </w:tcPr>
          <w:p w14:paraId="13574D50">
            <w:pPr>
              <w:spacing w:after="31" w:afterLines="10" w:line="400" w:lineRule="exact"/>
              <w:ind w:firstLine="420" w:firstLineChars="200"/>
              <w:jc w:val="left"/>
              <w:rPr>
                <w:rFonts w:hint="eastAsia" w:ascii="宋体" w:hAnsi="宋体"/>
                <w:szCs w:val="21"/>
              </w:rPr>
            </w:pPr>
          </w:p>
        </w:tc>
      </w:tr>
      <w:tr w14:paraId="7369E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2D5803FA">
            <w:pPr>
              <w:spacing w:line="400" w:lineRule="exact"/>
              <w:jc w:val="center"/>
              <w:rPr>
                <w:rFonts w:ascii="宋体" w:hAnsi="宋体"/>
              </w:rPr>
            </w:pPr>
          </w:p>
        </w:tc>
        <w:tc>
          <w:tcPr>
            <w:tcW w:w="1599" w:type="dxa"/>
            <w:vMerge w:val="continue"/>
            <w:vAlign w:val="center"/>
          </w:tcPr>
          <w:p w14:paraId="67AD690E">
            <w:pPr>
              <w:spacing w:line="400" w:lineRule="exact"/>
              <w:jc w:val="center"/>
              <w:rPr>
                <w:rFonts w:hint="eastAsia" w:ascii="宋体" w:hAnsi="宋体"/>
              </w:rPr>
            </w:pPr>
          </w:p>
        </w:tc>
        <w:tc>
          <w:tcPr>
            <w:tcW w:w="2355" w:type="dxa"/>
            <w:gridSpan w:val="2"/>
            <w:vAlign w:val="center"/>
          </w:tcPr>
          <w:p w14:paraId="6351ACAB">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工期保证体系及保证措施</w:t>
            </w:r>
          </w:p>
        </w:tc>
        <w:tc>
          <w:tcPr>
            <w:tcW w:w="5048" w:type="dxa"/>
            <w:vMerge w:val="continue"/>
            <w:vAlign w:val="top"/>
          </w:tcPr>
          <w:p w14:paraId="24290428">
            <w:pPr>
              <w:spacing w:after="31" w:afterLines="10" w:line="400" w:lineRule="exact"/>
              <w:ind w:firstLine="420" w:firstLineChars="200"/>
              <w:jc w:val="left"/>
              <w:rPr>
                <w:rFonts w:hint="eastAsia" w:ascii="宋体" w:hAnsi="宋体"/>
                <w:szCs w:val="21"/>
              </w:rPr>
            </w:pPr>
          </w:p>
        </w:tc>
      </w:tr>
      <w:tr w14:paraId="54D4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2DEFB3CF">
            <w:pPr>
              <w:spacing w:line="400" w:lineRule="exact"/>
              <w:jc w:val="center"/>
              <w:rPr>
                <w:rFonts w:ascii="宋体" w:hAnsi="宋体"/>
              </w:rPr>
            </w:pPr>
          </w:p>
        </w:tc>
        <w:tc>
          <w:tcPr>
            <w:tcW w:w="1599" w:type="dxa"/>
            <w:vMerge w:val="continue"/>
            <w:vAlign w:val="center"/>
          </w:tcPr>
          <w:p w14:paraId="352C9526">
            <w:pPr>
              <w:spacing w:line="400" w:lineRule="exact"/>
              <w:jc w:val="center"/>
              <w:rPr>
                <w:rFonts w:hint="eastAsia" w:ascii="宋体" w:hAnsi="宋体"/>
              </w:rPr>
            </w:pPr>
          </w:p>
        </w:tc>
        <w:tc>
          <w:tcPr>
            <w:tcW w:w="2355" w:type="dxa"/>
            <w:gridSpan w:val="2"/>
            <w:vAlign w:val="center"/>
          </w:tcPr>
          <w:p w14:paraId="25CAD9C4">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工程质量管理体系及保证措施</w:t>
            </w:r>
          </w:p>
        </w:tc>
        <w:tc>
          <w:tcPr>
            <w:tcW w:w="5048" w:type="dxa"/>
            <w:vMerge w:val="continue"/>
            <w:vAlign w:val="top"/>
          </w:tcPr>
          <w:p w14:paraId="7C059F73">
            <w:pPr>
              <w:spacing w:after="31" w:afterLines="10" w:line="400" w:lineRule="exact"/>
              <w:ind w:firstLine="420" w:firstLineChars="200"/>
              <w:jc w:val="left"/>
              <w:rPr>
                <w:rFonts w:hint="eastAsia" w:ascii="宋体" w:hAnsi="宋体"/>
                <w:szCs w:val="21"/>
              </w:rPr>
            </w:pPr>
          </w:p>
        </w:tc>
      </w:tr>
      <w:tr w14:paraId="54B9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7C1203E3">
            <w:pPr>
              <w:spacing w:line="400" w:lineRule="exact"/>
              <w:jc w:val="center"/>
              <w:rPr>
                <w:rFonts w:ascii="宋体" w:hAnsi="宋体"/>
              </w:rPr>
            </w:pPr>
          </w:p>
        </w:tc>
        <w:tc>
          <w:tcPr>
            <w:tcW w:w="1599" w:type="dxa"/>
            <w:vMerge w:val="continue"/>
            <w:vAlign w:val="center"/>
          </w:tcPr>
          <w:p w14:paraId="3EA90F41">
            <w:pPr>
              <w:spacing w:line="400" w:lineRule="exact"/>
              <w:jc w:val="center"/>
              <w:rPr>
                <w:rFonts w:hint="eastAsia" w:ascii="宋体" w:hAnsi="宋体"/>
              </w:rPr>
            </w:pPr>
          </w:p>
        </w:tc>
        <w:tc>
          <w:tcPr>
            <w:tcW w:w="2355" w:type="dxa"/>
            <w:gridSpan w:val="2"/>
            <w:vAlign w:val="center"/>
          </w:tcPr>
          <w:p w14:paraId="3B42C72C">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安全生产管理体系及保证措施</w:t>
            </w:r>
          </w:p>
        </w:tc>
        <w:tc>
          <w:tcPr>
            <w:tcW w:w="5048" w:type="dxa"/>
            <w:vMerge w:val="continue"/>
            <w:vAlign w:val="top"/>
          </w:tcPr>
          <w:p w14:paraId="4288C48B">
            <w:pPr>
              <w:spacing w:after="31" w:afterLines="10" w:line="400" w:lineRule="exact"/>
              <w:ind w:firstLine="420" w:firstLineChars="200"/>
              <w:jc w:val="left"/>
              <w:rPr>
                <w:rFonts w:hint="eastAsia" w:ascii="宋体" w:hAnsi="宋体"/>
                <w:szCs w:val="21"/>
              </w:rPr>
            </w:pPr>
          </w:p>
        </w:tc>
      </w:tr>
      <w:tr w14:paraId="2C198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6D1ED5F0">
            <w:pPr>
              <w:spacing w:line="400" w:lineRule="exact"/>
              <w:jc w:val="center"/>
              <w:rPr>
                <w:rFonts w:ascii="宋体" w:hAnsi="宋体"/>
              </w:rPr>
            </w:pPr>
          </w:p>
        </w:tc>
        <w:tc>
          <w:tcPr>
            <w:tcW w:w="1599" w:type="dxa"/>
            <w:vMerge w:val="continue"/>
            <w:vAlign w:val="center"/>
          </w:tcPr>
          <w:p w14:paraId="34A49970">
            <w:pPr>
              <w:spacing w:line="400" w:lineRule="exact"/>
              <w:jc w:val="center"/>
              <w:rPr>
                <w:rFonts w:hint="eastAsia" w:ascii="宋体" w:hAnsi="宋体"/>
              </w:rPr>
            </w:pPr>
          </w:p>
        </w:tc>
        <w:tc>
          <w:tcPr>
            <w:tcW w:w="2355" w:type="dxa"/>
            <w:gridSpan w:val="2"/>
            <w:vAlign w:val="center"/>
          </w:tcPr>
          <w:p w14:paraId="478BCB48">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文明施工与环境保护保证体系及保证措施</w:t>
            </w:r>
          </w:p>
        </w:tc>
        <w:tc>
          <w:tcPr>
            <w:tcW w:w="5048" w:type="dxa"/>
            <w:vMerge w:val="continue"/>
            <w:vAlign w:val="top"/>
          </w:tcPr>
          <w:p w14:paraId="5FF60AD0">
            <w:pPr>
              <w:spacing w:after="31" w:afterLines="10" w:line="400" w:lineRule="exact"/>
              <w:ind w:firstLine="420" w:firstLineChars="200"/>
              <w:jc w:val="left"/>
              <w:rPr>
                <w:rFonts w:hint="eastAsia" w:ascii="宋体" w:hAnsi="宋体"/>
                <w:szCs w:val="21"/>
              </w:rPr>
            </w:pPr>
          </w:p>
        </w:tc>
      </w:tr>
      <w:tr w14:paraId="1227E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7A3D0CE4">
            <w:pPr>
              <w:spacing w:line="400" w:lineRule="exact"/>
              <w:jc w:val="center"/>
              <w:rPr>
                <w:rFonts w:ascii="宋体" w:hAnsi="宋体"/>
              </w:rPr>
            </w:pPr>
          </w:p>
        </w:tc>
        <w:tc>
          <w:tcPr>
            <w:tcW w:w="1599" w:type="dxa"/>
            <w:vMerge w:val="continue"/>
            <w:vAlign w:val="center"/>
          </w:tcPr>
          <w:p w14:paraId="3D21289A">
            <w:pPr>
              <w:spacing w:line="400" w:lineRule="exact"/>
              <w:jc w:val="center"/>
              <w:rPr>
                <w:rFonts w:hint="eastAsia" w:ascii="宋体" w:hAnsi="宋体"/>
              </w:rPr>
            </w:pPr>
          </w:p>
        </w:tc>
        <w:tc>
          <w:tcPr>
            <w:tcW w:w="2355" w:type="dxa"/>
            <w:gridSpan w:val="2"/>
            <w:vAlign w:val="center"/>
          </w:tcPr>
          <w:p w14:paraId="767A1A35">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施工过程中的交通组织措施</w:t>
            </w:r>
          </w:p>
        </w:tc>
        <w:tc>
          <w:tcPr>
            <w:tcW w:w="5048" w:type="dxa"/>
            <w:vMerge w:val="continue"/>
            <w:vAlign w:val="top"/>
          </w:tcPr>
          <w:p w14:paraId="6F3437F4">
            <w:pPr>
              <w:spacing w:after="31" w:afterLines="10" w:line="400" w:lineRule="exact"/>
              <w:ind w:firstLine="420" w:firstLineChars="200"/>
              <w:jc w:val="left"/>
              <w:rPr>
                <w:rFonts w:hint="eastAsia" w:ascii="宋体" w:hAnsi="宋体"/>
                <w:szCs w:val="21"/>
              </w:rPr>
            </w:pPr>
          </w:p>
        </w:tc>
      </w:tr>
      <w:tr w14:paraId="2108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65F6FA53">
            <w:pPr>
              <w:spacing w:line="400" w:lineRule="exact"/>
              <w:jc w:val="center"/>
              <w:rPr>
                <w:rFonts w:ascii="宋体" w:hAnsi="宋体"/>
              </w:rPr>
            </w:pPr>
          </w:p>
        </w:tc>
        <w:tc>
          <w:tcPr>
            <w:tcW w:w="1599" w:type="dxa"/>
            <w:vMerge w:val="continue"/>
            <w:vAlign w:val="center"/>
          </w:tcPr>
          <w:p w14:paraId="1FB56391">
            <w:pPr>
              <w:spacing w:line="400" w:lineRule="exact"/>
              <w:jc w:val="center"/>
              <w:rPr>
                <w:rFonts w:hint="eastAsia" w:ascii="宋体" w:hAnsi="宋体"/>
              </w:rPr>
            </w:pPr>
          </w:p>
        </w:tc>
        <w:tc>
          <w:tcPr>
            <w:tcW w:w="2355" w:type="dxa"/>
            <w:gridSpan w:val="2"/>
            <w:vAlign w:val="center"/>
          </w:tcPr>
          <w:p w14:paraId="711B7342">
            <w:pPr>
              <w:widowControl/>
              <w:spacing w:line="400" w:lineRule="exact"/>
              <w:jc w:val="left"/>
              <w:rPr>
                <w:rFonts w:hint="eastAsia" w:ascii="宋体" w:hAnsi="宋体"/>
                <w:kern w:val="0"/>
              </w:rPr>
            </w:pPr>
            <w:r>
              <w:rPr>
                <w:rFonts w:hint="eastAsia"/>
              </w:rPr>
              <w:t>□</w:t>
            </w:r>
            <w:r>
              <w:rPr>
                <w:rFonts w:hint="eastAsia" w:ascii="宋体" w:hAnsi="宋体" w:cs="宋体"/>
                <w:kern w:val="0"/>
                <w:szCs w:val="21"/>
                <w:lang w:bidi="ar"/>
              </w:rPr>
              <w:t>项目风险预测与防范，事故应急预案</w:t>
            </w:r>
          </w:p>
        </w:tc>
        <w:tc>
          <w:tcPr>
            <w:tcW w:w="5048" w:type="dxa"/>
            <w:vMerge w:val="continue"/>
            <w:vAlign w:val="top"/>
          </w:tcPr>
          <w:p w14:paraId="54548C83">
            <w:pPr>
              <w:spacing w:after="31" w:afterLines="10" w:line="400" w:lineRule="exact"/>
              <w:ind w:firstLine="420" w:firstLineChars="200"/>
              <w:jc w:val="left"/>
              <w:rPr>
                <w:rFonts w:hint="eastAsia" w:ascii="宋体" w:hAnsi="宋体"/>
                <w:szCs w:val="21"/>
              </w:rPr>
            </w:pPr>
          </w:p>
        </w:tc>
      </w:tr>
      <w:tr w14:paraId="481B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7C7A32EC">
            <w:pPr>
              <w:spacing w:line="400" w:lineRule="exact"/>
              <w:jc w:val="center"/>
              <w:rPr>
                <w:rFonts w:ascii="宋体" w:hAnsi="宋体"/>
              </w:rPr>
            </w:pPr>
          </w:p>
        </w:tc>
        <w:tc>
          <w:tcPr>
            <w:tcW w:w="1599" w:type="dxa"/>
            <w:vMerge w:val="continue"/>
            <w:vAlign w:val="center"/>
          </w:tcPr>
          <w:p w14:paraId="7005B2D9">
            <w:pPr>
              <w:spacing w:line="400" w:lineRule="exact"/>
              <w:jc w:val="center"/>
              <w:rPr>
                <w:rFonts w:hint="eastAsia" w:ascii="宋体" w:hAnsi="宋体"/>
              </w:rPr>
            </w:pPr>
          </w:p>
        </w:tc>
        <w:tc>
          <w:tcPr>
            <w:tcW w:w="2355" w:type="dxa"/>
            <w:gridSpan w:val="2"/>
            <w:vAlign w:val="top"/>
          </w:tcPr>
          <w:p w14:paraId="01D435CD">
            <w:pPr>
              <w:snapToGrid w:val="0"/>
              <w:spacing w:line="400" w:lineRule="exact"/>
              <w:jc w:val="left"/>
              <w:rPr>
                <w:rFonts w:hint="eastAsia" w:ascii="宋体" w:hAnsi="宋体" w:cs="宋体"/>
                <w:kern w:val="0"/>
              </w:rPr>
            </w:pPr>
            <w:r>
              <w:rPr>
                <w:rFonts w:hint="eastAsia" w:ascii="宋体" w:hAnsi="宋体" w:cs="宋体"/>
                <w:kern w:val="0"/>
              </w:rPr>
              <w:t>□</w:t>
            </w:r>
            <w:r>
              <w:rPr>
                <w:rFonts w:ascii="宋体" w:hAnsi="宋体" w:cs="宋体"/>
                <w:kern w:val="0"/>
              </w:rPr>
              <w:t>……</w:t>
            </w:r>
          </w:p>
        </w:tc>
        <w:tc>
          <w:tcPr>
            <w:tcW w:w="5048" w:type="dxa"/>
            <w:vMerge w:val="continue"/>
            <w:vAlign w:val="top"/>
          </w:tcPr>
          <w:p w14:paraId="2FD9F163">
            <w:pPr>
              <w:spacing w:after="31" w:afterLines="10" w:line="400" w:lineRule="exact"/>
              <w:ind w:firstLine="420" w:firstLineChars="200"/>
              <w:jc w:val="left"/>
              <w:rPr>
                <w:rFonts w:hint="eastAsia" w:ascii="宋体" w:hAnsi="宋体"/>
                <w:szCs w:val="21"/>
              </w:rPr>
            </w:pPr>
          </w:p>
        </w:tc>
      </w:tr>
      <w:tr w14:paraId="6C0BF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vMerge w:val="continue"/>
            <w:vAlign w:val="center"/>
          </w:tcPr>
          <w:p w14:paraId="294333CD">
            <w:pPr>
              <w:spacing w:line="400" w:lineRule="exact"/>
              <w:jc w:val="center"/>
              <w:rPr>
                <w:rFonts w:ascii="宋体" w:hAnsi="宋体"/>
              </w:rPr>
            </w:pPr>
          </w:p>
        </w:tc>
        <w:tc>
          <w:tcPr>
            <w:tcW w:w="1599" w:type="dxa"/>
            <w:vMerge w:val="continue"/>
            <w:vAlign w:val="center"/>
          </w:tcPr>
          <w:p w14:paraId="2ECA7C93">
            <w:pPr>
              <w:spacing w:line="400" w:lineRule="exact"/>
              <w:jc w:val="center"/>
              <w:rPr>
                <w:rFonts w:hint="eastAsia" w:ascii="宋体" w:hAnsi="宋体"/>
              </w:rPr>
            </w:pPr>
          </w:p>
        </w:tc>
        <w:tc>
          <w:tcPr>
            <w:tcW w:w="2355" w:type="dxa"/>
            <w:gridSpan w:val="2"/>
            <w:vAlign w:val="center"/>
          </w:tcPr>
          <w:p w14:paraId="2831A8DF">
            <w:pPr>
              <w:snapToGrid w:val="0"/>
              <w:spacing w:line="400" w:lineRule="exact"/>
              <w:rPr>
                <w:rFonts w:hint="eastAsia" w:ascii="宋体" w:hAnsi="宋体" w:cs="宋体"/>
                <w:kern w:val="0"/>
              </w:rPr>
            </w:pPr>
            <w:r>
              <w:rPr>
                <w:rFonts w:hint="eastAsia" w:ascii="宋体" w:hAnsi="宋体" w:cs="宋体"/>
                <w:kern w:val="0"/>
              </w:rPr>
              <w:t>□项目经理答辩</w:t>
            </w:r>
          </w:p>
        </w:tc>
        <w:tc>
          <w:tcPr>
            <w:tcW w:w="5048" w:type="dxa"/>
            <w:vAlign w:val="top"/>
          </w:tcPr>
          <w:p w14:paraId="5F832478">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评标委员会按第2.2.2（1）目各评审因素设定的分值评分。</w:t>
            </w:r>
          </w:p>
          <w:p w14:paraId="455907B4">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项目经理不参与答辩的，其答辩部分分值为0分；若答辩过程中透露与投标人企业有关的任何信息的，其答辩部分分值得0分。</w:t>
            </w:r>
          </w:p>
          <w:p w14:paraId="7DC15042">
            <w:pPr>
              <w:autoSpaceDE w:val="0"/>
              <w:autoSpaceDN w:val="0"/>
              <w:adjustRightInd w:val="0"/>
              <w:snapToGrid w:val="0"/>
              <w:spacing w:line="400" w:lineRule="exact"/>
              <w:ind w:firstLine="420" w:firstLineChars="200"/>
              <w:rPr>
                <w:rFonts w:hint="eastAsia" w:ascii="宋体" w:hAnsi="宋体"/>
                <w:szCs w:val="21"/>
              </w:rPr>
            </w:pPr>
            <w:r>
              <w:rPr>
                <w:rFonts w:hint="eastAsia" w:ascii="宋体" w:hAnsi="宋体"/>
                <w:szCs w:val="21"/>
              </w:rPr>
              <w:t>评标委员会成员为5人及以上时，所有评委评分中去掉一个最高和一个最低分，余下评委评分取算术平均值为该投标人答辩得分。</w:t>
            </w:r>
          </w:p>
          <w:p w14:paraId="54ACD759">
            <w:pPr>
              <w:spacing w:after="31" w:afterLines="10" w:line="400" w:lineRule="exact"/>
              <w:ind w:firstLine="420" w:firstLineChars="200"/>
              <w:jc w:val="left"/>
              <w:rPr>
                <w:rFonts w:hint="eastAsia" w:ascii="宋体" w:hAnsi="宋体"/>
                <w:szCs w:val="21"/>
              </w:rPr>
            </w:pPr>
            <w:r>
              <w:rPr>
                <w:rFonts w:hint="eastAsia" w:ascii="宋体" w:hAnsi="宋体"/>
                <w:szCs w:val="21"/>
              </w:rPr>
              <w:t>投标人答辩得分的最终结果取小数点后两位，</w:t>
            </w:r>
            <w:r>
              <w:rPr>
                <w:rFonts w:hint="eastAsia" w:ascii="宋体" w:hAnsi="宋体"/>
                <w:kern w:val="0"/>
                <w:szCs w:val="21"/>
              </w:rPr>
              <w:t>小数点后</w:t>
            </w:r>
            <w:r>
              <w:rPr>
                <w:rFonts w:hint="eastAsia" w:ascii="宋体" w:hAnsi="宋体"/>
                <w:szCs w:val="21"/>
              </w:rPr>
              <w:t>第三位四舍五入。</w:t>
            </w:r>
          </w:p>
        </w:tc>
      </w:tr>
      <w:tr w14:paraId="672CD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70DD0FD5">
            <w:pPr>
              <w:spacing w:line="400" w:lineRule="exact"/>
              <w:jc w:val="center"/>
              <w:rPr>
                <w:rFonts w:ascii="宋体" w:hAnsi="宋体"/>
              </w:rPr>
            </w:pPr>
            <w:r>
              <w:rPr>
                <w:rFonts w:hint="eastAsia" w:ascii="宋体" w:hAnsi="宋体"/>
              </w:rPr>
              <w:t>3.2.1（2）</w:t>
            </w:r>
          </w:p>
        </w:tc>
        <w:tc>
          <w:tcPr>
            <w:tcW w:w="1599" w:type="dxa"/>
            <w:tcBorders>
              <w:left w:val="single" w:color="auto" w:sz="4" w:space="0"/>
              <w:bottom w:val="single" w:color="auto" w:sz="4" w:space="0"/>
              <w:right w:val="single" w:color="auto" w:sz="4" w:space="0"/>
            </w:tcBorders>
            <w:vAlign w:val="center"/>
          </w:tcPr>
          <w:p w14:paraId="2438D54E">
            <w:pPr>
              <w:spacing w:line="400" w:lineRule="exact"/>
              <w:jc w:val="center"/>
              <w:rPr>
                <w:rFonts w:hint="eastAsia" w:ascii="宋体" w:hAnsi="宋体"/>
              </w:rPr>
            </w:pPr>
            <w:r>
              <w:rPr>
                <w:rFonts w:hint="eastAsia" w:ascii="宋体" w:hAnsi="宋体"/>
              </w:rPr>
              <w:t>商务部分得分（B）</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58141695">
            <w:pPr>
              <w:spacing w:line="400" w:lineRule="exact"/>
              <w:jc w:val="center"/>
              <w:rPr>
                <w:rFonts w:hint="eastAsia" w:ascii="宋体" w:hAnsi="宋体"/>
              </w:rPr>
            </w:pPr>
            <w:r>
              <w:rPr>
                <w:rFonts w:hint="eastAsia" w:ascii="宋体" w:hAnsi="宋体"/>
              </w:rPr>
              <w:t>评标标准详见</w:t>
            </w:r>
          </w:p>
          <w:p w14:paraId="7C5BC263">
            <w:pPr>
              <w:spacing w:line="400" w:lineRule="exact"/>
              <w:jc w:val="center"/>
              <w:rPr>
                <w:rFonts w:hint="eastAsia" w:ascii="宋体" w:hAnsi="宋体" w:cs="宋体"/>
                <w:kern w:val="0"/>
              </w:rPr>
            </w:pPr>
            <w:r>
              <w:rPr>
                <w:rFonts w:hint="eastAsia" w:ascii="宋体" w:hAnsi="宋体"/>
              </w:rPr>
              <w:t>2.2.2（2）</w:t>
            </w:r>
          </w:p>
        </w:tc>
        <w:tc>
          <w:tcPr>
            <w:tcW w:w="5048" w:type="dxa"/>
            <w:tcBorders>
              <w:left w:val="single" w:color="auto" w:sz="4" w:space="0"/>
              <w:bottom w:val="single" w:color="auto" w:sz="4" w:space="0"/>
              <w:right w:val="single" w:color="auto" w:sz="4" w:space="0"/>
            </w:tcBorders>
            <w:vAlign w:val="top"/>
          </w:tcPr>
          <w:p w14:paraId="3C6A621A">
            <w:pPr>
              <w:spacing w:after="31" w:afterLines="10" w:line="400" w:lineRule="exact"/>
              <w:ind w:firstLine="420" w:firstLineChars="200"/>
              <w:jc w:val="left"/>
              <w:rPr>
                <w:rFonts w:hint="eastAsia" w:ascii="宋体" w:hAnsi="宋体"/>
                <w:szCs w:val="21"/>
              </w:rPr>
            </w:pPr>
            <w:r>
              <w:rPr>
                <w:rFonts w:hint="eastAsia" w:ascii="宋体" w:hAnsi="宋体"/>
                <w:szCs w:val="21"/>
              </w:rPr>
              <w:t>商务部分评分为客观评分，评标委员会按第</w:t>
            </w:r>
            <w:r>
              <w:rPr>
                <w:rFonts w:ascii="宋体" w:hAnsi="宋体"/>
                <w:szCs w:val="21"/>
              </w:rPr>
              <w:t>2.2.</w:t>
            </w:r>
            <w:r>
              <w:rPr>
                <w:rFonts w:hint="eastAsia" w:ascii="宋体" w:hAnsi="宋体"/>
                <w:szCs w:val="21"/>
              </w:rPr>
              <w:t>2（2）目各评审因素设定的分值统一进行评分。商务评分的最终结果取小数点后两位，</w:t>
            </w:r>
            <w:r>
              <w:rPr>
                <w:rFonts w:hint="eastAsia" w:ascii="宋体" w:hAnsi="宋体"/>
                <w:kern w:val="0"/>
                <w:szCs w:val="21"/>
              </w:rPr>
              <w:t>小数点后</w:t>
            </w:r>
            <w:r>
              <w:rPr>
                <w:rFonts w:hint="eastAsia" w:ascii="宋体" w:hAnsi="宋体"/>
                <w:szCs w:val="21"/>
              </w:rPr>
              <w:t>第三位四舍五入。</w:t>
            </w:r>
          </w:p>
        </w:tc>
      </w:tr>
      <w:tr w14:paraId="669F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5B7C44FC">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99" w:type="dxa"/>
            <w:tcBorders>
              <w:left w:val="single" w:color="auto" w:sz="4" w:space="0"/>
              <w:bottom w:val="single" w:color="auto" w:sz="4" w:space="0"/>
              <w:right w:val="single" w:color="auto" w:sz="4" w:space="0"/>
            </w:tcBorders>
            <w:vAlign w:val="center"/>
          </w:tcPr>
          <w:p w14:paraId="2D83090E">
            <w:pPr>
              <w:spacing w:line="400" w:lineRule="exact"/>
              <w:rPr>
                <w:rFonts w:ascii="宋体" w:hAnsi="宋体"/>
                <w:b/>
                <w:kern w:val="0"/>
                <w:szCs w:val="21"/>
              </w:rPr>
            </w:pPr>
            <w:r>
              <w:rPr>
                <w:rFonts w:hint="eastAsia" w:ascii="宋体" w:hAnsi="宋体"/>
                <w:b/>
                <w:kern w:val="0"/>
                <w:szCs w:val="21"/>
              </w:rPr>
              <w:t>□</w:t>
            </w:r>
            <w:r>
              <w:rPr>
                <w:rFonts w:ascii="宋体" w:hAnsi="宋体"/>
                <w:b/>
                <w:kern w:val="0"/>
                <w:szCs w:val="21"/>
              </w:rPr>
              <w:t>选项一</w:t>
            </w:r>
            <w:r>
              <w:rPr>
                <w:rFonts w:ascii="宋体" w:hAnsi="宋体"/>
                <w:b/>
                <w:kern w:val="0"/>
              </w:rPr>
              <w:t>：</w:t>
            </w:r>
          </w:p>
          <w:p w14:paraId="4268CDF0">
            <w:pPr>
              <w:spacing w:line="400" w:lineRule="exact"/>
              <w:jc w:val="center"/>
              <w:rPr>
                <w:rFonts w:hint="eastAsia"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9119E71">
            <w:pPr>
              <w:spacing w:line="400" w:lineRule="exact"/>
              <w:jc w:val="center"/>
              <w:rPr>
                <w:rFonts w:hint="eastAsia" w:ascii="宋体" w:hAnsi="宋体" w:cs="宋体"/>
                <w:kern w:val="0"/>
              </w:rPr>
            </w:pPr>
            <w:r>
              <w:rPr>
                <w:rFonts w:ascii="宋体" w:hAnsi="宋体"/>
              </w:rPr>
              <w:t>投标总报价</w:t>
            </w:r>
          </w:p>
        </w:tc>
        <w:tc>
          <w:tcPr>
            <w:tcW w:w="5048" w:type="dxa"/>
            <w:tcBorders>
              <w:left w:val="single" w:color="auto" w:sz="4" w:space="0"/>
              <w:bottom w:val="single" w:color="auto" w:sz="4" w:space="0"/>
              <w:right w:val="single" w:color="auto" w:sz="4" w:space="0"/>
            </w:tcBorders>
            <w:vAlign w:val="top"/>
          </w:tcPr>
          <w:p w14:paraId="19143075">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w:t>
            </w:r>
            <w:r>
              <w:rPr>
                <w:rFonts w:ascii="宋体" w:hAnsi="宋体"/>
                <w:szCs w:val="21"/>
              </w:rPr>
              <w:t>得</w:t>
            </w:r>
            <w:r>
              <w:rPr>
                <w:rFonts w:ascii="宋体" w:hAnsi="宋体"/>
                <w:bCs/>
                <w:szCs w:val="28"/>
              </w:rPr>
              <w:t>本附表第2.2.1项规定分值的满分</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ascii="宋体" w:hAnsi="宋体"/>
                <w:szCs w:val="21"/>
              </w:rPr>
              <w:t>分，每减少1%扣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w:t>
            </w:r>
            <w:r>
              <w:rPr>
                <w:rFonts w:hint="eastAsia" w:ascii="宋体" w:hAnsi="宋体" w:cs="宋体"/>
                <w:i/>
                <w:iCs/>
                <w:szCs w:val="21"/>
              </w:rPr>
              <w:t>[提示：本空格填写数值</w:t>
            </w:r>
            <w:r>
              <w:rPr>
                <w:rFonts w:hint="eastAsia" w:ascii="宋体" w:hAnsi="宋体" w:cs="宋体"/>
                <w:szCs w:val="21"/>
              </w:rPr>
              <w:t>0.5～1</w:t>
            </w:r>
            <w:r>
              <w:rPr>
                <w:rFonts w:hint="eastAsia" w:ascii="宋体" w:hAnsi="宋体" w:cs="宋体"/>
                <w:i/>
                <w:iCs/>
                <w:szCs w:val="21"/>
              </w:rPr>
              <w:t>]</w:t>
            </w:r>
            <w:r>
              <w:rPr>
                <w:rFonts w:ascii="宋体" w:hAnsi="宋体"/>
                <w:szCs w:val="21"/>
              </w:rPr>
              <w:t>分，扣完为止。</w:t>
            </w:r>
          </w:p>
          <w:p w14:paraId="499B4F9F">
            <w:pPr>
              <w:spacing w:line="400" w:lineRule="exact"/>
              <w:ind w:firstLine="420" w:firstLineChars="200"/>
              <w:rPr>
                <w:rFonts w:hint="eastAsia" w:ascii="宋体" w:hAnsi="宋体"/>
                <w:szCs w:val="21"/>
              </w:rPr>
            </w:pPr>
            <w:r>
              <w:rPr>
                <w:rFonts w:ascii="宋体" w:hAnsi="宋体"/>
                <w:szCs w:val="21"/>
              </w:rPr>
              <w:t>按插入法计算得分。</w:t>
            </w:r>
          </w:p>
          <w:p w14:paraId="0D4633A7">
            <w:pPr>
              <w:spacing w:line="400" w:lineRule="exact"/>
              <w:ind w:firstLine="420" w:firstLineChars="200"/>
              <w:rPr>
                <w:rFonts w:ascii="宋体" w:hAnsi="宋体"/>
                <w:szCs w:val="21"/>
              </w:rPr>
            </w:pPr>
            <w:r>
              <w:rPr>
                <w:rFonts w:hint="eastAsia" w:ascii="宋体" w:hAnsi="宋体"/>
                <w:kern w:val="0"/>
                <w:szCs w:val="21"/>
              </w:rPr>
              <w:t>未参与评标基准价计算的投标报价，仍应参加计算相应分值。</w:t>
            </w:r>
          </w:p>
          <w:p w14:paraId="71540857">
            <w:pPr>
              <w:spacing w:after="31" w:afterLines="10" w:line="400" w:lineRule="exact"/>
              <w:ind w:firstLine="420" w:firstLineChars="200"/>
              <w:jc w:val="left"/>
              <w:rPr>
                <w:rFonts w:hint="eastAsia" w:ascii="宋体" w:hAnsi="宋体"/>
                <w:szCs w:val="21"/>
              </w:rPr>
            </w:pPr>
            <w:r>
              <w:rPr>
                <w:rFonts w:hint="eastAsia" w:ascii="宋体" w:hAnsi="宋体"/>
                <w:kern w:val="0"/>
                <w:szCs w:val="21"/>
              </w:rPr>
              <w:t>投标总报价得分最终结果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tc>
      </w:tr>
      <w:tr w14:paraId="0585F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197399D1">
            <w:pPr>
              <w:spacing w:line="400" w:lineRule="exact"/>
              <w:jc w:val="center"/>
              <w:rPr>
                <w:rFonts w:ascii="宋体" w:hAnsi="宋体"/>
              </w:rPr>
            </w:pPr>
            <w:r>
              <w:rPr>
                <w:rFonts w:ascii="宋体" w:hAnsi="宋体"/>
              </w:rPr>
              <w:t>3.2.1（</w:t>
            </w:r>
            <w:r>
              <w:rPr>
                <w:rFonts w:hint="eastAsia" w:ascii="宋体" w:hAnsi="宋体"/>
              </w:rPr>
              <w:t>3</w:t>
            </w:r>
            <w:r>
              <w:rPr>
                <w:rFonts w:ascii="宋体" w:hAnsi="宋体"/>
              </w:rPr>
              <w:t>）</w:t>
            </w:r>
          </w:p>
        </w:tc>
        <w:tc>
          <w:tcPr>
            <w:tcW w:w="1599" w:type="dxa"/>
            <w:tcBorders>
              <w:left w:val="single" w:color="auto" w:sz="4" w:space="0"/>
              <w:bottom w:val="single" w:color="auto" w:sz="4" w:space="0"/>
              <w:right w:val="single" w:color="auto" w:sz="4" w:space="0"/>
            </w:tcBorders>
            <w:vAlign w:val="center"/>
          </w:tcPr>
          <w:p w14:paraId="0E6E15E2">
            <w:pPr>
              <w:spacing w:line="400" w:lineRule="exact"/>
              <w:rPr>
                <w:rFonts w:hint="eastAsia" w:ascii="宋体" w:hAnsi="宋体"/>
                <w:b/>
                <w:kern w:val="0"/>
                <w:szCs w:val="21"/>
              </w:rPr>
            </w:pPr>
            <w:r>
              <w:rPr>
                <w:rFonts w:hint="eastAsia" w:ascii="宋体" w:hAnsi="宋体"/>
                <w:b/>
                <w:kern w:val="0"/>
                <w:szCs w:val="21"/>
              </w:rPr>
              <w:t>□</w:t>
            </w:r>
            <w:r>
              <w:rPr>
                <w:rFonts w:ascii="宋体" w:hAnsi="宋体"/>
                <w:b/>
                <w:kern w:val="0"/>
                <w:szCs w:val="21"/>
              </w:rPr>
              <w:t>选项二：</w:t>
            </w:r>
          </w:p>
          <w:p w14:paraId="2BA82756">
            <w:pPr>
              <w:spacing w:line="400" w:lineRule="exact"/>
              <w:jc w:val="center"/>
              <w:rPr>
                <w:rFonts w:ascii="宋体" w:hAnsi="宋体"/>
              </w:rPr>
            </w:pPr>
            <w:r>
              <w:rPr>
                <w:rFonts w:ascii="宋体" w:hAnsi="宋体"/>
              </w:rPr>
              <w:t>投标报价</w:t>
            </w:r>
            <w:r>
              <w:rPr>
                <w:rFonts w:ascii="宋体" w:hAnsi="宋体"/>
                <w:kern w:val="0"/>
              </w:rPr>
              <w:t>得分</w:t>
            </w:r>
            <w:r>
              <w:rPr>
                <w:rFonts w:ascii="宋体" w:hAnsi="宋体"/>
                <w:spacing w:val="-8"/>
              </w:rPr>
              <w:t>（</w:t>
            </w:r>
            <w:r>
              <w:rPr>
                <w:rFonts w:hint="eastAsia" w:ascii="宋体" w:hAnsi="宋体"/>
                <w:spacing w:val="-8"/>
              </w:rPr>
              <w:t>C</w:t>
            </w:r>
            <w:r>
              <w:rPr>
                <w:rFonts w:ascii="宋体" w:hAnsi="宋体"/>
                <w:spacing w:val="-8"/>
              </w:rPr>
              <w:t>）</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37AC80D8">
            <w:pPr>
              <w:spacing w:line="400" w:lineRule="exact"/>
              <w:jc w:val="center"/>
              <w:rPr>
                <w:rFonts w:ascii="宋体" w:hAnsi="宋体"/>
              </w:rPr>
            </w:pPr>
            <w:r>
              <w:rPr>
                <w:rFonts w:ascii="宋体" w:hAnsi="宋体"/>
              </w:rPr>
              <w:t>投标总报价</w:t>
            </w:r>
          </w:p>
        </w:tc>
        <w:tc>
          <w:tcPr>
            <w:tcW w:w="5048" w:type="dxa"/>
            <w:tcBorders>
              <w:left w:val="single" w:color="auto" w:sz="4" w:space="0"/>
              <w:bottom w:val="single" w:color="auto" w:sz="4" w:space="0"/>
              <w:right w:val="single" w:color="auto" w:sz="4" w:space="0"/>
            </w:tcBorders>
            <w:vAlign w:val="center"/>
          </w:tcPr>
          <w:p w14:paraId="646C900B">
            <w:pPr>
              <w:spacing w:line="400" w:lineRule="exact"/>
              <w:ind w:firstLine="420" w:firstLineChars="200"/>
              <w:rPr>
                <w:rFonts w:ascii="宋体" w:hAnsi="宋体"/>
                <w:szCs w:val="21"/>
              </w:rPr>
            </w:pPr>
            <w:r>
              <w:rPr>
                <w:rFonts w:ascii="宋体" w:hAnsi="宋体"/>
                <w:kern w:val="0"/>
                <w:szCs w:val="21"/>
              </w:rPr>
              <w:t>所有通过初步评审</w:t>
            </w:r>
            <w:r>
              <w:rPr>
                <w:rFonts w:hint="eastAsia" w:ascii="宋体" w:hAnsi="宋体"/>
                <w:kern w:val="0"/>
                <w:szCs w:val="21"/>
              </w:rPr>
              <w:t>和本章第2.2.2（3）目评审</w:t>
            </w:r>
            <w:r>
              <w:rPr>
                <w:rFonts w:ascii="宋体" w:hAnsi="宋体"/>
                <w:kern w:val="0"/>
                <w:szCs w:val="21"/>
              </w:rPr>
              <w:t>合格的投标人</w:t>
            </w:r>
            <w:r>
              <w:rPr>
                <w:rFonts w:ascii="宋体" w:hAnsi="宋体"/>
                <w:szCs w:val="21"/>
              </w:rPr>
              <w:t>的投标总报</w:t>
            </w:r>
            <w:r>
              <w:rPr>
                <w:rFonts w:ascii="宋体" w:hAnsi="宋体"/>
                <w:kern w:val="0"/>
                <w:szCs w:val="21"/>
              </w:rPr>
              <w:t>价</w:t>
            </w:r>
            <w:r>
              <w:rPr>
                <w:rFonts w:ascii="宋体" w:hAnsi="宋体"/>
                <w:szCs w:val="21"/>
              </w:rPr>
              <w:t>得</w:t>
            </w:r>
            <w:r>
              <w:rPr>
                <w:rFonts w:ascii="宋体" w:hAnsi="宋体"/>
                <w:bCs/>
                <w:szCs w:val="28"/>
                <w:u w:val="single"/>
              </w:rPr>
              <w:t xml:space="preserve">     </w:t>
            </w:r>
            <w:r>
              <w:rPr>
                <w:rFonts w:ascii="宋体" w:hAnsi="宋体"/>
                <w:szCs w:val="21"/>
              </w:rPr>
              <w:t>分。在此基础上，投标总报价与评标基准价相比，每增加1%扣</w:t>
            </w:r>
            <w:r>
              <w:rPr>
                <w:rFonts w:ascii="宋体" w:hAnsi="宋体"/>
                <w:szCs w:val="21"/>
                <w:u w:val="single"/>
              </w:rPr>
              <w:t>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ascii="宋体" w:hAnsi="宋体"/>
                <w:szCs w:val="21"/>
              </w:rPr>
              <w:t>分，扣完为止，每减少1%加</w:t>
            </w:r>
            <w:r>
              <w:rPr>
                <w:rFonts w:ascii="宋体" w:hAnsi="宋体"/>
                <w:szCs w:val="21"/>
                <w:u w:val="single"/>
              </w:rPr>
              <w:t>　</w:t>
            </w:r>
            <w:r>
              <w:rPr>
                <w:rFonts w:hint="eastAsia" w:ascii="宋体" w:hAnsi="宋体"/>
                <w:szCs w:val="21"/>
                <w:u w:val="single"/>
              </w:rPr>
              <w:t xml:space="preserve">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ascii="宋体" w:hAnsi="宋体"/>
                <w:szCs w:val="21"/>
              </w:rPr>
              <w:t>分，最多加</w:t>
            </w:r>
            <w:r>
              <w:rPr>
                <w:rFonts w:ascii="宋体" w:hAnsi="宋体"/>
                <w:szCs w:val="21"/>
                <w:u w:val="single"/>
              </w:rPr>
              <w:t>　</w:t>
            </w:r>
            <w:r>
              <w:rPr>
                <w:rFonts w:hint="eastAsia" w:ascii="宋体" w:hAnsi="宋体"/>
                <w:szCs w:val="21"/>
                <w:u w:val="single"/>
              </w:rPr>
              <w:t xml:space="preserve">    </w:t>
            </w:r>
            <w:r>
              <w:rPr>
                <w:rFonts w:ascii="宋体" w:hAnsi="宋体"/>
                <w:szCs w:val="21"/>
              </w:rPr>
              <w:t>分。</w:t>
            </w:r>
          </w:p>
          <w:p w14:paraId="2A6FB2FE">
            <w:pPr>
              <w:spacing w:line="400" w:lineRule="exact"/>
              <w:ind w:firstLine="420" w:firstLineChars="200"/>
              <w:rPr>
                <w:rFonts w:hint="eastAsia" w:ascii="宋体" w:hAnsi="宋体"/>
                <w:szCs w:val="21"/>
              </w:rPr>
            </w:pPr>
            <w:r>
              <w:rPr>
                <w:rFonts w:ascii="宋体" w:hAnsi="宋体"/>
                <w:szCs w:val="21"/>
              </w:rPr>
              <w:t>按插入法计算得分。</w:t>
            </w:r>
          </w:p>
          <w:p w14:paraId="5D3E3A11">
            <w:pPr>
              <w:spacing w:line="400" w:lineRule="exact"/>
              <w:ind w:firstLine="420" w:firstLineChars="200"/>
              <w:rPr>
                <w:rFonts w:ascii="宋体" w:hAnsi="宋体"/>
                <w:szCs w:val="21"/>
              </w:rPr>
            </w:pPr>
            <w:r>
              <w:rPr>
                <w:rFonts w:hint="eastAsia" w:ascii="宋体" w:hAnsi="宋体"/>
                <w:kern w:val="0"/>
                <w:szCs w:val="21"/>
              </w:rPr>
              <w:t>未参与评标基准价计算的投标报价，仍应参加计算相应分值。</w:t>
            </w:r>
          </w:p>
          <w:p w14:paraId="218BD0DA">
            <w:pPr>
              <w:spacing w:line="400" w:lineRule="exact"/>
              <w:ind w:firstLine="420" w:firstLineChars="200"/>
              <w:rPr>
                <w:rFonts w:ascii="宋体" w:hAnsi="宋体"/>
                <w:kern w:val="0"/>
                <w:szCs w:val="21"/>
              </w:rPr>
            </w:pPr>
            <w:r>
              <w:rPr>
                <w:rFonts w:hint="eastAsia" w:ascii="宋体" w:hAnsi="宋体"/>
                <w:kern w:val="0"/>
                <w:szCs w:val="21"/>
              </w:rPr>
              <w:t>投标总报价得分最终结果</w:t>
            </w:r>
            <w:r>
              <w:rPr>
                <w:rFonts w:ascii="宋体" w:hAnsi="宋体"/>
                <w:kern w:val="0"/>
                <w:szCs w:val="21"/>
              </w:rPr>
              <w:t>取小数点后两位，</w:t>
            </w:r>
            <w:r>
              <w:rPr>
                <w:rFonts w:hint="eastAsia" w:ascii="宋体" w:hAnsi="宋体"/>
                <w:kern w:val="0"/>
                <w:szCs w:val="21"/>
              </w:rPr>
              <w:t>小数点后</w:t>
            </w:r>
            <w:r>
              <w:rPr>
                <w:rFonts w:ascii="宋体" w:hAnsi="宋体"/>
                <w:kern w:val="0"/>
                <w:szCs w:val="21"/>
              </w:rPr>
              <w:t>第三位四舍五入。</w:t>
            </w:r>
          </w:p>
        </w:tc>
      </w:tr>
      <w:tr w14:paraId="663F6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00E710E8">
            <w:pPr>
              <w:spacing w:line="400" w:lineRule="exact"/>
              <w:jc w:val="center"/>
              <w:rPr>
                <w:rFonts w:hint="eastAsia" w:ascii="宋体" w:hAnsi="宋体"/>
              </w:rPr>
            </w:pPr>
            <w:r>
              <w:rPr>
                <w:rFonts w:hint="eastAsia" w:ascii="宋体" w:hAnsi="宋体"/>
              </w:rPr>
              <w:t>3.2.1</w:t>
            </w:r>
          </w:p>
          <w:p w14:paraId="6B924B49">
            <w:pPr>
              <w:spacing w:line="400" w:lineRule="exact"/>
              <w:jc w:val="center"/>
              <w:rPr>
                <w:rFonts w:ascii="宋体" w:hAnsi="宋体"/>
              </w:rPr>
            </w:pPr>
            <w:r>
              <w:rPr>
                <w:rFonts w:hint="eastAsia" w:ascii="宋体" w:hAnsi="宋体"/>
              </w:rPr>
              <w:t>（3）</w:t>
            </w:r>
          </w:p>
        </w:tc>
        <w:tc>
          <w:tcPr>
            <w:tcW w:w="1599" w:type="dxa"/>
            <w:tcBorders>
              <w:left w:val="single" w:color="auto" w:sz="4" w:space="0"/>
              <w:bottom w:val="single" w:color="auto" w:sz="4" w:space="0"/>
              <w:right w:val="single" w:color="auto" w:sz="4" w:space="0"/>
            </w:tcBorders>
            <w:vAlign w:val="center"/>
          </w:tcPr>
          <w:p w14:paraId="0C2911A7">
            <w:pPr>
              <w:spacing w:line="400" w:lineRule="exact"/>
              <w:rPr>
                <w:rFonts w:hint="eastAsia" w:ascii="宋体" w:hAnsi="宋体"/>
                <w:b/>
                <w:kern w:val="0"/>
                <w:szCs w:val="21"/>
              </w:rPr>
            </w:pPr>
            <w:r>
              <w:rPr>
                <w:rFonts w:hint="eastAsia" w:ascii="宋体" w:hAnsi="宋体"/>
                <w:b/>
                <w:kern w:val="0"/>
                <w:szCs w:val="21"/>
              </w:rPr>
              <w:t>□选项三：</w:t>
            </w:r>
          </w:p>
          <w:p w14:paraId="3FBB1395">
            <w:pPr>
              <w:spacing w:line="400" w:lineRule="exact"/>
              <w:jc w:val="center"/>
              <w:rPr>
                <w:rFonts w:ascii="宋体" w:hAnsi="宋体"/>
              </w:rPr>
            </w:pPr>
            <w:r>
              <w:rPr>
                <w:rFonts w:hint="eastAsia" w:ascii="宋体" w:hAnsi="宋体"/>
              </w:rPr>
              <w:t>投标报价得分（C）</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2D080859">
            <w:pPr>
              <w:spacing w:line="400" w:lineRule="exact"/>
              <w:jc w:val="center"/>
              <w:rPr>
                <w:rFonts w:ascii="宋体" w:hAnsi="宋体"/>
              </w:rPr>
            </w:pPr>
            <w:r>
              <w:rPr>
                <w:rFonts w:hint="eastAsia" w:ascii="宋体" w:hAnsi="宋体"/>
              </w:rPr>
              <w:t>投标总报价</w:t>
            </w:r>
          </w:p>
        </w:tc>
        <w:tc>
          <w:tcPr>
            <w:tcW w:w="5048" w:type="dxa"/>
            <w:tcBorders>
              <w:left w:val="single" w:color="auto" w:sz="4" w:space="0"/>
              <w:bottom w:val="single" w:color="auto" w:sz="4" w:space="0"/>
              <w:right w:val="single" w:color="auto" w:sz="4" w:space="0"/>
            </w:tcBorders>
            <w:vAlign w:val="center"/>
          </w:tcPr>
          <w:p w14:paraId="79DF3A84">
            <w:pPr>
              <w:spacing w:line="400" w:lineRule="exact"/>
              <w:ind w:firstLine="420" w:firstLineChars="200"/>
              <w:rPr>
                <w:rFonts w:hint="eastAsia"/>
              </w:rPr>
            </w:pPr>
            <w:r>
              <w:t>所有通过初步评审</w:t>
            </w:r>
            <w:r>
              <w:rPr>
                <w:rFonts w:hint="eastAsia"/>
              </w:rPr>
              <w:t>和本章第2.2.2（3）目评审</w:t>
            </w:r>
            <w:r>
              <w:t>合格的投标人的投标总报价得本附表第2.2.1项规定分值的满分</w:t>
            </w:r>
            <w:r>
              <w:rPr>
                <w:u w:val="single"/>
              </w:rPr>
              <w:t xml:space="preserve">     </w:t>
            </w:r>
            <w:r>
              <w:t>分。</w:t>
            </w:r>
            <w:r>
              <w:rPr>
                <w:rFonts w:hint="eastAsia"/>
              </w:rPr>
              <w:t>在此基础上，投标总报价与评标基准价相比，每增加1%扣</w:t>
            </w:r>
            <w:r>
              <w:rPr>
                <w:rFonts w:hint="eastAsia"/>
                <w:u w:val="single"/>
              </w:rPr>
              <w:t xml:space="preserve">　  </w:t>
            </w:r>
            <w:r>
              <w:rPr>
                <w:rFonts w:hint="eastAsia" w:ascii="宋体" w:hAnsi="宋体" w:cs="宋体"/>
                <w:i/>
                <w:iCs/>
                <w:szCs w:val="21"/>
              </w:rPr>
              <w:t>[提示：本空格填写数值</w:t>
            </w:r>
            <w:r>
              <w:rPr>
                <w:rFonts w:hint="eastAsia" w:ascii="宋体" w:hAnsi="宋体" w:cs="宋体"/>
                <w:szCs w:val="21"/>
              </w:rPr>
              <w:t>1～2</w:t>
            </w:r>
            <w:r>
              <w:rPr>
                <w:rFonts w:hint="eastAsia" w:ascii="宋体" w:hAnsi="宋体" w:cs="宋体"/>
                <w:i/>
                <w:iCs/>
                <w:szCs w:val="21"/>
              </w:rPr>
              <w:t>]</w:t>
            </w:r>
            <w:r>
              <w:rPr>
                <w:rFonts w:hint="eastAsia"/>
              </w:rPr>
              <w:t>分，扣完为止。</w:t>
            </w:r>
          </w:p>
          <w:p w14:paraId="27D1BD5D">
            <w:pPr>
              <w:spacing w:line="400" w:lineRule="exact"/>
              <w:ind w:firstLine="420" w:firstLineChars="200"/>
              <w:rPr>
                <w:rFonts w:hint="eastAsia"/>
              </w:rPr>
            </w:pPr>
            <w:r>
              <w:rPr>
                <w:rFonts w:hint="eastAsia"/>
              </w:rPr>
              <w:t>按插入法计算得分。</w:t>
            </w:r>
          </w:p>
          <w:p w14:paraId="08AF9F46">
            <w:pPr>
              <w:spacing w:line="400" w:lineRule="exact"/>
              <w:ind w:firstLine="420" w:firstLineChars="200"/>
              <w:rPr>
                <w:rFonts w:hint="eastAsia"/>
              </w:rPr>
            </w:pPr>
            <w:r>
              <w:rPr>
                <w:rFonts w:hint="eastAsia"/>
              </w:rPr>
              <w:t>未参与评标基准价计算的投标报价，仍应参加计算相应分值。</w:t>
            </w:r>
          </w:p>
          <w:p w14:paraId="17C9142D">
            <w:pPr>
              <w:spacing w:line="400" w:lineRule="exact"/>
              <w:ind w:firstLine="420" w:firstLineChars="200"/>
              <w:rPr>
                <w:rFonts w:hint="eastAsia"/>
              </w:rPr>
            </w:pPr>
            <w:r>
              <w:rPr>
                <w:rFonts w:hint="eastAsia"/>
              </w:rPr>
              <w:t>投标总报价得分最终结果取小数点后两位，</w:t>
            </w:r>
            <w:r>
              <w:rPr>
                <w:rFonts w:hint="eastAsia" w:ascii="宋体" w:hAnsi="宋体"/>
                <w:kern w:val="0"/>
                <w:szCs w:val="21"/>
              </w:rPr>
              <w:t>小数点后</w:t>
            </w:r>
            <w:r>
              <w:rPr>
                <w:rFonts w:hint="eastAsia"/>
              </w:rPr>
              <w:t>第三位四舍五入。</w:t>
            </w:r>
          </w:p>
          <w:p w14:paraId="7759F2A4">
            <w:pPr>
              <w:spacing w:line="400" w:lineRule="exact"/>
              <w:ind w:firstLine="420" w:firstLineChars="200"/>
              <w:rPr>
                <w:rFonts w:hint="eastAsia"/>
              </w:rPr>
            </w:pPr>
            <w:r>
              <w:rPr>
                <w:rFonts w:hint="eastAsia"/>
                <w:i/>
                <w:iCs/>
              </w:rPr>
              <w:t>[</w:t>
            </w:r>
            <w:r>
              <w:rPr>
                <w:rFonts w:hint="eastAsia" w:ascii="宋体" w:hAnsi="宋体"/>
                <w:i/>
                <w:kern w:val="0"/>
                <w:szCs w:val="21"/>
              </w:rPr>
              <w:t>适用于第2.2.3项“评标基准价计算方法”选项三。</w:t>
            </w:r>
            <w:r>
              <w:rPr>
                <w:rFonts w:hint="eastAsia" w:ascii="宋体" w:hAnsi="宋体"/>
                <w:i/>
                <w:iCs/>
                <w:kern w:val="0"/>
                <w:szCs w:val="21"/>
              </w:rPr>
              <w:t>]</w:t>
            </w:r>
          </w:p>
        </w:tc>
      </w:tr>
      <w:tr w14:paraId="0DF5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71F2BCF6">
            <w:pPr>
              <w:spacing w:line="400" w:lineRule="exact"/>
              <w:jc w:val="center"/>
              <w:rPr>
                <w:rFonts w:hint="eastAsia" w:ascii="宋体" w:hAnsi="宋体"/>
              </w:rPr>
            </w:pPr>
            <w:r>
              <w:rPr>
                <w:rFonts w:hint="eastAsia" w:ascii="宋体" w:hAnsi="宋体"/>
              </w:rPr>
              <w:t>3.2.1</w:t>
            </w:r>
          </w:p>
          <w:p w14:paraId="1B1339A4">
            <w:pPr>
              <w:spacing w:line="400" w:lineRule="exact"/>
              <w:jc w:val="center"/>
              <w:rPr>
                <w:rFonts w:hint="eastAsia" w:ascii="宋体" w:hAnsi="宋体"/>
              </w:rPr>
            </w:pPr>
            <w:r>
              <w:rPr>
                <w:rFonts w:hint="eastAsia" w:ascii="宋体" w:hAnsi="宋体"/>
              </w:rPr>
              <w:t>（3）</w:t>
            </w:r>
          </w:p>
        </w:tc>
        <w:tc>
          <w:tcPr>
            <w:tcW w:w="1599" w:type="dxa"/>
            <w:tcBorders>
              <w:left w:val="single" w:color="auto" w:sz="4" w:space="0"/>
              <w:bottom w:val="single" w:color="auto" w:sz="4" w:space="0"/>
              <w:right w:val="single" w:color="auto" w:sz="4" w:space="0"/>
            </w:tcBorders>
            <w:vAlign w:val="center"/>
          </w:tcPr>
          <w:p w14:paraId="7023ACF7">
            <w:pPr>
              <w:spacing w:line="400" w:lineRule="exact"/>
              <w:rPr>
                <w:rFonts w:hint="eastAsia" w:ascii="宋体" w:hAnsi="宋体"/>
                <w:b/>
                <w:kern w:val="0"/>
                <w:szCs w:val="21"/>
              </w:rPr>
            </w:pPr>
            <w:r>
              <w:rPr>
                <w:rFonts w:hint="eastAsia" w:ascii="宋体" w:hAnsi="宋体"/>
                <w:b/>
                <w:kern w:val="0"/>
                <w:szCs w:val="21"/>
              </w:rPr>
              <w:t>□选项四：</w:t>
            </w:r>
          </w:p>
          <w:p w14:paraId="63E989A1">
            <w:pPr>
              <w:spacing w:line="400" w:lineRule="exact"/>
              <w:jc w:val="center"/>
              <w:rPr>
                <w:rFonts w:hint="eastAsia" w:ascii="宋体" w:hAnsi="宋体"/>
              </w:rPr>
            </w:pPr>
            <w:r>
              <w:rPr>
                <w:rFonts w:hint="eastAsia" w:ascii="宋体" w:hAnsi="宋体"/>
              </w:rPr>
              <w:t>投标报价得分（C）</w:t>
            </w:r>
          </w:p>
        </w:tc>
        <w:tc>
          <w:tcPr>
            <w:tcW w:w="2355" w:type="dxa"/>
            <w:gridSpan w:val="2"/>
            <w:tcBorders>
              <w:top w:val="single" w:color="auto" w:sz="4" w:space="0"/>
              <w:left w:val="single" w:color="auto" w:sz="4" w:space="0"/>
              <w:bottom w:val="single" w:color="auto" w:sz="4" w:space="0"/>
              <w:right w:val="single" w:color="auto" w:sz="4" w:space="0"/>
            </w:tcBorders>
            <w:vAlign w:val="center"/>
          </w:tcPr>
          <w:p w14:paraId="6B107F88">
            <w:pPr>
              <w:spacing w:line="400" w:lineRule="exact"/>
              <w:jc w:val="center"/>
              <w:rPr>
                <w:rFonts w:hint="eastAsia" w:ascii="宋体" w:hAnsi="宋体"/>
              </w:rPr>
            </w:pPr>
            <w:r>
              <w:rPr>
                <w:rFonts w:hint="eastAsia" w:ascii="宋体" w:hAnsi="宋体"/>
                <w:u w:val="single"/>
              </w:rPr>
              <w:t>……</w:t>
            </w:r>
          </w:p>
        </w:tc>
        <w:tc>
          <w:tcPr>
            <w:tcW w:w="5048" w:type="dxa"/>
            <w:tcBorders>
              <w:left w:val="single" w:color="auto" w:sz="4" w:space="0"/>
              <w:bottom w:val="single" w:color="auto" w:sz="4" w:space="0"/>
              <w:right w:val="single" w:color="auto" w:sz="4" w:space="0"/>
            </w:tcBorders>
            <w:vAlign w:val="center"/>
          </w:tcPr>
          <w:p w14:paraId="6077AE06">
            <w:pPr>
              <w:spacing w:line="400" w:lineRule="exact"/>
              <w:ind w:firstLine="420" w:firstLineChars="200"/>
              <w:rPr>
                <w:rFonts w:hint="eastAsia"/>
              </w:rPr>
            </w:pPr>
            <w:r>
              <w:rPr>
                <w:rFonts w:hint="eastAsia" w:ascii="宋体" w:hAnsi="宋体"/>
                <w:i/>
                <w:kern w:val="0"/>
                <w:szCs w:val="21"/>
                <w:u w:val="single"/>
              </w:rPr>
              <w:t xml:space="preserve">               </w:t>
            </w:r>
            <w:r>
              <w:rPr>
                <w:rFonts w:hint="eastAsia"/>
              </w:rPr>
              <w:t xml:space="preserve">               </w:t>
            </w:r>
          </w:p>
          <w:p w14:paraId="4461F4D3">
            <w:pPr>
              <w:spacing w:line="400" w:lineRule="exact"/>
              <w:ind w:firstLine="420" w:firstLineChars="200"/>
              <w:rPr>
                <w:rFonts w:hint="eastAsia"/>
              </w:rPr>
            </w:pPr>
            <w:r>
              <w:rPr>
                <w:rFonts w:hint="eastAsia" w:ascii="宋体" w:hAnsi="宋体"/>
                <w:i/>
                <w:iCs/>
                <w:kern w:val="0"/>
                <w:szCs w:val="21"/>
              </w:rPr>
              <w:t>[提示：</w:t>
            </w:r>
            <w:r>
              <w:rPr>
                <w:rFonts w:hint="eastAsia" w:ascii="宋体" w:hAnsi="宋体" w:cs="宋体"/>
                <w:i/>
                <w:szCs w:val="21"/>
              </w:rPr>
              <w:t>招标人在编制招标文件时，可根据实际情况</w:t>
            </w:r>
            <w:r>
              <w:rPr>
                <w:rFonts w:hint="eastAsia" w:ascii="宋体" w:hAnsi="宋体"/>
                <w:i/>
                <w:iCs/>
                <w:kern w:val="0"/>
                <w:szCs w:val="21"/>
              </w:rPr>
              <w:t>制定本项目投标报价得分的要求</w:t>
            </w:r>
            <w:r>
              <w:rPr>
                <w:rFonts w:hint="eastAsia" w:ascii="宋体" w:hAnsi="宋体" w:cs="宋体"/>
                <w:i/>
                <w:szCs w:val="21"/>
              </w:rPr>
              <w:t>，但不得违背法律、法规及规范性文件的规定</w:t>
            </w:r>
            <w:r>
              <w:rPr>
                <w:rFonts w:hint="eastAsia" w:ascii="宋体" w:hAnsi="宋体"/>
                <w:i/>
                <w:iCs/>
                <w:kern w:val="0"/>
                <w:szCs w:val="21"/>
              </w:rPr>
              <w:t>。</w:t>
            </w:r>
            <w:r>
              <w:rPr>
                <w:rFonts w:hint="eastAsia" w:ascii="宋体" w:hAnsi="宋体"/>
                <w:i/>
                <w:kern w:val="0"/>
                <w:szCs w:val="21"/>
              </w:rPr>
              <w:t>适用于第2.2.3项“评标基准价计算方法”选项四。</w:t>
            </w:r>
            <w:r>
              <w:rPr>
                <w:rFonts w:hint="eastAsia" w:ascii="宋体" w:hAnsi="宋体"/>
                <w:i/>
                <w:iCs/>
                <w:kern w:val="0"/>
                <w:szCs w:val="21"/>
              </w:rPr>
              <w:t>]</w:t>
            </w:r>
          </w:p>
        </w:tc>
      </w:tr>
      <w:tr w14:paraId="3575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80" w:type="dxa"/>
            <w:tcBorders>
              <w:left w:val="single" w:color="auto" w:sz="4" w:space="0"/>
              <w:bottom w:val="single" w:color="auto" w:sz="4" w:space="0"/>
              <w:right w:val="single" w:color="auto" w:sz="4" w:space="0"/>
            </w:tcBorders>
            <w:vAlign w:val="center"/>
          </w:tcPr>
          <w:p w14:paraId="0ED7456F">
            <w:pPr>
              <w:spacing w:line="400" w:lineRule="exact"/>
              <w:ind w:firstLine="18" w:firstLineChars="9"/>
              <w:jc w:val="center"/>
              <w:rPr>
                <w:rFonts w:hint="eastAsia" w:ascii="宋体" w:hAnsi="宋体"/>
              </w:rPr>
            </w:pPr>
            <w:r>
              <w:rPr>
                <w:rFonts w:ascii="宋体" w:hAnsi="宋体"/>
                <w:szCs w:val="21"/>
              </w:rPr>
              <w:t>3.2.3</w:t>
            </w:r>
          </w:p>
        </w:tc>
        <w:tc>
          <w:tcPr>
            <w:tcW w:w="1599" w:type="dxa"/>
            <w:tcBorders>
              <w:left w:val="single" w:color="auto" w:sz="4" w:space="0"/>
              <w:bottom w:val="single" w:color="auto" w:sz="4" w:space="0"/>
              <w:right w:val="single" w:color="auto" w:sz="4" w:space="0"/>
            </w:tcBorders>
            <w:vAlign w:val="center"/>
          </w:tcPr>
          <w:p w14:paraId="0B5657E6">
            <w:pPr>
              <w:spacing w:line="400" w:lineRule="exact"/>
              <w:jc w:val="center"/>
              <w:rPr>
                <w:rFonts w:ascii="宋体" w:hAnsi="宋体"/>
              </w:rPr>
            </w:pPr>
            <w:r>
              <w:rPr>
                <w:rFonts w:ascii="宋体" w:hAnsi="宋体"/>
                <w:szCs w:val="21"/>
              </w:rPr>
              <w:t>投标人得分</w:t>
            </w:r>
          </w:p>
        </w:tc>
        <w:tc>
          <w:tcPr>
            <w:tcW w:w="7403" w:type="dxa"/>
            <w:gridSpan w:val="3"/>
            <w:tcBorders>
              <w:left w:val="single" w:color="auto" w:sz="4" w:space="0"/>
              <w:bottom w:val="single" w:color="auto" w:sz="4" w:space="0"/>
              <w:right w:val="single" w:color="auto" w:sz="4" w:space="0"/>
            </w:tcBorders>
            <w:vAlign w:val="center"/>
          </w:tcPr>
          <w:p w14:paraId="271F5A47">
            <w:pPr>
              <w:spacing w:line="400" w:lineRule="exact"/>
              <w:ind w:firstLine="18" w:firstLineChars="9"/>
              <w:jc w:val="center"/>
              <w:rPr>
                <w:rFonts w:hint="eastAsia" w:ascii="宋体" w:hAnsi="宋体"/>
                <w:kern w:val="0"/>
                <w:szCs w:val="21"/>
              </w:rPr>
            </w:pPr>
            <w:r>
              <w:rPr>
                <w:rFonts w:ascii="宋体" w:hAnsi="宋体"/>
                <w:szCs w:val="21"/>
              </w:rPr>
              <w:t>投标人得分=A+B</w:t>
            </w:r>
            <w:r>
              <w:rPr>
                <w:rFonts w:hint="eastAsia" w:ascii="宋体" w:hAnsi="宋体"/>
                <w:szCs w:val="21"/>
              </w:rPr>
              <w:t>+C</w:t>
            </w:r>
          </w:p>
        </w:tc>
      </w:tr>
    </w:tbl>
    <w:p w14:paraId="558BA6D0">
      <w:pPr>
        <w:pStyle w:val="4"/>
        <w:spacing w:before="0" w:after="0" w:line="360" w:lineRule="auto"/>
        <w:rPr>
          <w:rFonts w:ascii="宋体" w:hAnsi="宋体"/>
          <w:b w:val="0"/>
          <w:snapToGrid w:val="0"/>
        </w:rPr>
      </w:pPr>
      <w:bookmarkStart w:id="361" w:name="_Toc33106452"/>
      <w:r>
        <w:rPr>
          <w:rFonts w:ascii="宋体" w:hAnsi="宋体"/>
          <w:b w:val="0"/>
          <w:snapToGrid w:val="0"/>
        </w:rPr>
        <w:br w:type="page"/>
      </w:r>
      <w:bookmarkStart w:id="362" w:name="_Toc25811"/>
      <w:bookmarkStart w:id="363" w:name="_Toc57795929"/>
      <w:r>
        <w:rPr>
          <w:rFonts w:hint="eastAsia" w:ascii="宋体" w:hAnsi="宋体" w:cs="宋体"/>
          <w:sz w:val="28"/>
          <w:szCs w:val="28"/>
        </w:rPr>
        <w:t>1. 评标方法</w:t>
      </w:r>
      <w:bookmarkEnd w:id="361"/>
      <w:bookmarkEnd w:id="362"/>
      <w:bookmarkEnd w:id="363"/>
    </w:p>
    <w:p w14:paraId="6D9F64E4">
      <w:pPr>
        <w:autoSpaceDE w:val="0"/>
        <w:autoSpaceDN w:val="0"/>
        <w:adjustRightInd w:val="0"/>
        <w:snapToGrid w:val="0"/>
        <w:spacing w:line="360" w:lineRule="auto"/>
        <w:ind w:firstLine="420"/>
        <w:rPr>
          <w:rFonts w:ascii="宋体" w:hAnsi="宋体"/>
          <w:kern w:val="0"/>
          <w:szCs w:val="21"/>
        </w:rPr>
      </w:pPr>
      <w:r>
        <w:rPr>
          <w:rFonts w:ascii="宋体" w:hAnsi="宋体"/>
          <w:kern w:val="0"/>
          <w:szCs w:val="21"/>
        </w:rPr>
        <w:t>本次评标采用综合评</w:t>
      </w:r>
      <w:r>
        <w:rPr>
          <w:rFonts w:hint="eastAsia" w:ascii="宋体" w:hAnsi="宋体"/>
          <w:kern w:val="0"/>
          <w:szCs w:val="21"/>
        </w:rPr>
        <w:t>分</w:t>
      </w:r>
      <w:r>
        <w:rPr>
          <w:rFonts w:ascii="宋体" w:hAnsi="宋体"/>
          <w:kern w:val="0"/>
          <w:szCs w:val="21"/>
        </w:rPr>
        <w:t>法</w:t>
      </w:r>
      <w:r>
        <w:rPr>
          <w:rFonts w:ascii="宋体" w:hAnsi="宋体"/>
          <w:spacing w:val="-47"/>
          <w:kern w:val="0"/>
          <w:szCs w:val="21"/>
        </w:rPr>
        <w:t>。</w:t>
      </w:r>
      <w:r>
        <w:rPr>
          <w:rFonts w:ascii="宋体" w:hAnsi="宋体"/>
          <w:kern w:val="0"/>
          <w:szCs w:val="21"/>
        </w:rPr>
        <w:t xml:space="preserve">评标委员会按照本章第 </w:t>
      </w:r>
      <w:r>
        <w:rPr>
          <w:rFonts w:ascii="宋体" w:hAnsi="宋体"/>
          <w:spacing w:val="1"/>
          <w:kern w:val="0"/>
          <w:szCs w:val="21"/>
        </w:rPr>
        <w:t>2</w:t>
      </w:r>
      <w:r>
        <w:rPr>
          <w:rFonts w:ascii="宋体" w:hAnsi="宋体"/>
          <w:spacing w:val="-1"/>
          <w:kern w:val="0"/>
          <w:szCs w:val="21"/>
        </w:rPr>
        <w:t>.</w:t>
      </w:r>
      <w:r>
        <w:rPr>
          <w:rFonts w:ascii="宋体" w:hAnsi="宋体"/>
          <w:kern w:val="0"/>
          <w:szCs w:val="21"/>
        </w:rPr>
        <w:t>2</w:t>
      </w:r>
      <w:r>
        <w:rPr>
          <w:rFonts w:ascii="宋体" w:hAnsi="宋体"/>
          <w:spacing w:val="1"/>
          <w:kern w:val="0"/>
          <w:szCs w:val="21"/>
        </w:rPr>
        <w:t xml:space="preserve"> </w:t>
      </w:r>
      <w:r>
        <w:rPr>
          <w:rFonts w:ascii="宋体" w:hAnsi="宋体"/>
          <w:kern w:val="0"/>
          <w:szCs w:val="21"/>
        </w:rPr>
        <w:t>款</w:t>
      </w:r>
      <w:r>
        <w:rPr>
          <w:rFonts w:ascii="宋体" w:hAnsi="宋体"/>
          <w:spacing w:val="-1"/>
          <w:kern w:val="0"/>
          <w:szCs w:val="21"/>
        </w:rPr>
        <w:t>规</w:t>
      </w:r>
      <w:r>
        <w:rPr>
          <w:rFonts w:ascii="宋体" w:hAnsi="宋体"/>
          <w:kern w:val="0"/>
          <w:szCs w:val="21"/>
        </w:rPr>
        <w:t>定的评分标准进行</w:t>
      </w:r>
      <w:r>
        <w:rPr>
          <w:rFonts w:hint="eastAsia" w:ascii="宋体" w:hAnsi="宋体"/>
          <w:kern w:val="0"/>
          <w:szCs w:val="21"/>
        </w:rPr>
        <w:t>评分</w:t>
      </w:r>
      <w:r>
        <w:rPr>
          <w:rFonts w:ascii="宋体" w:hAnsi="宋体"/>
          <w:kern w:val="0"/>
          <w:szCs w:val="21"/>
        </w:rPr>
        <w:t>，按得分由高到低顺序推荐中标候选人</w:t>
      </w:r>
      <w:r>
        <w:rPr>
          <w:rFonts w:ascii="宋体" w:hAnsi="宋体"/>
          <w:spacing w:val="-20"/>
          <w:kern w:val="0"/>
          <w:szCs w:val="21"/>
        </w:rPr>
        <w:t>，</w:t>
      </w:r>
      <w:r>
        <w:rPr>
          <w:rFonts w:ascii="宋体" w:hAnsi="宋体"/>
          <w:kern w:val="0"/>
          <w:szCs w:val="21"/>
        </w:rPr>
        <w:t>或根据招标人授权直接确定中标人</w:t>
      </w:r>
      <w:r>
        <w:rPr>
          <w:rFonts w:hint="eastAsia" w:ascii="宋体" w:hAnsi="宋体"/>
          <w:kern w:val="0"/>
          <w:szCs w:val="21"/>
        </w:rPr>
        <w:t>，若出现投标人投标报价相同的，以评标办法前附表约定的原则确定排序</w:t>
      </w:r>
      <w:r>
        <w:rPr>
          <w:rFonts w:ascii="宋体" w:hAnsi="宋体"/>
          <w:spacing w:val="-31"/>
          <w:kern w:val="0"/>
          <w:szCs w:val="21"/>
        </w:rPr>
        <w:t>。</w:t>
      </w:r>
    </w:p>
    <w:p w14:paraId="70B874DC">
      <w:pPr>
        <w:pStyle w:val="4"/>
        <w:spacing w:before="0" w:after="0" w:line="360" w:lineRule="auto"/>
        <w:rPr>
          <w:rFonts w:hint="eastAsia" w:ascii="宋体" w:hAnsi="宋体" w:cs="宋体"/>
          <w:sz w:val="28"/>
          <w:szCs w:val="28"/>
        </w:rPr>
      </w:pPr>
      <w:bookmarkStart w:id="364" w:name="_Toc287620752"/>
      <w:bookmarkStart w:id="365" w:name="_Toc430530501"/>
      <w:bookmarkStart w:id="366" w:name="_Toc277082619"/>
      <w:bookmarkStart w:id="367" w:name="_Toc33106453"/>
      <w:bookmarkStart w:id="368" w:name="_Toc200513199"/>
      <w:bookmarkStart w:id="369" w:name="_Toc57795930"/>
      <w:bookmarkStart w:id="370" w:name="_Toc224103385"/>
      <w:bookmarkStart w:id="371" w:name="_Toc13018"/>
      <w:bookmarkStart w:id="372" w:name="_Toc287607813"/>
      <w:bookmarkStart w:id="373" w:name="_Toc509218777"/>
      <w:r>
        <w:rPr>
          <w:rFonts w:hint="eastAsia" w:ascii="宋体" w:hAnsi="宋体" w:cs="宋体"/>
          <w:sz w:val="28"/>
          <w:szCs w:val="28"/>
        </w:rPr>
        <w:t>2. 评审标准</w:t>
      </w:r>
      <w:bookmarkEnd w:id="364"/>
      <w:bookmarkEnd w:id="365"/>
      <w:bookmarkEnd w:id="366"/>
      <w:bookmarkEnd w:id="367"/>
      <w:bookmarkEnd w:id="368"/>
      <w:bookmarkEnd w:id="369"/>
      <w:bookmarkEnd w:id="370"/>
      <w:bookmarkEnd w:id="371"/>
      <w:bookmarkEnd w:id="372"/>
      <w:bookmarkEnd w:id="373"/>
    </w:p>
    <w:p w14:paraId="55E713E1">
      <w:pPr>
        <w:pStyle w:val="5"/>
        <w:spacing w:before="0" w:after="0" w:line="360" w:lineRule="auto"/>
        <w:rPr>
          <w:rFonts w:hint="eastAsia" w:ascii="宋体" w:hAnsi="宋体" w:cs="宋体"/>
          <w:sz w:val="21"/>
          <w:szCs w:val="21"/>
        </w:rPr>
      </w:pPr>
      <w:bookmarkStart w:id="374" w:name="_Toc33106454"/>
      <w:bookmarkStart w:id="375" w:name="_Toc57795931"/>
      <w:bookmarkStart w:id="376" w:name="_Toc287620753"/>
      <w:bookmarkStart w:id="377" w:name="_Toc224103386"/>
      <w:bookmarkStart w:id="378" w:name="_Toc277082620"/>
      <w:bookmarkStart w:id="379" w:name="_Toc509218778"/>
      <w:bookmarkStart w:id="380" w:name="_Toc200513200"/>
      <w:bookmarkStart w:id="381" w:name="_Toc430530502"/>
      <w:bookmarkStart w:id="382" w:name="_Toc287607814"/>
      <w:bookmarkStart w:id="383" w:name="_Toc28191"/>
      <w:r>
        <w:rPr>
          <w:rFonts w:hint="eastAsia" w:ascii="宋体" w:hAnsi="宋体" w:cs="宋体"/>
          <w:sz w:val="21"/>
          <w:szCs w:val="21"/>
        </w:rPr>
        <w:t>2.1 初步评审标准</w:t>
      </w:r>
      <w:bookmarkEnd w:id="374"/>
      <w:bookmarkEnd w:id="375"/>
      <w:bookmarkEnd w:id="376"/>
      <w:bookmarkEnd w:id="377"/>
      <w:bookmarkEnd w:id="378"/>
      <w:bookmarkEnd w:id="379"/>
      <w:bookmarkEnd w:id="380"/>
      <w:bookmarkEnd w:id="381"/>
      <w:bookmarkEnd w:id="382"/>
      <w:bookmarkEnd w:id="383"/>
    </w:p>
    <w:p w14:paraId="3E8F92D8">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1</w:t>
      </w:r>
      <w:r>
        <w:rPr>
          <w:rFonts w:ascii="宋体" w:hAnsi="宋体"/>
          <w:kern w:val="0"/>
          <w:szCs w:val="21"/>
        </w:rPr>
        <w:t xml:space="preserve"> 资格评审标准：见评标办法前附表。</w:t>
      </w:r>
    </w:p>
    <w:p w14:paraId="2CE0F1E6">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w:t>
      </w:r>
      <w:r>
        <w:rPr>
          <w:rFonts w:hint="eastAsia" w:ascii="宋体" w:hAnsi="宋体"/>
          <w:kern w:val="0"/>
          <w:szCs w:val="21"/>
        </w:rPr>
        <w:t>2</w:t>
      </w:r>
      <w:r>
        <w:rPr>
          <w:rFonts w:ascii="宋体" w:hAnsi="宋体"/>
          <w:kern w:val="0"/>
          <w:szCs w:val="21"/>
        </w:rPr>
        <w:t xml:space="preserve"> 形式评审标准：见评标办法前附表。</w:t>
      </w:r>
    </w:p>
    <w:p w14:paraId="7C462D2A">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2.1.3 响应性评审标准：见评标办法前附表。</w:t>
      </w:r>
    </w:p>
    <w:p w14:paraId="318C0FA7">
      <w:pPr>
        <w:pStyle w:val="5"/>
        <w:spacing w:before="0" w:after="0" w:line="360" w:lineRule="auto"/>
        <w:rPr>
          <w:rFonts w:hint="eastAsia" w:ascii="宋体" w:hAnsi="宋体" w:cs="宋体"/>
          <w:sz w:val="21"/>
          <w:szCs w:val="21"/>
        </w:rPr>
      </w:pPr>
      <w:bookmarkStart w:id="384" w:name="_Toc287607815"/>
      <w:bookmarkStart w:id="385" w:name="_Toc2031"/>
      <w:bookmarkStart w:id="386" w:name="_Toc200513201"/>
      <w:bookmarkStart w:id="387" w:name="_Toc287620754"/>
      <w:bookmarkStart w:id="388" w:name="_Toc57795932"/>
      <w:bookmarkStart w:id="389" w:name="_Toc430530503"/>
      <w:bookmarkStart w:id="390" w:name="_Toc277082621"/>
      <w:bookmarkStart w:id="391" w:name="_Toc224103387"/>
      <w:bookmarkStart w:id="392" w:name="_Toc33106455"/>
      <w:bookmarkStart w:id="393" w:name="_Toc509218779"/>
      <w:r>
        <w:rPr>
          <w:rFonts w:hint="eastAsia" w:ascii="宋体" w:hAnsi="宋体" w:cs="宋体"/>
          <w:sz w:val="21"/>
          <w:szCs w:val="21"/>
        </w:rPr>
        <w:t>2.2 分值构成与评分标准</w:t>
      </w:r>
      <w:bookmarkEnd w:id="384"/>
      <w:bookmarkEnd w:id="385"/>
      <w:bookmarkEnd w:id="386"/>
      <w:bookmarkEnd w:id="387"/>
      <w:bookmarkEnd w:id="388"/>
      <w:bookmarkEnd w:id="389"/>
      <w:bookmarkEnd w:id="390"/>
      <w:bookmarkEnd w:id="391"/>
      <w:bookmarkEnd w:id="392"/>
      <w:bookmarkEnd w:id="393"/>
    </w:p>
    <w:p w14:paraId="4F446A8E">
      <w:pPr>
        <w:autoSpaceDE w:val="0"/>
        <w:autoSpaceDN w:val="0"/>
        <w:adjustRightInd w:val="0"/>
        <w:snapToGrid w:val="0"/>
        <w:spacing w:line="360" w:lineRule="auto"/>
        <w:ind w:firstLine="525" w:firstLineChars="250"/>
        <w:rPr>
          <w:rFonts w:ascii="宋体" w:hAnsi="宋体"/>
          <w:kern w:val="0"/>
          <w:szCs w:val="21"/>
        </w:rPr>
      </w:pPr>
      <w:r>
        <w:rPr>
          <w:rFonts w:ascii="宋体" w:hAnsi="宋体"/>
          <w:kern w:val="0"/>
          <w:szCs w:val="21"/>
        </w:rPr>
        <w:t>2.2.1 分值构成</w:t>
      </w:r>
    </w:p>
    <w:p w14:paraId="5FF8529F">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w:t>
      </w:r>
      <w:r>
        <w:rPr>
          <w:rFonts w:hint="eastAsia" w:ascii="宋体" w:hAnsi="宋体"/>
          <w:spacing w:val="1"/>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：见评标办法前附表</w:t>
      </w:r>
      <w:r>
        <w:rPr>
          <w:rFonts w:hint="eastAsia" w:ascii="宋体" w:hAnsi="宋体"/>
          <w:kern w:val="0"/>
          <w:szCs w:val="21"/>
        </w:rPr>
        <w:t>；</w:t>
      </w:r>
    </w:p>
    <w:p w14:paraId="53F1C14A">
      <w:pPr>
        <w:pStyle w:val="2"/>
        <w:ind w:firstLine="420" w:firstLineChars="200"/>
        <w:rPr>
          <w:rFonts w:ascii="宋体" w:hAnsi="宋体"/>
          <w:kern w:val="0"/>
          <w:szCs w:val="21"/>
        </w:rPr>
      </w:pPr>
      <w:r>
        <w:rPr>
          <w:rFonts w:hint="eastAsia" w:ascii="宋体" w:hAnsi="宋体"/>
          <w:kern w:val="0"/>
          <w:szCs w:val="21"/>
        </w:rPr>
        <w:t>（2）商务部分：</w:t>
      </w:r>
      <w:r>
        <w:rPr>
          <w:rFonts w:ascii="宋体" w:hAnsi="宋体"/>
          <w:kern w:val="0"/>
          <w:szCs w:val="21"/>
        </w:rPr>
        <w:t>见评标办法前附表</w:t>
      </w:r>
      <w:r>
        <w:rPr>
          <w:rFonts w:hint="eastAsia" w:ascii="宋体" w:hAnsi="宋体"/>
          <w:kern w:val="0"/>
          <w:szCs w:val="21"/>
        </w:rPr>
        <w:t>；</w:t>
      </w:r>
    </w:p>
    <w:p w14:paraId="0BE4B83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hint="eastAsia" w:ascii="宋体" w:hAnsi="宋体"/>
          <w:spacing w:val="1"/>
          <w:kern w:val="0"/>
          <w:szCs w:val="21"/>
        </w:rPr>
        <w:t>3</w:t>
      </w:r>
      <w:r>
        <w:rPr>
          <w:rFonts w:ascii="宋体" w:hAnsi="宋体"/>
          <w:kern w:val="0"/>
          <w:szCs w:val="21"/>
        </w:rPr>
        <w:t>）投标</w:t>
      </w:r>
      <w:r>
        <w:rPr>
          <w:rFonts w:hint="eastAsia" w:ascii="宋体" w:hAnsi="宋体"/>
          <w:kern w:val="0"/>
          <w:szCs w:val="21"/>
        </w:rPr>
        <w:t>总</w:t>
      </w:r>
      <w:r>
        <w:rPr>
          <w:rFonts w:ascii="宋体" w:hAnsi="宋体"/>
          <w:spacing w:val="-1"/>
          <w:kern w:val="0"/>
          <w:szCs w:val="21"/>
        </w:rPr>
        <w:t>报</w:t>
      </w:r>
      <w:r>
        <w:rPr>
          <w:rFonts w:ascii="宋体" w:hAnsi="宋体"/>
          <w:kern w:val="0"/>
          <w:szCs w:val="21"/>
        </w:rPr>
        <w:t>价：见评标办法前附表</w:t>
      </w:r>
      <w:r>
        <w:rPr>
          <w:rFonts w:hint="eastAsia" w:ascii="宋体" w:hAnsi="宋体"/>
          <w:kern w:val="0"/>
          <w:szCs w:val="21"/>
        </w:rPr>
        <w:t>。</w:t>
      </w:r>
    </w:p>
    <w:p w14:paraId="04F354A5">
      <w:pPr>
        <w:autoSpaceDE w:val="0"/>
        <w:autoSpaceDN w:val="0"/>
        <w:adjustRightInd w:val="0"/>
        <w:snapToGrid w:val="0"/>
        <w:spacing w:line="360" w:lineRule="auto"/>
        <w:ind w:firstLine="525" w:firstLineChars="250"/>
        <w:rPr>
          <w:rFonts w:hint="eastAsia" w:ascii="宋体" w:hAnsi="宋体"/>
          <w:kern w:val="0"/>
          <w:szCs w:val="21"/>
        </w:rPr>
      </w:pPr>
      <w:r>
        <w:rPr>
          <w:rFonts w:ascii="宋体" w:hAnsi="宋体"/>
          <w:kern w:val="0"/>
          <w:szCs w:val="21"/>
        </w:rPr>
        <w:t>2.2.</w:t>
      </w:r>
      <w:r>
        <w:rPr>
          <w:rFonts w:hint="eastAsia" w:ascii="宋体" w:hAnsi="宋体"/>
          <w:kern w:val="0"/>
          <w:szCs w:val="21"/>
        </w:rPr>
        <w:t>2 评审标准</w:t>
      </w:r>
    </w:p>
    <w:p w14:paraId="31956A31">
      <w:pPr>
        <w:autoSpaceDE w:val="0"/>
        <w:autoSpaceDN w:val="0"/>
        <w:adjustRightInd w:val="0"/>
        <w:snapToGrid w:val="0"/>
        <w:spacing w:line="360" w:lineRule="auto"/>
        <w:ind w:firstLine="525" w:firstLineChars="250"/>
        <w:rPr>
          <w:rFonts w:ascii="宋体" w:hAnsi="宋体"/>
          <w:kern w:val="0"/>
          <w:szCs w:val="21"/>
        </w:rPr>
      </w:pPr>
      <w:r>
        <w:rPr>
          <w:rFonts w:hint="eastAsia" w:ascii="宋体" w:hAnsi="宋体"/>
          <w:kern w:val="0"/>
          <w:szCs w:val="21"/>
        </w:rPr>
        <w:t>（1）</w:t>
      </w:r>
      <w:r>
        <w:rPr>
          <w:rFonts w:ascii="宋体" w:hAnsi="宋体"/>
          <w:kern w:val="0"/>
          <w:szCs w:val="21"/>
        </w:rPr>
        <w:t>技术</w:t>
      </w:r>
      <w:r>
        <w:rPr>
          <w:rFonts w:hint="eastAsia" w:ascii="宋体" w:hAnsi="宋体"/>
          <w:kern w:val="0"/>
          <w:szCs w:val="21"/>
        </w:rPr>
        <w:t>部分</w:t>
      </w:r>
      <w:r>
        <w:rPr>
          <w:rFonts w:ascii="宋体" w:hAnsi="宋体"/>
          <w:kern w:val="0"/>
          <w:szCs w:val="21"/>
        </w:rPr>
        <w:t>评分标准：见评标办法前附表；（对于施工难度大、专业技术复杂的项目，应由招标人会同设计单位提出技术方案编写要点，作为评分标准）。</w:t>
      </w:r>
    </w:p>
    <w:p w14:paraId="017B454F">
      <w:pPr>
        <w:autoSpaceDE w:val="0"/>
        <w:autoSpaceDN w:val="0"/>
        <w:adjustRightInd w:val="0"/>
        <w:snapToGrid w:val="0"/>
        <w:spacing w:line="360" w:lineRule="auto"/>
        <w:ind w:firstLine="535" w:firstLineChars="255"/>
        <w:rPr>
          <w:rFonts w:ascii="宋体" w:hAnsi="宋体"/>
          <w:kern w:val="0"/>
          <w:szCs w:val="21"/>
        </w:rPr>
      </w:pPr>
      <w:r>
        <w:rPr>
          <w:rFonts w:hint="eastAsia" w:ascii="宋体" w:hAnsi="宋体"/>
          <w:kern w:val="0"/>
          <w:szCs w:val="21"/>
        </w:rPr>
        <w:t>（2） 商务部分评分标准：</w:t>
      </w:r>
      <w:r>
        <w:rPr>
          <w:rFonts w:ascii="宋体" w:hAnsi="宋体"/>
          <w:kern w:val="0"/>
          <w:szCs w:val="21"/>
        </w:rPr>
        <w:t>见评标办法前附表；</w:t>
      </w:r>
    </w:p>
    <w:p w14:paraId="4FD92C11">
      <w:pPr>
        <w:autoSpaceDE w:val="0"/>
        <w:autoSpaceDN w:val="0"/>
        <w:adjustRightInd w:val="0"/>
        <w:snapToGrid w:val="0"/>
        <w:spacing w:line="360" w:lineRule="auto"/>
        <w:ind w:firstLine="535" w:firstLineChars="255"/>
        <w:rPr>
          <w:rFonts w:hint="eastAsia" w:ascii="宋体" w:hAnsi="宋体"/>
          <w:kern w:val="0"/>
          <w:szCs w:val="21"/>
        </w:rPr>
      </w:pPr>
      <w:r>
        <w:rPr>
          <w:rFonts w:hint="eastAsia" w:ascii="宋体" w:hAnsi="宋体"/>
          <w:kern w:val="0"/>
          <w:szCs w:val="21"/>
        </w:rPr>
        <w:t>（3） 投标函部分及经济部分评审标准：</w:t>
      </w:r>
      <w:r>
        <w:rPr>
          <w:rFonts w:ascii="宋体" w:hAnsi="宋体"/>
          <w:kern w:val="0"/>
          <w:szCs w:val="21"/>
        </w:rPr>
        <w:t>见评标办法前附表</w:t>
      </w:r>
      <w:r>
        <w:rPr>
          <w:rFonts w:hint="eastAsia" w:ascii="宋体" w:hAnsi="宋体"/>
          <w:kern w:val="0"/>
          <w:szCs w:val="21"/>
        </w:rPr>
        <w:t>。</w:t>
      </w:r>
    </w:p>
    <w:p w14:paraId="6A8CA0C6">
      <w:pPr>
        <w:autoSpaceDE w:val="0"/>
        <w:autoSpaceDN w:val="0"/>
        <w:adjustRightInd w:val="0"/>
        <w:snapToGrid w:val="0"/>
        <w:spacing w:line="360" w:lineRule="auto"/>
        <w:ind w:firstLine="535" w:firstLineChars="255"/>
        <w:rPr>
          <w:rFonts w:hint="eastAsia" w:ascii="宋体" w:hAnsi="宋体"/>
          <w:kern w:val="0"/>
          <w:szCs w:val="21"/>
        </w:rPr>
      </w:pPr>
      <w:r>
        <w:rPr>
          <w:rFonts w:ascii="宋体" w:hAnsi="宋体"/>
          <w:kern w:val="0"/>
          <w:szCs w:val="21"/>
        </w:rPr>
        <w:t>2.2.</w:t>
      </w:r>
      <w:r>
        <w:rPr>
          <w:rFonts w:hint="eastAsia" w:ascii="宋体" w:hAnsi="宋体"/>
          <w:kern w:val="0"/>
          <w:szCs w:val="21"/>
        </w:rPr>
        <w:t>3</w:t>
      </w:r>
      <w:r>
        <w:rPr>
          <w:rFonts w:ascii="宋体" w:hAnsi="宋体"/>
          <w:kern w:val="0"/>
          <w:szCs w:val="21"/>
        </w:rPr>
        <w:t xml:space="preserve"> 评标基准价计算</w:t>
      </w:r>
    </w:p>
    <w:p w14:paraId="056B796C">
      <w:pPr>
        <w:autoSpaceDE w:val="0"/>
        <w:autoSpaceDN w:val="0"/>
        <w:adjustRightInd w:val="0"/>
        <w:snapToGrid w:val="0"/>
        <w:spacing w:line="360" w:lineRule="auto"/>
        <w:ind w:firstLine="535" w:firstLineChars="255"/>
        <w:rPr>
          <w:rFonts w:ascii="宋体" w:hAnsi="宋体"/>
          <w:kern w:val="0"/>
          <w:szCs w:val="21"/>
        </w:rPr>
      </w:pPr>
      <w:r>
        <w:rPr>
          <w:rFonts w:hint="eastAsia" w:ascii="宋体" w:hAnsi="宋体"/>
          <w:kern w:val="0"/>
          <w:szCs w:val="21"/>
        </w:rPr>
        <w:t>评标基准价的计算方法：</w:t>
      </w:r>
      <w:r>
        <w:rPr>
          <w:rFonts w:ascii="宋体" w:hAnsi="宋体"/>
          <w:kern w:val="0"/>
          <w:szCs w:val="21"/>
        </w:rPr>
        <w:t>见评标办法前附表。</w:t>
      </w:r>
    </w:p>
    <w:p w14:paraId="12373654">
      <w:pPr>
        <w:autoSpaceDE w:val="0"/>
        <w:autoSpaceDN w:val="0"/>
        <w:adjustRightInd w:val="0"/>
        <w:snapToGrid w:val="0"/>
        <w:spacing w:line="360" w:lineRule="auto"/>
        <w:ind w:firstLine="535" w:firstLineChars="255"/>
        <w:rPr>
          <w:rFonts w:ascii="宋体" w:hAnsi="宋体"/>
          <w:kern w:val="0"/>
          <w:szCs w:val="21"/>
        </w:rPr>
      </w:pPr>
      <w:r>
        <w:rPr>
          <w:rFonts w:ascii="宋体" w:hAnsi="宋体"/>
          <w:kern w:val="0"/>
          <w:szCs w:val="21"/>
        </w:rPr>
        <w:t>2.2.</w:t>
      </w:r>
      <w:r>
        <w:rPr>
          <w:rFonts w:hint="eastAsia" w:ascii="宋体" w:hAnsi="宋体"/>
          <w:kern w:val="0"/>
          <w:szCs w:val="21"/>
        </w:rPr>
        <w:t>4</w:t>
      </w:r>
      <w:r>
        <w:rPr>
          <w:rFonts w:ascii="宋体" w:hAnsi="宋体"/>
          <w:kern w:val="0"/>
          <w:szCs w:val="21"/>
        </w:rPr>
        <w:t xml:space="preserve"> 投标报价的偏差率计算</w:t>
      </w:r>
    </w:p>
    <w:p w14:paraId="6DC38F4F">
      <w:pPr>
        <w:autoSpaceDE w:val="0"/>
        <w:autoSpaceDN w:val="0"/>
        <w:adjustRightInd w:val="0"/>
        <w:snapToGrid w:val="0"/>
        <w:spacing w:line="360" w:lineRule="auto"/>
        <w:ind w:firstLine="535" w:firstLineChars="255"/>
        <w:rPr>
          <w:rFonts w:hint="eastAsia" w:ascii="宋体" w:hAnsi="宋体"/>
          <w:kern w:val="0"/>
          <w:szCs w:val="21"/>
        </w:rPr>
      </w:pPr>
      <w:r>
        <w:rPr>
          <w:rFonts w:ascii="宋体" w:hAnsi="宋体"/>
          <w:kern w:val="0"/>
          <w:szCs w:val="21"/>
        </w:rPr>
        <w:t>投标报价的偏差率计算公式：见评标办法前附表</w:t>
      </w:r>
      <w:r>
        <w:rPr>
          <w:rFonts w:hint="eastAsia" w:ascii="宋体" w:hAnsi="宋体"/>
          <w:kern w:val="0"/>
          <w:szCs w:val="21"/>
        </w:rPr>
        <w:t>。</w:t>
      </w:r>
    </w:p>
    <w:p w14:paraId="68ECC695">
      <w:pPr>
        <w:pStyle w:val="4"/>
        <w:spacing w:before="0" w:after="0" w:line="360" w:lineRule="auto"/>
        <w:rPr>
          <w:rFonts w:hint="eastAsia" w:ascii="宋体" w:hAnsi="宋体" w:cs="宋体"/>
          <w:sz w:val="28"/>
          <w:szCs w:val="28"/>
        </w:rPr>
      </w:pPr>
      <w:bookmarkStart w:id="394" w:name="_Toc287607816"/>
      <w:bookmarkStart w:id="395" w:name="_Toc287620755"/>
      <w:bookmarkStart w:id="396" w:name="_Toc509218780"/>
      <w:bookmarkStart w:id="397" w:name="_Toc33106456"/>
      <w:bookmarkStart w:id="398" w:name="_Toc25749"/>
      <w:bookmarkStart w:id="399" w:name="_Toc430530504"/>
      <w:bookmarkStart w:id="400" w:name="_Toc224103388"/>
      <w:bookmarkStart w:id="401" w:name="_Toc57795933"/>
      <w:bookmarkStart w:id="402" w:name="_Toc200513202"/>
      <w:bookmarkStart w:id="403" w:name="_Toc277082622"/>
      <w:r>
        <w:rPr>
          <w:rFonts w:hint="eastAsia" w:ascii="宋体" w:hAnsi="宋体" w:cs="宋体"/>
          <w:sz w:val="28"/>
          <w:szCs w:val="28"/>
        </w:rPr>
        <w:t>3. 评标程序</w:t>
      </w:r>
      <w:bookmarkEnd w:id="394"/>
      <w:bookmarkEnd w:id="395"/>
      <w:bookmarkEnd w:id="396"/>
      <w:bookmarkEnd w:id="397"/>
      <w:bookmarkEnd w:id="398"/>
      <w:bookmarkEnd w:id="399"/>
      <w:bookmarkEnd w:id="400"/>
      <w:bookmarkEnd w:id="401"/>
      <w:bookmarkEnd w:id="402"/>
      <w:bookmarkEnd w:id="403"/>
    </w:p>
    <w:p w14:paraId="54E4108E">
      <w:pPr>
        <w:pStyle w:val="5"/>
        <w:spacing w:before="0" w:after="0" w:line="360" w:lineRule="auto"/>
        <w:rPr>
          <w:rFonts w:hint="eastAsia" w:ascii="宋体" w:hAnsi="宋体" w:cs="宋体"/>
          <w:sz w:val="21"/>
          <w:szCs w:val="21"/>
        </w:rPr>
      </w:pPr>
      <w:bookmarkStart w:id="404" w:name="_Toc277082623"/>
      <w:bookmarkStart w:id="405" w:name="_Toc200513203"/>
      <w:bookmarkStart w:id="406" w:name="_Toc57795934"/>
      <w:bookmarkStart w:id="407" w:name="_Toc33106457"/>
      <w:bookmarkStart w:id="408" w:name="_Toc287620756"/>
      <w:bookmarkStart w:id="409" w:name="_Toc509218781"/>
      <w:bookmarkStart w:id="410" w:name="_Toc27029"/>
      <w:bookmarkStart w:id="411" w:name="_Toc224103389"/>
      <w:bookmarkStart w:id="412" w:name="_Toc430530505"/>
      <w:bookmarkStart w:id="413" w:name="_Toc287607817"/>
      <w:r>
        <w:rPr>
          <w:rFonts w:hint="eastAsia" w:ascii="宋体" w:hAnsi="宋体" w:cs="宋体"/>
          <w:sz w:val="21"/>
          <w:szCs w:val="21"/>
        </w:rPr>
        <w:t>3.1 初步评审</w:t>
      </w:r>
      <w:bookmarkEnd w:id="404"/>
      <w:bookmarkEnd w:id="405"/>
      <w:bookmarkEnd w:id="406"/>
      <w:bookmarkEnd w:id="407"/>
      <w:bookmarkEnd w:id="408"/>
      <w:bookmarkEnd w:id="409"/>
      <w:bookmarkEnd w:id="410"/>
      <w:bookmarkEnd w:id="411"/>
      <w:bookmarkEnd w:id="412"/>
      <w:bookmarkEnd w:id="413"/>
    </w:p>
    <w:p w14:paraId="3CF96866">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3.1.1 评标委员会依据本章第 2.1 款规定的标准对投标文件进行初步评审。有一项不符合评审标准的，作否决投标处理。</w:t>
      </w:r>
    </w:p>
    <w:p w14:paraId="284B5631">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3.1.2 投标人有以下情形之一的，其投标作否决投标处理：</w:t>
      </w:r>
    </w:p>
    <w:p w14:paraId="3641661A">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1</w:t>
      </w:r>
      <w:r>
        <w:rPr>
          <w:rFonts w:ascii="宋体" w:hAnsi="宋体"/>
          <w:kern w:val="0"/>
          <w:szCs w:val="21"/>
        </w:rPr>
        <w:t>）第二</w:t>
      </w:r>
      <w:r>
        <w:rPr>
          <w:rFonts w:ascii="宋体" w:hAnsi="宋体"/>
          <w:spacing w:val="-1"/>
          <w:kern w:val="0"/>
          <w:szCs w:val="21"/>
        </w:rPr>
        <w:t>章</w:t>
      </w:r>
      <w:r>
        <w:rPr>
          <w:rFonts w:hint="eastAsia" w:ascii="宋体" w:hAnsi="宋体"/>
          <w:kern w:val="0"/>
          <w:szCs w:val="21"/>
        </w:rPr>
        <w:t>“</w:t>
      </w:r>
      <w:r>
        <w:rPr>
          <w:rFonts w:ascii="宋体" w:hAnsi="宋体"/>
          <w:kern w:val="0"/>
          <w:szCs w:val="21"/>
        </w:rPr>
        <w:t>投标人须知</w:t>
      </w:r>
      <w:r>
        <w:rPr>
          <w:rFonts w:hint="eastAsia" w:ascii="宋体" w:hAnsi="宋体"/>
          <w:kern w:val="0"/>
          <w:szCs w:val="21"/>
        </w:rPr>
        <w:t>”</w:t>
      </w:r>
      <w:r>
        <w:rPr>
          <w:rFonts w:ascii="宋体" w:hAnsi="宋体"/>
          <w:kern w:val="0"/>
          <w:szCs w:val="21"/>
        </w:rPr>
        <w:t>第</w:t>
      </w:r>
      <w:r>
        <w:rPr>
          <w:rFonts w:ascii="宋体" w:hAnsi="宋体"/>
          <w:spacing w:val="1"/>
          <w:kern w:val="0"/>
          <w:szCs w:val="21"/>
        </w:rPr>
        <w:t>1</w:t>
      </w:r>
      <w:r>
        <w:rPr>
          <w:rFonts w:ascii="宋体" w:hAnsi="宋体"/>
          <w:spacing w:val="-1"/>
          <w:kern w:val="0"/>
          <w:szCs w:val="21"/>
        </w:rPr>
        <w:t>.</w:t>
      </w:r>
      <w:r>
        <w:rPr>
          <w:rFonts w:ascii="宋体" w:hAnsi="宋体"/>
          <w:spacing w:val="1"/>
          <w:kern w:val="0"/>
          <w:szCs w:val="21"/>
        </w:rPr>
        <w:t>4</w:t>
      </w:r>
      <w:r>
        <w:rPr>
          <w:rFonts w:ascii="宋体" w:hAnsi="宋体"/>
          <w:spacing w:val="-1"/>
          <w:kern w:val="0"/>
          <w:szCs w:val="21"/>
        </w:rPr>
        <w:t>.</w:t>
      </w:r>
      <w:r>
        <w:rPr>
          <w:rFonts w:ascii="宋体" w:hAnsi="宋体"/>
          <w:kern w:val="0"/>
          <w:szCs w:val="21"/>
        </w:rPr>
        <w:t>3项规定的任何一种情形的；</w:t>
      </w:r>
    </w:p>
    <w:p w14:paraId="3577F19B">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2</w:t>
      </w:r>
      <w:r>
        <w:rPr>
          <w:rFonts w:ascii="宋体" w:hAnsi="宋体"/>
          <w:kern w:val="0"/>
          <w:szCs w:val="21"/>
        </w:rPr>
        <w:t>）</w:t>
      </w:r>
      <w:r>
        <w:rPr>
          <w:rFonts w:hint="eastAsia" w:ascii="宋体" w:hAnsi="宋体"/>
          <w:kern w:val="0"/>
          <w:szCs w:val="21"/>
        </w:rPr>
        <w:t>本次投标有串通投标、弄虚作假等其他违反招投标相关法律、法规行为的</w:t>
      </w:r>
      <w:r>
        <w:rPr>
          <w:rFonts w:ascii="宋体" w:hAnsi="宋体"/>
          <w:kern w:val="0"/>
          <w:szCs w:val="21"/>
        </w:rPr>
        <w:t>；</w:t>
      </w:r>
    </w:p>
    <w:p w14:paraId="64754926">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w:t>
      </w:r>
      <w:r>
        <w:rPr>
          <w:rFonts w:ascii="宋体" w:hAnsi="宋体"/>
          <w:spacing w:val="1"/>
          <w:kern w:val="0"/>
          <w:szCs w:val="21"/>
        </w:rPr>
        <w:t>3</w:t>
      </w:r>
      <w:r>
        <w:rPr>
          <w:rFonts w:ascii="宋体" w:hAnsi="宋体"/>
          <w:kern w:val="0"/>
          <w:szCs w:val="21"/>
        </w:rPr>
        <w:t>）</w:t>
      </w:r>
      <w:r>
        <w:rPr>
          <w:rFonts w:hint="eastAsia" w:ascii="宋体" w:hAnsi="宋体"/>
          <w:kern w:val="0"/>
          <w:szCs w:val="21"/>
        </w:rPr>
        <w:t>拒绝</w:t>
      </w:r>
      <w:r>
        <w:rPr>
          <w:rFonts w:ascii="宋体" w:hAnsi="宋体"/>
          <w:kern w:val="0"/>
          <w:szCs w:val="21"/>
        </w:rPr>
        <w:t>按</w:t>
      </w:r>
      <w:r>
        <w:rPr>
          <w:rFonts w:ascii="宋体" w:hAnsi="宋体"/>
          <w:spacing w:val="-1"/>
          <w:kern w:val="0"/>
          <w:szCs w:val="21"/>
        </w:rPr>
        <w:t>评</w:t>
      </w:r>
      <w:r>
        <w:rPr>
          <w:rFonts w:ascii="宋体" w:hAnsi="宋体"/>
          <w:kern w:val="0"/>
          <w:szCs w:val="21"/>
        </w:rPr>
        <w:t>标委员会要求澄清、说明或补正的</w:t>
      </w:r>
      <w:r>
        <w:rPr>
          <w:rFonts w:hint="eastAsia" w:ascii="宋体" w:hAnsi="宋体"/>
          <w:kern w:val="0"/>
          <w:szCs w:val="21"/>
        </w:rPr>
        <w:t>。</w:t>
      </w:r>
    </w:p>
    <w:p w14:paraId="13D97156">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3.1.3  投标报价有算术错误的，评标委员会按以下原则对投标报价进行修正，修正的价格经投标人书面确认后具有约束力</w:t>
      </w:r>
      <w:r>
        <w:rPr>
          <w:rFonts w:hint="eastAsia" w:ascii="宋体" w:hAnsi="宋体" w:cs="宋体"/>
          <w:szCs w:val="21"/>
        </w:rPr>
        <w:t>，修正原则如下：</w:t>
      </w:r>
    </w:p>
    <w:p w14:paraId="13C38B80">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（1）投标文件中的大写金额与小写金额不一致的，以大写金额为准；</w:t>
      </w:r>
    </w:p>
    <w:p w14:paraId="151D71B9">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（2）</w:t>
      </w:r>
      <w:r>
        <w:rPr>
          <w:rFonts w:hint="eastAsia" w:ascii="宋体" w:hAnsi="宋体"/>
          <w:kern w:val="0"/>
          <w:szCs w:val="21"/>
        </w:rPr>
        <w:t>投标函中的总报价与已标价工程量清单总报价不一致</w:t>
      </w:r>
      <w:r>
        <w:rPr>
          <w:rFonts w:ascii="宋体" w:hAnsi="宋体"/>
          <w:kern w:val="0"/>
          <w:szCs w:val="21"/>
        </w:rPr>
        <w:t>的，</w:t>
      </w:r>
      <w:r>
        <w:rPr>
          <w:rFonts w:hint="eastAsia" w:ascii="宋体" w:hAnsi="宋体"/>
          <w:kern w:val="0"/>
          <w:szCs w:val="21"/>
        </w:rPr>
        <w:t>由评标委员会作否决投标处理</w:t>
      </w:r>
      <w:r>
        <w:rPr>
          <w:rFonts w:ascii="宋体" w:hAnsi="宋体"/>
          <w:kern w:val="0"/>
          <w:szCs w:val="21"/>
        </w:rPr>
        <w:t>。</w:t>
      </w:r>
    </w:p>
    <w:p w14:paraId="3F597F0E">
      <w:pPr>
        <w:pStyle w:val="5"/>
        <w:spacing w:before="0" w:after="0" w:line="360" w:lineRule="auto"/>
        <w:rPr>
          <w:rFonts w:hint="eastAsia" w:ascii="宋体" w:hAnsi="宋体" w:cs="宋体"/>
          <w:sz w:val="21"/>
          <w:szCs w:val="21"/>
        </w:rPr>
      </w:pPr>
      <w:bookmarkStart w:id="414" w:name="_Toc287620757"/>
      <w:bookmarkStart w:id="415" w:name="_Toc33106458"/>
      <w:bookmarkStart w:id="416" w:name="_Toc430530506"/>
      <w:bookmarkStart w:id="417" w:name="_Toc57795935"/>
      <w:bookmarkStart w:id="418" w:name="_Toc509218782"/>
      <w:bookmarkStart w:id="419" w:name="_Toc224103390"/>
      <w:bookmarkStart w:id="420" w:name="_Toc287607818"/>
      <w:bookmarkStart w:id="421" w:name="_Toc32301"/>
      <w:bookmarkStart w:id="422" w:name="_Toc277082624"/>
      <w:bookmarkStart w:id="423" w:name="_Toc200513204"/>
      <w:r>
        <w:rPr>
          <w:rFonts w:hint="eastAsia" w:ascii="宋体" w:hAnsi="宋体" w:cs="宋体"/>
          <w:sz w:val="21"/>
          <w:szCs w:val="21"/>
        </w:rPr>
        <w:t>3.2 详细评审</w:t>
      </w:r>
      <w:bookmarkEnd w:id="414"/>
      <w:bookmarkEnd w:id="415"/>
      <w:bookmarkEnd w:id="416"/>
      <w:bookmarkEnd w:id="417"/>
      <w:bookmarkEnd w:id="418"/>
      <w:bookmarkEnd w:id="419"/>
      <w:bookmarkEnd w:id="420"/>
      <w:bookmarkEnd w:id="421"/>
      <w:bookmarkEnd w:id="422"/>
      <w:bookmarkEnd w:id="423"/>
    </w:p>
    <w:p w14:paraId="56222BB4">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3.2.1 评标委员会按本章第2.2款规定的量化因素和分值进行</w:t>
      </w:r>
      <w:r>
        <w:rPr>
          <w:rFonts w:hint="eastAsia" w:ascii="宋体" w:hAnsi="宋体"/>
          <w:kern w:val="0"/>
          <w:szCs w:val="21"/>
        </w:rPr>
        <w:t>评分</w:t>
      </w:r>
      <w:r>
        <w:rPr>
          <w:rFonts w:ascii="宋体" w:hAnsi="宋体"/>
          <w:kern w:val="0"/>
          <w:szCs w:val="21"/>
        </w:rPr>
        <w:t>，并计算出综合评估得分。</w:t>
      </w:r>
    </w:p>
    <w:p w14:paraId="654E3512">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w:t>
      </w:r>
      <w:r>
        <w:rPr>
          <w:rFonts w:hint="eastAsia" w:ascii="宋体" w:hAnsi="宋体"/>
          <w:kern w:val="0"/>
          <w:szCs w:val="21"/>
        </w:rPr>
        <w:t>1</w:t>
      </w:r>
      <w:r>
        <w:rPr>
          <w:rFonts w:ascii="宋体" w:hAnsi="宋体"/>
          <w:kern w:val="0"/>
          <w:szCs w:val="21"/>
        </w:rPr>
        <w:t>）按本章第3.2.1（</w:t>
      </w:r>
      <w:r>
        <w:rPr>
          <w:rFonts w:hint="eastAsia" w:ascii="宋体" w:hAnsi="宋体"/>
          <w:kern w:val="0"/>
          <w:szCs w:val="21"/>
        </w:rPr>
        <w:t>1</w:t>
      </w:r>
      <w:r>
        <w:rPr>
          <w:rFonts w:ascii="宋体" w:hAnsi="宋体"/>
          <w:kern w:val="0"/>
          <w:szCs w:val="21"/>
        </w:rPr>
        <w:t>）目规定的评审因素和分值对技术</w:t>
      </w:r>
      <w:r>
        <w:rPr>
          <w:rFonts w:hint="eastAsia" w:ascii="宋体" w:hAnsi="宋体"/>
          <w:kern w:val="0"/>
          <w:szCs w:val="21"/>
        </w:rPr>
        <w:t>部分</w:t>
      </w:r>
      <w:r>
        <w:rPr>
          <w:rFonts w:ascii="宋体" w:hAnsi="宋体"/>
          <w:kern w:val="0"/>
          <w:szCs w:val="21"/>
        </w:rPr>
        <w:t>计算出得分</w:t>
      </w:r>
      <w:r>
        <w:rPr>
          <w:rFonts w:hint="eastAsia" w:ascii="宋体" w:hAnsi="宋体"/>
          <w:kern w:val="0"/>
          <w:szCs w:val="21"/>
        </w:rPr>
        <w:t>A（</w:t>
      </w:r>
      <w:r>
        <w:rPr>
          <w:rFonts w:ascii="宋体" w:hAnsi="宋体"/>
          <w:snapToGrid w:val="0"/>
          <w:kern w:val="0"/>
          <w:szCs w:val="21"/>
        </w:rPr>
        <w:t>所有评委</w:t>
      </w:r>
      <w:r>
        <w:rPr>
          <w:rFonts w:hint="eastAsia" w:ascii="宋体" w:hAnsi="宋体"/>
          <w:snapToGrid w:val="0"/>
          <w:kern w:val="0"/>
          <w:szCs w:val="21"/>
        </w:rPr>
        <w:t>评分</w:t>
      </w:r>
      <w:r>
        <w:rPr>
          <w:rFonts w:ascii="宋体" w:hAnsi="宋体"/>
          <w:snapToGrid w:val="0"/>
          <w:kern w:val="0"/>
          <w:szCs w:val="21"/>
        </w:rPr>
        <w:t>中去掉一个最高和一个最低分，余下评委</w:t>
      </w:r>
      <w:r>
        <w:rPr>
          <w:rFonts w:hint="eastAsia" w:ascii="宋体" w:hAnsi="宋体"/>
          <w:snapToGrid w:val="0"/>
          <w:kern w:val="0"/>
          <w:szCs w:val="21"/>
        </w:rPr>
        <w:t>评分</w:t>
      </w:r>
      <w:r>
        <w:rPr>
          <w:rFonts w:ascii="宋体" w:hAnsi="宋体"/>
          <w:snapToGrid w:val="0"/>
          <w:kern w:val="0"/>
          <w:szCs w:val="21"/>
        </w:rPr>
        <w:t>取算术平均值为该投标人技术</w:t>
      </w:r>
      <w:r>
        <w:rPr>
          <w:rFonts w:hint="eastAsia" w:ascii="宋体" w:hAnsi="宋体"/>
          <w:snapToGrid w:val="0"/>
          <w:kern w:val="0"/>
          <w:szCs w:val="21"/>
        </w:rPr>
        <w:t>部分</w:t>
      </w:r>
      <w:r>
        <w:rPr>
          <w:rFonts w:ascii="宋体" w:hAnsi="宋体"/>
          <w:snapToGrid w:val="0"/>
          <w:kern w:val="0"/>
          <w:szCs w:val="21"/>
        </w:rPr>
        <w:t>得分。</w:t>
      </w:r>
      <w:r>
        <w:rPr>
          <w:rFonts w:ascii="宋体" w:hAnsi="宋体"/>
          <w:kern w:val="0"/>
          <w:szCs w:val="21"/>
        </w:rPr>
        <w:t>）</w:t>
      </w:r>
    </w:p>
    <w:p w14:paraId="5FCA72F0">
      <w:pPr>
        <w:autoSpaceDE w:val="0"/>
        <w:autoSpaceDN w:val="0"/>
        <w:adjustRightInd w:val="0"/>
        <w:snapToGrid w:val="0"/>
        <w:spacing w:line="360" w:lineRule="auto"/>
        <w:ind w:firstLine="420" w:firstLineChars="200"/>
        <w:rPr>
          <w:rFonts w:hint="eastAsia" w:ascii="宋体" w:hAnsi="宋体"/>
          <w:kern w:val="0"/>
          <w:szCs w:val="21"/>
        </w:rPr>
      </w:pPr>
      <w:r>
        <w:rPr>
          <w:rFonts w:hint="eastAsia" w:ascii="宋体" w:hAnsi="宋体"/>
          <w:kern w:val="0"/>
          <w:szCs w:val="21"/>
        </w:rPr>
        <w:t>（2）</w:t>
      </w:r>
      <w:r>
        <w:rPr>
          <w:rFonts w:ascii="宋体" w:hAnsi="宋体"/>
          <w:kern w:val="0"/>
          <w:szCs w:val="21"/>
        </w:rPr>
        <w:t>按本章第3.2.1（</w:t>
      </w:r>
      <w:r>
        <w:rPr>
          <w:rFonts w:hint="eastAsia" w:ascii="宋体" w:hAnsi="宋体"/>
          <w:kern w:val="0"/>
          <w:szCs w:val="21"/>
        </w:rPr>
        <w:t>2</w:t>
      </w:r>
      <w:r>
        <w:rPr>
          <w:rFonts w:ascii="宋体" w:hAnsi="宋体"/>
          <w:kern w:val="0"/>
          <w:szCs w:val="21"/>
        </w:rPr>
        <w:t>）目规定的评审因素和分值对</w:t>
      </w:r>
      <w:r>
        <w:rPr>
          <w:rFonts w:hint="eastAsia" w:ascii="宋体" w:hAnsi="宋体"/>
          <w:kern w:val="0"/>
          <w:szCs w:val="21"/>
        </w:rPr>
        <w:t>商务部分</w:t>
      </w:r>
      <w:r>
        <w:rPr>
          <w:rFonts w:ascii="宋体" w:hAnsi="宋体"/>
          <w:kern w:val="0"/>
          <w:szCs w:val="21"/>
        </w:rPr>
        <w:t>计算出得分</w:t>
      </w:r>
      <w:r>
        <w:rPr>
          <w:rFonts w:hint="eastAsia" w:ascii="宋体" w:hAnsi="宋体"/>
          <w:kern w:val="0"/>
          <w:szCs w:val="21"/>
        </w:rPr>
        <w:t>B。</w:t>
      </w:r>
    </w:p>
    <w:p w14:paraId="4EF96ED4">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w:t>
      </w:r>
      <w:r>
        <w:rPr>
          <w:rFonts w:hint="eastAsia" w:ascii="宋体" w:hAnsi="宋体"/>
          <w:kern w:val="0"/>
          <w:szCs w:val="21"/>
        </w:rPr>
        <w:t>3</w:t>
      </w:r>
      <w:r>
        <w:rPr>
          <w:rFonts w:ascii="宋体" w:hAnsi="宋体"/>
          <w:kern w:val="0"/>
          <w:szCs w:val="21"/>
        </w:rPr>
        <w:t>）按本章第3.2.1（</w:t>
      </w:r>
      <w:r>
        <w:rPr>
          <w:rFonts w:hint="eastAsia" w:ascii="宋体" w:hAnsi="宋体"/>
          <w:kern w:val="0"/>
          <w:szCs w:val="21"/>
        </w:rPr>
        <w:t>3</w:t>
      </w:r>
      <w:r>
        <w:rPr>
          <w:rFonts w:ascii="宋体" w:hAnsi="宋体"/>
          <w:kern w:val="0"/>
          <w:szCs w:val="21"/>
        </w:rPr>
        <w:t>）目规定的评审因素和分值对投标总报价计算出得分</w:t>
      </w:r>
      <w:r>
        <w:rPr>
          <w:rFonts w:hint="eastAsia" w:ascii="宋体" w:hAnsi="宋体"/>
          <w:kern w:val="0"/>
          <w:szCs w:val="21"/>
        </w:rPr>
        <w:t>C。</w:t>
      </w:r>
    </w:p>
    <w:p w14:paraId="4BB6201E">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 xml:space="preserve">3.2.2  </w:t>
      </w:r>
      <w:r>
        <w:rPr>
          <w:rFonts w:hint="eastAsia" w:ascii="宋体" w:hAnsi="宋体"/>
          <w:kern w:val="0"/>
          <w:szCs w:val="21"/>
        </w:rPr>
        <w:t>各类</w:t>
      </w:r>
      <w:r>
        <w:rPr>
          <w:rFonts w:ascii="宋体" w:hAnsi="宋体"/>
          <w:kern w:val="0"/>
          <w:szCs w:val="21"/>
        </w:rPr>
        <w:t>评分分值</w:t>
      </w:r>
      <w:r>
        <w:rPr>
          <w:rFonts w:hint="eastAsia" w:ascii="宋体" w:hAnsi="宋体"/>
          <w:kern w:val="0"/>
          <w:szCs w:val="21"/>
        </w:rPr>
        <w:t>的最终</w:t>
      </w:r>
      <w:r>
        <w:rPr>
          <w:rFonts w:ascii="宋体" w:hAnsi="宋体"/>
          <w:kern w:val="0"/>
          <w:szCs w:val="21"/>
        </w:rPr>
        <w:t>计算</w:t>
      </w:r>
      <w:r>
        <w:rPr>
          <w:rFonts w:hint="eastAsia" w:ascii="宋体" w:hAnsi="宋体"/>
          <w:kern w:val="0"/>
          <w:szCs w:val="21"/>
        </w:rPr>
        <w:t>结果</w:t>
      </w:r>
      <w:r>
        <w:rPr>
          <w:rFonts w:ascii="宋体" w:hAnsi="宋体"/>
          <w:kern w:val="0"/>
          <w:szCs w:val="21"/>
        </w:rPr>
        <w:t>保留小数点后两位，小数点后第三位四舍五入。</w:t>
      </w:r>
    </w:p>
    <w:p w14:paraId="0A5FF7AE">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3.2.3  投标人得分=A+B</w:t>
      </w:r>
      <w:r>
        <w:rPr>
          <w:rFonts w:hint="eastAsia" w:ascii="宋体" w:hAnsi="宋体"/>
          <w:kern w:val="0"/>
          <w:szCs w:val="21"/>
        </w:rPr>
        <w:t>+C。</w:t>
      </w:r>
    </w:p>
    <w:p w14:paraId="3E7F546A">
      <w:pPr>
        <w:pStyle w:val="5"/>
        <w:spacing w:before="0" w:after="0" w:line="360" w:lineRule="auto"/>
        <w:rPr>
          <w:rFonts w:hint="eastAsia" w:ascii="宋体" w:hAnsi="宋体" w:cs="宋体"/>
          <w:sz w:val="21"/>
          <w:szCs w:val="21"/>
        </w:rPr>
      </w:pPr>
      <w:bookmarkStart w:id="424" w:name="_Toc509218783"/>
      <w:bookmarkStart w:id="425" w:name="_Toc430530507"/>
      <w:bookmarkStart w:id="426" w:name="_Toc224103391"/>
      <w:bookmarkStart w:id="427" w:name="_Toc200513205"/>
      <w:bookmarkStart w:id="428" w:name="_Toc57795936"/>
      <w:bookmarkStart w:id="429" w:name="_Toc14411"/>
      <w:bookmarkStart w:id="430" w:name="_Toc277082625"/>
      <w:bookmarkStart w:id="431" w:name="_Toc33106459"/>
      <w:bookmarkStart w:id="432" w:name="_Toc287607819"/>
      <w:bookmarkStart w:id="433" w:name="_Toc287620758"/>
      <w:r>
        <w:rPr>
          <w:rFonts w:hint="eastAsia" w:ascii="宋体" w:hAnsi="宋体" w:cs="宋体"/>
          <w:sz w:val="21"/>
          <w:szCs w:val="21"/>
        </w:rPr>
        <w:t>3.3 投标文件的澄清和补正</w:t>
      </w:r>
      <w:bookmarkEnd w:id="424"/>
      <w:bookmarkEnd w:id="425"/>
      <w:bookmarkEnd w:id="426"/>
      <w:bookmarkEnd w:id="427"/>
      <w:bookmarkEnd w:id="428"/>
      <w:bookmarkEnd w:id="429"/>
      <w:bookmarkEnd w:id="430"/>
      <w:bookmarkEnd w:id="431"/>
      <w:bookmarkEnd w:id="432"/>
      <w:bookmarkEnd w:id="433"/>
    </w:p>
    <w:p w14:paraId="0D390D83">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3.3.1 在评标过程中，评标委员会可以书面形式要求投标人对所提交投标文件中不明确的内容进行书面澄清或说明，或者对细微偏差进行补正。评标委员会不接受投标人主动提出的澄清、说明或补正。</w:t>
      </w:r>
    </w:p>
    <w:p w14:paraId="5ABBC62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3.3.2 澄清、说明和补正不得改变投标文件的实质性内容（算术性错误修正的除外）。投标人的书面澄清、说明和补正属于投标文件的组成部分。</w:t>
      </w:r>
    </w:p>
    <w:p w14:paraId="47223BB4">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3.3.3 评标委员会对投标人提交的澄清、说明或补正有疑问的，可以要求投标人进一步澄清、说明或补正，直至满足评标委员会的要求。</w:t>
      </w:r>
    </w:p>
    <w:p w14:paraId="60AF876C">
      <w:pPr>
        <w:pStyle w:val="5"/>
        <w:spacing w:before="0" w:after="0" w:line="360" w:lineRule="auto"/>
        <w:rPr>
          <w:rFonts w:hint="eastAsia" w:ascii="宋体" w:hAnsi="宋体" w:cs="宋体"/>
          <w:sz w:val="21"/>
          <w:szCs w:val="21"/>
        </w:rPr>
      </w:pPr>
      <w:bookmarkStart w:id="434" w:name="_Toc224103392"/>
      <w:bookmarkStart w:id="435" w:name="_Toc277082626"/>
      <w:bookmarkStart w:id="436" w:name="_Toc57795937"/>
      <w:bookmarkStart w:id="437" w:name="_Toc33106460"/>
      <w:bookmarkStart w:id="438" w:name="_Toc14898"/>
      <w:bookmarkStart w:id="439" w:name="_Toc430530508"/>
      <w:bookmarkStart w:id="440" w:name="_Toc287620759"/>
      <w:bookmarkStart w:id="441" w:name="_Toc200513206"/>
      <w:bookmarkStart w:id="442" w:name="_Toc287607820"/>
      <w:bookmarkStart w:id="443" w:name="_Toc509218784"/>
      <w:r>
        <w:rPr>
          <w:rFonts w:hint="eastAsia" w:ascii="宋体" w:hAnsi="宋体" w:cs="宋体"/>
          <w:sz w:val="21"/>
          <w:szCs w:val="21"/>
        </w:rPr>
        <w:t>3.4 评标结果</w:t>
      </w:r>
      <w:bookmarkEnd w:id="434"/>
      <w:bookmarkEnd w:id="435"/>
      <w:bookmarkEnd w:id="436"/>
      <w:bookmarkEnd w:id="437"/>
      <w:bookmarkEnd w:id="438"/>
      <w:bookmarkEnd w:id="439"/>
      <w:bookmarkEnd w:id="440"/>
      <w:bookmarkEnd w:id="441"/>
      <w:bookmarkEnd w:id="442"/>
      <w:bookmarkEnd w:id="443"/>
    </w:p>
    <w:p w14:paraId="1B66FE7F">
      <w:pPr>
        <w:autoSpaceDE w:val="0"/>
        <w:autoSpaceDN w:val="0"/>
        <w:adjustRightInd w:val="0"/>
        <w:snapToGrid w:val="0"/>
        <w:spacing w:line="360" w:lineRule="auto"/>
        <w:ind w:firstLine="420" w:firstLineChars="200"/>
        <w:rPr>
          <w:rFonts w:ascii="宋体" w:hAnsi="宋体"/>
          <w:kern w:val="0"/>
          <w:szCs w:val="21"/>
        </w:rPr>
      </w:pPr>
      <w:r>
        <w:rPr>
          <w:rFonts w:ascii="宋体" w:hAnsi="宋体"/>
          <w:kern w:val="0"/>
          <w:szCs w:val="21"/>
        </w:rPr>
        <w:t>3.</w:t>
      </w:r>
      <w:r>
        <w:rPr>
          <w:rFonts w:ascii="宋体" w:hAnsi="宋体"/>
          <w:spacing w:val="-1"/>
          <w:kern w:val="0"/>
          <w:szCs w:val="21"/>
        </w:rPr>
        <w:t>4</w:t>
      </w:r>
      <w:r>
        <w:rPr>
          <w:rFonts w:ascii="宋体" w:hAnsi="宋体"/>
          <w:kern w:val="0"/>
          <w:szCs w:val="21"/>
        </w:rPr>
        <w:t>.1 除第二章</w:t>
      </w:r>
      <w:r>
        <w:rPr>
          <w:rFonts w:hint="eastAsia" w:ascii="宋体" w:hAnsi="宋体"/>
          <w:kern w:val="0"/>
          <w:szCs w:val="21"/>
        </w:rPr>
        <w:t>“</w:t>
      </w:r>
      <w:r>
        <w:rPr>
          <w:rFonts w:ascii="宋体" w:hAnsi="宋体"/>
          <w:kern w:val="0"/>
          <w:szCs w:val="21"/>
        </w:rPr>
        <w:t>投标</w:t>
      </w:r>
      <w:r>
        <w:rPr>
          <w:rFonts w:ascii="宋体" w:hAnsi="宋体"/>
          <w:spacing w:val="1"/>
          <w:kern w:val="0"/>
          <w:szCs w:val="21"/>
        </w:rPr>
        <w:t>人</w:t>
      </w:r>
      <w:r>
        <w:rPr>
          <w:rFonts w:ascii="宋体" w:hAnsi="宋体"/>
          <w:kern w:val="0"/>
          <w:szCs w:val="21"/>
        </w:rPr>
        <w:t>须知</w:t>
      </w:r>
      <w:r>
        <w:rPr>
          <w:rFonts w:hint="eastAsia" w:ascii="宋体" w:hAnsi="宋体"/>
          <w:kern w:val="0"/>
          <w:szCs w:val="21"/>
        </w:rPr>
        <w:t>”</w:t>
      </w:r>
      <w:r>
        <w:rPr>
          <w:rFonts w:ascii="宋体" w:hAnsi="宋体"/>
          <w:kern w:val="0"/>
          <w:szCs w:val="21"/>
        </w:rPr>
        <w:t>前</w:t>
      </w:r>
      <w:r>
        <w:rPr>
          <w:rFonts w:ascii="宋体" w:hAnsi="宋体"/>
          <w:spacing w:val="1"/>
          <w:kern w:val="0"/>
          <w:szCs w:val="21"/>
        </w:rPr>
        <w:t>附</w:t>
      </w:r>
      <w:r>
        <w:rPr>
          <w:rFonts w:ascii="宋体" w:hAnsi="宋体"/>
          <w:kern w:val="0"/>
          <w:szCs w:val="21"/>
        </w:rPr>
        <w:t>表授权直</w:t>
      </w:r>
      <w:r>
        <w:rPr>
          <w:rFonts w:ascii="宋体" w:hAnsi="宋体"/>
          <w:spacing w:val="1"/>
          <w:kern w:val="0"/>
          <w:szCs w:val="21"/>
        </w:rPr>
        <w:t>接</w:t>
      </w:r>
      <w:r>
        <w:rPr>
          <w:rFonts w:ascii="宋体" w:hAnsi="宋体"/>
          <w:kern w:val="0"/>
          <w:szCs w:val="21"/>
        </w:rPr>
        <w:t>确定中标</w:t>
      </w:r>
      <w:r>
        <w:rPr>
          <w:rFonts w:ascii="宋体" w:hAnsi="宋体"/>
          <w:spacing w:val="1"/>
          <w:kern w:val="0"/>
          <w:szCs w:val="21"/>
        </w:rPr>
        <w:t>人</w:t>
      </w:r>
      <w:r>
        <w:rPr>
          <w:rFonts w:ascii="宋体" w:hAnsi="宋体"/>
          <w:kern w:val="0"/>
          <w:szCs w:val="21"/>
        </w:rPr>
        <w:t>外，评标</w:t>
      </w:r>
      <w:r>
        <w:rPr>
          <w:rFonts w:ascii="宋体" w:hAnsi="宋体"/>
          <w:spacing w:val="1"/>
          <w:kern w:val="0"/>
          <w:szCs w:val="21"/>
        </w:rPr>
        <w:t>委</w:t>
      </w:r>
      <w:r>
        <w:rPr>
          <w:rFonts w:ascii="宋体" w:hAnsi="宋体"/>
          <w:kern w:val="0"/>
          <w:szCs w:val="21"/>
        </w:rPr>
        <w:t>员会按照</w:t>
      </w:r>
      <w:r>
        <w:rPr>
          <w:rFonts w:ascii="宋体" w:hAnsi="宋体"/>
          <w:spacing w:val="1"/>
          <w:kern w:val="0"/>
          <w:szCs w:val="21"/>
        </w:rPr>
        <w:t>得分</w:t>
      </w:r>
      <w:r>
        <w:rPr>
          <w:rFonts w:ascii="宋体" w:hAnsi="宋体"/>
          <w:kern w:val="0"/>
          <w:szCs w:val="21"/>
        </w:rPr>
        <w:t>由高到低的顺序推荐中标候选人。</w:t>
      </w:r>
    </w:p>
    <w:p w14:paraId="1BB153B9">
      <w:pPr>
        <w:autoSpaceDE w:val="0"/>
        <w:autoSpaceDN w:val="0"/>
        <w:adjustRightInd w:val="0"/>
        <w:snapToGrid w:val="0"/>
        <w:spacing w:line="360" w:lineRule="auto"/>
        <w:ind w:firstLine="424" w:firstLineChars="200"/>
        <w:rPr>
          <w:rFonts w:ascii="宋体" w:hAnsi="宋体"/>
          <w:kern w:val="0"/>
          <w:sz w:val="20"/>
          <w:szCs w:val="20"/>
        </w:rPr>
      </w:pPr>
      <w:r>
        <w:rPr>
          <w:rFonts w:ascii="宋体" w:hAnsi="宋体"/>
          <w:spacing w:val="1"/>
          <w:kern w:val="0"/>
          <w:szCs w:val="21"/>
        </w:rPr>
        <w:t>3</w:t>
      </w:r>
      <w:r>
        <w:rPr>
          <w:rFonts w:ascii="宋体" w:hAnsi="宋体"/>
          <w:kern w:val="0"/>
          <w:szCs w:val="21"/>
        </w:rPr>
        <w:t>.4.2 评标</w:t>
      </w:r>
      <w:r>
        <w:rPr>
          <w:rFonts w:ascii="宋体" w:hAnsi="宋体"/>
          <w:spacing w:val="-1"/>
          <w:kern w:val="0"/>
          <w:szCs w:val="21"/>
        </w:rPr>
        <w:t>委</w:t>
      </w:r>
      <w:r>
        <w:rPr>
          <w:rFonts w:ascii="宋体" w:hAnsi="宋体"/>
          <w:kern w:val="0"/>
          <w:szCs w:val="21"/>
        </w:rPr>
        <w:t>员会完成评标后，应当向招标人提交书面评标报告。</w:t>
      </w:r>
    </w:p>
    <w:p w14:paraId="6A60378B">
      <w:pPr>
        <w:pStyle w:val="24"/>
        <w:spacing w:line="360" w:lineRule="auto"/>
        <w:rPr>
          <w:rFonts w:ascii="宋体" w:hAnsi="宋体"/>
          <w:b/>
          <w:sz w:val="28"/>
          <w:szCs w:val="28"/>
          <w:lang w:eastAsia="zh-CN"/>
        </w:rPr>
      </w:pPr>
      <w:bookmarkStart w:id="444" w:name="_Toc277082627"/>
      <w:bookmarkStart w:id="445" w:name="_Toc230410480"/>
      <w:r>
        <w:rPr>
          <w:rFonts w:ascii="宋体" w:hAnsi="宋体"/>
          <w:b/>
          <w:sz w:val="28"/>
          <w:szCs w:val="28"/>
          <w:u w:val="none"/>
          <w:lang w:eastAsia="zh-CN"/>
        </w:rPr>
        <w:br w:type="page"/>
      </w:r>
    </w:p>
    <w:p w14:paraId="3BBE89C9">
      <w:pPr>
        <w:pStyle w:val="24"/>
        <w:spacing w:line="360" w:lineRule="auto"/>
        <w:rPr>
          <w:rFonts w:hint="eastAsia" w:ascii="宋体" w:hAnsi="宋体"/>
          <w:b/>
          <w:sz w:val="28"/>
          <w:szCs w:val="28"/>
          <w:u w:val="none"/>
          <w:lang w:eastAsia="zh-CN"/>
        </w:rPr>
      </w:pPr>
      <w:r>
        <w:rPr>
          <w:rFonts w:ascii="宋体" w:hAnsi="宋体"/>
          <w:b/>
          <w:sz w:val="28"/>
          <w:szCs w:val="28"/>
          <w:u w:val="none"/>
          <w:lang w:eastAsia="zh-CN"/>
        </w:rPr>
        <w:t>附件A：综合评估法否决投标情况一览表</w:t>
      </w:r>
    </w:p>
    <w:p w14:paraId="1C46BD72">
      <w:pPr>
        <w:pStyle w:val="24"/>
        <w:spacing w:line="360" w:lineRule="auto"/>
        <w:ind w:firstLine="420" w:firstLineChars="200"/>
        <w:jc w:val="both"/>
        <w:rPr>
          <w:rFonts w:ascii="宋体" w:hAnsi="宋体"/>
          <w:sz w:val="21"/>
          <w:szCs w:val="21"/>
          <w:u w:val="none"/>
          <w:lang w:eastAsia="zh-CN"/>
        </w:rPr>
      </w:pPr>
      <w:r>
        <w:rPr>
          <w:rFonts w:hint="eastAsia" w:ascii="宋体" w:hAnsi="宋体"/>
          <w:sz w:val="21"/>
          <w:szCs w:val="21"/>
          <w:u w:val="none"/>
          <w:lang w:eastAsia="zh-CN"/>
        </w:rPr>
        <w:t>投标文件存在本一览表下列情形之一的，投标文件视为重大偏差并作否决投标处理，否则，评标委员会不得视为重大偏差而否决投标人的投标文件</w:t>
      </w:r>
      <w:r>
        <w:rPr>
          <w:rFonts w:ascii="宋体" w:hAnsi="宋体"/>
          <w:sz w:val="21"/>
          <w:szCs w:val="21"/>
          <w:u w:val="none"/>
          <w:lang w:eastAsia="zh-CN"/>
        </w:rPr>
        <w:t>。</w:t>
      </w:r>
    </w:p>
    <w:tbl>
      <w:tblPr>
        <w:tblStyle w:val="31"/>
        <w:tblW w:w="9469"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237"/>
        <w:gridCol w:w="1899"/>
        <w:gridCol w:w="6333"/>
      </w:tblGrid>
      <w:tr w14:paraId="79E92D8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429196F9">
            <w:pPr>
              <w:spacing w:line="400" w:lineRule="exact"/>
              <w:jc w:val="center"/>
              <w:rPr>
                <w:rFonts w:ascii="宋体" w:hAnsi="宋体"/>
                <w:b/>
                <w:szCs w:val="21"/>
              </w:rPr>
            </w:pPr>
            <w:r>
              <w:rPr>
                <w:rFonts w:ascii="宋体" w:hAnsi="宋体"/>
                <w:b/>
                <w:szCs w:val="21"/>
              </w:rPr>
              <w:t>章节号</w:t>
            </w:r>
          </w:p>
        </w:tc>
        <w:tc>
          <w:tcPr>
            <w:tcW w:w="1899" w:type="dxa"/>
            <w:vAlign w:val="center"/>
          </w:tcPr>
          <w:p w14:paraId="2595A67C">
            <w:pPr>
              <w:spacing w:line="400" w:lineRule="exact"/>
              <w:jc w:val="center"/>
              <w:rPr>
                <w:rFonts w:ascii="宋体" w:hAnsi="宋体"/>
                <w:b/>
                <w:szCs w:val="21"/>
              </w:rPr>
            </w:pPr>
            <w:r>
              <w:rPr>
                <w:rFonts w:ascii="宋体" w:hAnsi="宋体"/>
                <w:b/>
                <w:szCs w:val="21"/>
              </w:rPr>
              <w:t>条款名称</w:t>
            </w:r>
          </w:p>
        </w:tc>
        <w:tc>
          <w:tcPr>
            <w:tcW w:w="6333" w:type="dxa"/>
            <w:vAlign w:val="center"/>
          </w:tcPr>
          <w:p w14:paraId="2BDAB022">
            <w:pPr>
              <w:spacing w:line="400" w:lineRule="exact"/>
              <w:jc w:val="center"/>
              <w:rPr>
                <w:rFonts w:ascii="宋体" w:hAnsi="宋体"/>
                <w:b/>
                <w:szCs w:val="21"/>
              </w:rPr>
            </w:pPr>
            <w:r>
              <w:rPr>
                <w:rFonts w:ascii="宋体" w:hAnsi="宋体"/>
                <w:b/>
                <w:szCs w:val="21"/>
              </w:rPr>
              <w:t>否决投标条件</w:t>
            </w:r>
          </w:p>
        </w:tc>
      </w:tr>
      <w:tr w14:paraId="2729760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restart"/>
            <w:vAlign w:val="center"/>
          </w:tcPr>
          <w:p w14:paraId="1FBA32B5">
            <w:pPr>
              <w:spacing w:line="400" w:lineRule="exact"/>
              <w:jc w:val="center"/>
              <w:rPr>
                <w:rFonts w:hint="eastAsia" w:ascii="宋体" w:hAnsi="宋体"/>
                <w:szCs w:val="21"/>
              </w:rPr>
            </w:pPr>
            <w:r>
              <w:rPr>
                <w:rFonts w:hint="eastAsia" w:ascii="宋体" w:hAnsi="宋体"/>
                <w:szCs w:val="21"/>
              </w:rPr>
              <w:t>第三章</w:t>
            </w:r>
          </w:p>
        </w:tc>
        <w:tc>
          <w:tcPr>
            <w:tcW w:w="1899" w:type="dxa"/>
            <w:vMerge w:val="restart"/>
            <w:vAlign w:val="center"/>
          </w:tcPr>
          <w:p w14:paraId="75220901">
            <w:pPr>
              <w:spacing w:line="400" w:lineRule="exact"/>
              <w:jc w:val="center"/>
              <w:rPr>
                <w:rFonts w:hint="eastAsia" w:ascii="宋体" w:hAnsi="宋体"/>
                <w:szCs w:val="21"/>
              </w:rPr>
            </w:pPr>
            <w:r>
              <w:rPr>
                <w:rFonts w:hint="eastAsia" w:ascii="宋体" w:hAnsi="宋体"/>
                <w:szCs w:val="21"/>
              </w:rPr>
              <w:t>资格评审</w:t>
            </w:r>
          </w:p>
        </w:tc>
        <w:tc>
          <w:tcPr>
            <w:tcW w:w="6333" w:type="dxa"/>
            <w:vAlign w:val="center"/>
          </w:tcPr>
          <w:p w14:paraId="7E30A3E0">
            <w:pPr>
              <w:spacing w:line="400" w:lineRule="exact"/>
              <w:ind w:firstLine="420" w:firstLineChars="200"/>
              <w:rPr>
                <w:rFonts w:hint="eastAsia" w:ascii="宋体" w:hAnsi="宋体"/>
                <w:szCs w:val="21"/>
              </w:rPr>
            </w:pPr>
            <w:r>
              <w:rPr>
                <w:rFonts w:hint="eastAsia" w:ascii="宋体" w:hAnsi="宋体"/>
                <w:szCs w:val="21"/>
              </w:rPr>
              <w:t>A-1投标人的资质条件、营业执照及安全生产条件须满足投标人须知前附表1.4.1项的要求，否则由评标委员会作否决投标处理。</w:t>
            </w:r>
          </w:p>
        </w:tc>
      </w:tr>
      <w:tr w14:paraId="1B225E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8C03479">
            <w:pPr>
              <w:spacing w:line="400" w:lineRule="exact"/>
              <w:jc w:val="center"/>
              <w:rPr>
                <w:rFonts w:hint="eastAsia" w:ascii="宋体" w:hAnsi="宋体"/>
                <w:szCs w:val="21"/>
              </w:rPr>
            </w:pPr>
          </w:p>
        </w:tc>
        <w:tc>
          <w:tcPr>
            <w:tcW w:w="1899" w:type="dxa"/>
            <w:vMerge w:val="continue"/>
            <w:vAlign w:val="center"/>
          </w:tcPr>
          <w:p w14:paraId="25D97698">
            <w:pPr>
              <w:spacing w:line="400" w:lineRule="exact"/>
              <w:jc w:val="center"/>
              <w:rPr>
                <w:rFonts w:hint="eastAsia" w:ascii="宋体" w:hAnsi="宋体"/>
                <w:szCs w:val="21"/>
              </w:rPr>
            </w:pPr>
          </w:p>
        </w:tc>
        <w:tc>
          <w:tcPr>
            <w:tcW w:w="6333" w:type="dxa"/>
            <w:vAlign w:val="center"/>
          </w:tcPr>
          <w:p w14:paraId="5D27B5CC">
            <w:pPr>
              <w:spacing w:line="400" w:lineRule="exact"/>
              <w:ind w:firstLine="420" w:firstLineChars="200"/>
              <w:rPr>
                <w:rFonts w:hint="eastAsia" w:ascii="宋体" w:hAnsi="宋体"/>
                <w:szCs w:val="21"/>
              </w:rPr>
            </w:pPr>
            <w:r>
              <w:rPr>
                <w:rFonts w:hint="eastAsia" w:ascii="宋体" w:hAnsi="宋体"/>
                <w:szCs w:val="21"/>
              </w:rPr>
              <w:t>A-2投标人的财务须满足投标人须知前附表1.4.1项的要求，否则由评标委员会作否决投标处理（如有）。</w:t>
            </w:r>
          </w:p>
        </w:tc>
      </w:tr>
      <w:tr w14:paraId="177508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0774F795">
            <w:pPr>
              <w:spacing w:line="400" w:lineRule="exact"/>
              <w:jc w:val="center"/>
              <w:rPr>
                <w:rFonts w:hint="eastAsia" w:ascii="宋体" w:hAnsi="宋体"/>
                <w:szCs w:val="21"/>
              </w:rPr>
            </w:pPr>
          </w:p>
        </w:tc>
        <w:tc>
          <w:tcPr>
            <w:tcW w:w="1899" w:type="dxa"/>
            <w:vMerge w:val="continue"/>
            <w:vAlign w:val="center"/>
          </w:tcPr>
          <w:p w14:paraId="3F1A89C9">
            <w:pPr>
              <w:spacing w:line="400" w:lineRule="exact"/>
              <w:jc w:val="center"/>
              <w:rPr>
                <w:rFonts w:hint="eastAsia" w:ascii="宋体" w:hAnsi="宋体"/>
                <w:szCs w:val="21"/>
              </w:rPr>
            </w:pPr>
          </w:p>
        </w:tc>
        <w:tc>
          <w:tcPr>
            <w:tcW w:w="6333" w:type="dxa"/>
            <w:vAlign w:val="center"/>
          </w:tcPr>
          <w:p w14:paraId="2E584ED6">
            <w:pPr>
              <w:spacing w:line="400" w:lineRule="exact"/>
              <w:ind w:firstLine="420" w:firstLineChars="200"/>
              <w:rPr>
                <w:rFonts w:hint="eastAsia" w:ascii="宋体" w:hAnsi="宋体"/>
                <w:szCs w:val="21"/>
              </w:rPr>
            </w:pPr>
            <w:r>
              <w:rPr>
                <w:rFonts w:hint="eastAsia" w:ascii="宋体" w:hAnsi="宋体"/>
                <w:szCs w:val="21"/>
              </w:rPr>
              <w:t>A-3投标人的业绩须满足投标人须知前附表1.4.1项的要求，否则由评标委员会作否决投标处理（如有）。</w:t>
            </w:r>
          </w:p>
        </w:tc>
      </w:tr>
      <w:tr w14:paraId="394FA7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3B95DE3">
            <w:pPr>
              <w:spacing w:line="400" w:lineRule="exact"/>
              <w:jc w:val="center"/>
              <w:rPr>
                <w:rFonts w:hint="eastAsia" w:ascii="宋体" w:hAnsi="宋体"/>
                <w:szCs w:val="21"/>
              </w:rPr>
            </w:pPr>
          </w:p>
        </w:tc>
        <w:tc>
          <w:tcPr>
            <w:tcW w:w="1899" w:type="dxa"/>
            <w:vMerge w:val="continue"/>
            <w:vAlign w:val="center"/>
          </w:tcPr>
          <w:p w14:paraId="1AFE9EAA">
            <w:pPr>
              <w:spacing w:line="400" w:lineRule="exact"/>
              <w:jc w:val="center"/>
              <w:rPr>
                <w:rFonts w:hint="eastAsia" w:ascii="宋体" w:hAnsi="宋体"/>
                <w:szCs w:val="21"/>
              </w:rPr>
            </w:pPr>
          </w:p>
        </w:tc>
        <w:tc>
          <w:tcPr>
            <w:tcW w:w="6333" w:type="dxa"/>
            <w:vAlign w:val="center"/>
          </w:tcPr>
          <w:p w14:paraId="5CB2BAF5">
            <w:pPr>
              <w:spacing w:line="400" w:lineRule="exact"/>
              <w:ind w:firstLine="420" w:firstLineChars="200"/>
              <w:rPr>
                <w:rFonts w:hint="eastAsia" w:ascii="宋体" w:hAnsi="宋体"/>
                <w:szCs w:val="21"/>
              </w:rPr>
            </w:pPr>
            <w:r>
              <w:rPr>
                <w:rFonts w:hint="eastAsia" w:ascii="宋体" w:hAnsi="宋体"/>
                <w:szCs w:val="21"/>
              </w:rPr>
              <w:t>A-4投标人的投标截止日投标资格情况须满足投标人须知前附表1.4.1项的要求，否则由评标委员会作否决投标处理。</w:t>
            </w:r>
          </w:p>
        </w:tc>
      </w:tr>
      <w:tr w14:paraId="725A59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65919439">
            <w:pPr>
              <w:spacing w:line="400" w:lineRule="exact"/>
              <w:jc w:val="center"/>
              <w:rPr>
                <w:rFonts w:hint="eastAsia" w:ascii="宋体" w:hAnsi="宋体"/>
                <w:szCs w:val="21"/>
              </w:rPr>
            </w:pPr>
          </w:p>
        </w:tc>
        <w:tc>
          <w:tcPr>
            <w:tcW w:w="1899" w:type="dxa"/>
            <w:vMerge w:val="continue"/>
            <w:vAlign w:val="center"/>
          </w:tcPr>
          <w:p w14:paraId="523CE802">
            <w:pPr>
              <w:spacing w:line="400" w:lineRule="exact"/>
              <w:jc w:val="center"/>
              <w:rPr>
                <w:rFonts w:hint="eastAsia" w:ascii="宋体" w:hAnsi="宋体"/>
                <w:szCs w:val="21"/>
              </w:rPr>
            </w:pPr>
          </w:p>
        </w:tc>
        <w:tc>
          <w:tcPr>
            <w:tcW w:w="6333" w:type="dxa"/>
            <w:vAlign w:val="center"/>
          </w:tcPr>
          <w:p w14:paraId="7D89A543">
            <w:pPr>
              <w:spacing w:line="400" w:lineRule="exact"/>
              <w:ind w:firstLine="420" w:firstLineChars="200"/>
              <w:rPr>
                <w:rFonts w:hint="eastAsia" w:ascii="宋体" w:hAnsi="宋体"/>
                <w:szCs w:val="21"/>
              </w:rPr>
            </w:pPr>
            <w:r>
              <w:rPr>
                <w:rFonts w:hint="eastAsia" w:ascii="宋体" w:hAnsi="宋体"/>
                <w:szCs w:val="21"/>
              </w:rPr>
              <w:t>A-5投标人的项目经理和项目总工资格须满足投标人须知前附表1.4.1项的要求，否则由评标委员会作否决投标处理。</w:t>
            </w:r>
          </w:p>
        </w:tc>
      </w:tr>
      <w:tr w14:paraId="08128E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40B68EE3">
            <w:pPr>
              <w:spacing w:line="400" w:lineRule="exact"/>
              <w:jc w:val="center"/>
              <w:rPr>
                <w:rFonts w:hint="eastAsia" w:ascii="宋体" w:hAnsi="宋体"/>
                <w:szCs w:val="21"/>
              </w:rPr>
            </w:pPr>
          </w:p>
        </w:tc>
        <w:tc>
          <w:tcPr>
            <w:tcW w:w="1899" w:type="dxa"/>
            <w:vMerge w:val="continue"/>
            <w:vAlign w:val="center"/>
          </w:tcPr>
          <w:p w14:paraId="0C763573">
            <w:pPr>
              <w:spacing w:line="400" w:lineRule="exact"/>
              <w:jc w:val="center"/>
              <w:rPr>
                <w:rFonts w:hint="eastAsia" w:ascii="宋体" w:hAnsi="宋体"/>
                <w:szCs w:val="21"/>
              </w:rPr>
            </w:pPr>
          </w:p>
        </w:tc>
        <w:tc>
          <w:tcPr>
            <w:tcW w:w="6333" w:type="dxa"/>
            <w:vAlign w:val="center"/>
          </w:tcPr>
          <w:p w14:paraId="7E6BF511">
            <w:pPr>
              <w:spacing w:line="400" w:lineRule="exact"/>
              <w:ind w:firstLine="420" w:firstLineChars="200"/>
              <w:rPr>
                <w:rFonts w:hint="eastAsia" w:ascii="宋体" w:hAnsi="宋体"/>
                <w:szCs w:val="21"/>
              </w:rPr>
            </w:pPr>
            <w:r>
              <w:rPr>
                <w:rFonts w:hint="eastAsia" w:ascii="宋体" w:hAnsi="宋体"/>
                <w:szCs w:val="21"/>
              </w:rPr>
              <w:t>A-6投标人的</w:t>
            </w:r>
            <w:r>
              <w:rPr>
                <w:rFonts w:hint="eastAsia" w:ascii="宋体" w:hAnsi="宋体"/>
                <w:kern w:val="0"/>
              </w:rPr>
              <w:t>其他管理和技术人员最低要求</w:t>
            </w:r>
            <w:r>
              <w:rPr>
                <w:rFonts w:hint="eastAsia" w:ascii="宋体" w:hAnsi="宋体"/>
                <w:szCs w:val="21"/>
              </w:rPr>
              <w:t>须满足投标人须知前附表1.4.1项的要求，否则由评标委员会作否决投标处理（如有）。</w:t>
            </w:r>
          </w:p>
        </w:tc>
      </w:tr>
      <w:tr w14:paraId="473C23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77E59686">
            <w:pPr>
              <w:spacing w:line="400" w:lineRule="exact"/>
              <w:jc w:val="center"/>
              <w:rPr>
                <w:rFonts w:hint="eastAsia" w:ascii="宋体" w:hAnsi="宋体"/>
                <w:szCs w:val="21"/>
              </w:rPr>
            </w:pPr>
          </w:p>
        </w:tc>
        <w:tc>
          <w:tcPr>
            <w:tcW w:w="1899" w:type="dxa"/>
            <w:vMerge w:val="continue"/>
            <w:vAlign w:val="center"/>
          </w:tcPr>
          <w:p w14:paraId="784713EB">
            <w:pPr>
              <w:spacing w:line="400" w:lineRule="exact"/>
              <w:jc w:val="center"/>
              <w:rPr>
                <w:rFonts w:hint="eastAsia" w:ascii="宋体" w:hAnsi="宋体"/>
                <w:szCs w:val="21"/>
              </w:rPr>
            </w:pPr>
          </w:p>
        </w:tc>
        <w:tc>
          <w:tcPr>
            <w:tcW w:w="6333" w:type="dxa"/>
            <w:vAlign w:val="center"/>
          </w:tcPr>
          <w:p w14:paraId="7D116FA1">
            <w:pPr>
              <w:spacing w:line="400" w:lineRule="exact"/>
              <w:ind w:firstLine="420" w:firstLineChars="200"/>
              <w:rPr>
                <w:rFonts w:hint="eastAsia" w:ascii="宋体" w:hAnsi="宋体"/>
                <w:szCs w:val="21"/>
              </w:rPr>
            </w:pPr>
            <w:r>
              <w:rPr>
                <w:rFonts w:hint="eastAsia" w:ascii="宋体" w:hAnsi="宋体"/>
                <w:szCs w:val="21"/>
              </w:rPr>
              <w:t>A-7投标人的</w:t>
            </w:r>
            <w:r>
              <w:rPr>
                <w:rFonts w:ascii="宋体" w:hAnsi="宋体"/>
                <w:kern w:val="0"/>
              </w:rPr>
              <w:t>主要机械设备和试验检测设备最低要求</w:t>
            </w:r>
            <w:r>
              <w:rPr>
                <w:rFonts w:hint="eastAsia" w:ascii="宋体" w:hAnsi="宋体"/>
                <w:szCs w:val="21"/>
              </w:rPr>
              <w:t>须满足投标人须知前附表1.4.1项的要求，否则由评标委员会作否决投标处理（如有）。</w:t>
            </w:r>
          </w:p>
        </w:tc>
      </w:tr>
      <w:tr w14:paraId="106F95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E4A50B9">
            <w:pPr>
              <w:spacing w:line="400" w:lineRule="exact"/>
              <w:jc w:val="center"/>
              <w:rPr>
                <w:rFonts w:hint="eastAsia" w:ascii="宋体" w:hAnsi="宋体"/>
                <w:szCs w:val="21"/>
              </w:rPr>
            </w:pPr>
          </w:p>
        </w:tc>
        <w:tc>
          <w:tcPr>
            <w:tcW w:w="1899" w:type="dxa"/>
            <w:vMerge w:val="continue"/>
            <w:vAlign w:val="center"/>
          </w:tcPr>
          <w:p w14:paraId="4308E46E">
            <w:pPr>
              <w:spacing w:line="400" w:lineRule="exact"/>
              <w:jc w:val="center"/>
              <w:rPr>
                <w:rFonts w:hint="eastAsia" w:ascii="宋体" w:hAnsi="宋体"/>
                <w:szCs w:val="21"/>
              </w:rPr>
            </w:pPr>
          </w:p>
        </w:tc>
        <w:tc>
          <w:tcPr>
            <w:tcW w:w="6333" w:type="dxa"/>
            <w:vAlign w:val="center"/>
          </w:tcPr>
          <w:p w14:paraId="313BC63E">
            <w:pPr>
              <w:spacing w:line="400" w:lineRule="exact"/>
              <w:ind w:firstLine="420" w:firstLineChars="200"/>
              <w:rPr>
                <w:rFonts w:hint="eastAsia" w:ascii="宋体" w:hAnsi="宋体"/>
                <w:szCs w:val="21"/>
              </w:rPr>
            </w:pPr>
            <w:r>
              <w:rPr>
                <w:rFonts w:hint="eastAsia" w:ascii="宋体" w:hAnsi="宋体"/>
                <w:szCs w:val="21"/>
              </w:rPr>
              <w:t>A-8投标人的其他要求须满足投标人须知前附表1.4.1项的要求，否则由评标委员会作否决投标处理。</w:t>
            </w:r>
          </w:p>
        </w:tc>
      </w:tr>
      <w:tr w14:paraId="64BB1D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237" w:type="dxa"/>
            <w:vMerge w:val="continue"/>
            <w:vAlign w:val="center"/>
          </w:tcPr>
          <w:p w14:paraId="132AB618">
            <w:pPr>
              <w:spacing w:line="400" w:lineRule="exact"/>
              <w:jc w:val="center"/>
              <w:rPr>
                <w:rFonts w:hint="eastAsia" w:ascii="宋体" w:hAnsi="宋体"/>
                <w:szCs w:val="21"/>
              </w:rPr>
            </w:pPr>
          </w:p>
        </w:tc>
        <w:tc>
          <w:tcPr>
            <w:tcW w:w="1899" w:type="dxa"/>
            <w:vMerge w:val="continue"/>
            <w:vAlign w:val="center"/>
          </w:tcPr>
          <w:p w14:paraId="51BE4CE7">
            <w:pPr>
              <w:spacing w:line="400" w:lineRule="exact"/>
              <w:jc w:val="center"/>
              <w:rPr>
                <w:rFonts w:hint="eastAsia" w:ascii="宋体" w:hAnsi="宋体"/>
                <w:szCs w:val="21"/>
              </w:rPr>
            </w:pPr>
          </w:p>
        </w:tc>
        <w:tc>
          <w:tcPr>
            <w:tcW w:w="6333" w:type="dxa"/>
            <w:vAlign w:val="center"/>
          </w:tcPr>
          <w:p w14:paraId="5A749D8C">
            <w:pPr>
              <w:spacing w:line="400" w:lineRule="exact"/>
              <w:ind w:firstLine="420" w:firstLineChars="200"/>
              <w:rPr>
                <w:rFonts w:ascii="宋体" w:hAnsi="宋体"/>
                <w:szCs w:val="21"/>
              </w:rPr>
            </w:pPr>
            <w:r>
              <w:rPr>
                <w:rFonts w:hint="eastAsia" w:ascii="宋体" w:hAnsi="宋体"/>
                <w:szCs w:val="21"/>
              </w:rPr>
              <w:t>A-9若有联合体投标人，则：</w:t>
            </w:r>
          </w:p>
          <w:p w14:paraId="081A3C13">
            <w:pPr>
              <w:spacing w:line="400" w:lineRule="exact"/>
              <w:ind w:firstLine="420" w:firstLineChars="200"/>
              <w:rPr>
                <w:rFonts w:ascii="宋体" w:hAnsi="宋体"/>
                <w:szCs w:val="21"/>
              </w:rPr>
            </w:pPr>
            <w:r>
              <w:rPr>
                <w:rFonts w:hint="eastAsia" w:ascii="宋体" w:hAnsi="宋体"/>
                <w:szCs w:val="21"/>
              </w:rPr>
              <w:t>（1）</w:t>
            </w:r>
            <w:r>
              <w:rPr>
                <w:rFonts w:hint="eastAsia" w:ascii="宋体" w:hAnsi="宋体" w:cs="宋体"/>
                <w:szCs w:val="21"/>
              </w:rPr>
              <w:t>联合体各方应按招标文件提供的格式签订联合体协议书，明确联合体牵头人和各方权利义务</w:t>
            </w:r>
            <w:r>
              <w:rPr>
                <w:rFonts w:hint="eastAsia" w:ascii="宋体" w:hAnsi="宋体"/>
                <w:szCs w:val="21"/>
              </w:rPr>
              <w:t>；</w:t>
            </w:r>
          </w:p>
          <w:p w14:paraId="7A3965F5">
            <w:pPr>
              <w:spacing w:line="400" w:lineRule="exact"/>
              <w:ind w:firstLine="420" w:firstLineChars="200"/>
              <w:rPr>
                <w:rFonts w:ascii="宋体" w:hAnsi="宋体"/>
                <w:szCs w:val="21"/>
              </w:rPr>
            </w:pPr>
            <w:r>
              <w:rPr>
                <w:rFonts w:hint="eastAsia" w:ascii="宋体" w:hAnsi="宋体"/>
                <w:szCs w:val="21"/>
              </w:rPr>
              <w:t>（2）</w:t>
            </w:r>
            <w:r>
              <w:rPr>
                <w:rFonts w:hint="eastAsia" w:ascii="宋体" w:hAnsi="宋体" w:cs="宋体"/>
                <w:szCs w:val="21"/>
              </w:rPr>
              <w:t>联合体协议约定同一专业分工由两个及以上单位共同承担的，按照资质等级较低的单位确定资质等级</w:t>
            </w:r>
            <w:r>
              <w:rPr>
                <w:rFonts w:hint="eastAsia" w:ascii="宋体" w:hAnsi="宋体"/>
                <w:szCs w:val="21"/>
              </w:rPr>
              <w:t>；</w:t>
            </w:r>
          </w:p>
          <w:p w14:paraId="526D1E9B">
            <w:pPr>
              <w:spacing w:line="400" w:lineRule="exact"/>
              <w:ind w:firstLine="420" w:firstLineChars="200"/>
              <w:rPr>
                <w:rFonts w:hint="eastAsia" w:ascii="宋体" w:hAnsi="宋体"/>
                <w:szCs w:val="21"/>
              </w:rPr>
            </w:pPr>
            <w:r>
              <w:rPr>
                <w:rFonts w:hint="eastAsia" w:ascii="宋体" w:hAnsi="宋体"/>
                <w:szCs w:val="21"/>
              </w:rPr>
              <w:t>（3）</w:t>
            </w:r>
            <w:r>
              <w:rPr>
                <w:rFonts w:hint="eastAsia" w:ascii="宋体" w:hAnsi="宋体" w:cs="宋体"/>
                <w:szCs w:val="21"/>
              </w:rPr>
              <w:t>联合体各方不得再以自己名义单独或参加其他联合体在同一标段中投标</w:t>
            </w:r>
            <w:r>
              <w:rPr>
                <w:rFonts w:hint="eastAsia" w:ascii="宋体" w:hAnsi="宋体"/>
                <w:szCs w:val="21"/>
              </w:rPr>
              <w:t>。</w:t>
            </w:r>
          </w:p>
          <w:p w14:paraId="238E0838">
            <w:pPr>
              <w:spacing w:line="400" w:lineRule="exact"/>
              <w:ind w:firstLine="420" w:firstLineChars="200"/>
              <w:rPr>
                <w:rFonts w:ascii="宋体" w:hAnsi="宋体"/>
                <w:szCs w:val="21"/>
              </w:rPr>
            </w:pPr>
            <w:r>
              <w:rPr>
                <w:rFonts w:hint="eastAsia" w:ascii="宋体" w:hAnsi="宋体"/>
                <w:szCs w:val="21"/>
              </w:rPr>
              <w:t>（4）</w:t>
            </w:r>
            <w:r>
              <w:rPr>
                <w:rFonts w:hint="eastAsia" w:ascii="宋体" w:hAnsi="宋体" w:cs="宋体"/>
                <w:szCs w:val="21"/>
              </w:rPr>
              <w:t>联合体所有成员数量不得超过投标人须知前附表规定的数量</w:t>
            </w:r>
            <w:r>
              <w:rPr>
                <w:rFonts w:hint="eastAsia" w:ascii="宋体" w:hAnsi="宋体"/>
                <w:szCs w:val="21"/>
              </w:rPr>
              <w:t>。</w:t>
            </w:r>
          </w:p>
          <w:p w14:paraId="3E6CBB97">
            <w:pPr>
              <w:spacing w:line="400" w:lineRule="exact"/>
              <w:ind w:firstLine="420" w:firstLineChars="200"/>
              <w:rPr>
                <w:rFonts w:hint="eastAsia" w:ascii="宋体" w:hAnsi="宋体"/>
                <w:szCs w:val="21"/>
              </w:rPr>
            </w:pPr>
            <w:r>
              <w:rPr>
                <w:rFonts w:hint="eastAsia" w:ascii="宋体" w:hAnsi="宋体"/>
                <w:szCs w:val="21"/>
              </w:rPr>
              <w:t>否则由评标委员会作否决投标处理。</w:t>
            </w:r>
          </w:p>
        </w:tc>
      </w:tr>
      <w:tr w14:paraId="564380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D96191D">
            <w:pPr>
              <w:spacing w:line="400" w:lineRule="exact"/>
              <w:jc w:val="center"/>
              <w:rPr>
                <w:rFonts w:hint="eastAsia" w:ascii="宋体" w:hAnsi="宋体"/>
                <w:szCs w:val="21"/>
              </w:rPr>
            </w:pPr>
          </w:p>
        </w:tc>
        <w:tc>
          <w:tcPr>
            <w:tcW w:w="1899" w:type="dxa"/>
            <w:vMerge w:val="restart"/>
            <w:vAlign w:val="center"/>
          </w:tcPr>
          <w:p w14:paraId="27DB88B5">
            <w:pPr>
              <w:spacing w:line="400" w:lineRule="exact"/>
              <w:jc w:val="center"/>
              <w:rPr>
                <w:rFonts w:hint="eastAsia" w:ascii="宋体" w:hAnsi="宋体"/>
                <w:szCs w:val="21"/>
              </w:rPr>
            </w:pPr>
            <w:r>
              <w:rPr>
                <w:rFonts w:hint="eastAsia" w:ascii="宋体" w:hAnsi="宋体"/>
                <w:szCs w:val="21"/>
              </w:rPr>
              <w:t>形式评审</w:t>
            </w:r>
          </w:p>
        </w:tc>
        <w:tc>
          <w:tcPr>
            <w:tcW w:w="6333" w:type="dxa"/>
            <w:vAlign w:val="top"/>
          </w:tcPr>
          <w:p w14:paraId="334ED38A">
            <w:pPr>
              <w:spacing w:line="400" w:lineRule="exact"/>
              <w:ind w:firstLine="420" w:firstLineChars="200"/>
              <w:rPr>
                <w:rFonts w:hint="eastAsia" w:ascii="宋体" w:hAnsi="宋体"/>
                <w:szCs w:val="21"/>
              </w:rPr>
            </w:pPr>
            <w:r>
              <w:rPr>
                <w:rFonts w:hint="eastAsia" w:ascii="宋体" w:hAnsi="宋体"/>
                <w:szCs w:val="21"/>
              </w:rPr>
              <w:t>A-10投标人名称必须与营业执照、资质证书、安全生产许可证一致，依法变更名称的应提交相应证明材料，</w:t>
            </w:r>
            <w:r>
              <w:rPr>
                <w:rFonts w:ascii="宋体" w:hAnsi="宋体"/>
                <w:szCs w:val="21"/>
              </w:rPr>
              <w:t>否则</w:t>
            </w:r>
            <w:r>
              <w:rPr>
                <w:rFonts w:hint="eastAsia" w:ascii="宋体" w:hAnsi="宋体"/>
                <w:szCs w:val="21"/>
              </w:rPr>
              <w:t>由评标委员会</w:t>
            </w:r>
            <w:r>
              <w:rPr>
                <w:rFonts w:ascii="宋体" w:hAnsi="宋体"/>
                <w:szCs w:val="21"/>
              </w:rPr>
              <w:t>作否决投标处理。</w:t>
            </w:r>
          </w:p>
        </w:tc>
      </w:tr>
      <w:tr w14:paraId="0696B4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4035B407">
            <w:pPr>
              <w:spacing w:line="400" w:lineRule="exact"/>
              <w:jc w:val="center"/>
              <w:rPr>
                <w:rFonts w:hint="eastAsia" w:ascii="宋体" w:hAnsi="宋体"/>
                <w:szCs w:val="21"/>
              </w:rPr>
            </w:pPr>
          </w:p>
        </w:tc>
        <w:tc>
          <w:tcPr>
            <w:tcW w:w="1899" w:type="dxa"/>
            <w:vMerge w:val="continue"/>
            <w:vAlign w:val="center"/>
          </w:tcPr>
          <w:p w14:paraId="373F0051">
            <w:pPr>
              <w:spacing w:line="400" w:lineRule="exact"/>
              <w:jc w:val="center"/>
              <w:rPr>
                <w:rFonts w:hint="eastAsia" w:ascii="宋体" w:hAnsi="宋体"/>
                <w:szCs w:val="21"/>
              </w:rPr>
            </w:pPr>
          </w:p>
        </w:tc>
        <w:tc>
          <w:tcPr>
            <w:tcW w:w="6333" w:type="dxa"/>
            <w:vAlign w:val="top"/>
          </w:tcPr>
          <w:p w14:paraId="3FAC052F">
            <w:pPr>
              <w:spacing w:line="400" w:lineRule="exact"/>
              <w:ind w:firstLine="420" w:firstLineChars="200"/>
              <w:rPr>
                <w:rFonts w:hint="eastAsia" w:ascii="宋体" w:hAnsi="宋体"/>
                <w:szCs w:val="21"/>
              </w:rPr>
            </w:pPr>
            <w:r>
              <w:rPr>
                <w:rFonts w:hint="eastAsia" w:ascii="宋体" w:hAnsi="宋体"/>
                <w:szCs w:val="21"/>
              </w:rPr>
              <w:t>A-11投标文件格式（不含投标函部分）符合第二章“投标人须知”第3.7款的要求，否则由评标委员会作否决投标处理。</w:t>
            </w:r>
          </w:p>
          <w:p w14:paraId="74D9D260">
            <w:pPr>
              <w:spacing w:line="400" w:lineRule="exact"/>
              <w:ind w:firstLine="420" w:firstLineChars="200"/>
              <w:rPr>
                <w:rFonts w:hint="eastAsia" w:ascii="宋体" w:hAnsi="宋体"/>
                <w:szCs w:val="21"/>
              </w:rPr>
            </w:pPr>
            <w:r>
              <w:rPr>
                <w:rFonts w:hint="eastAsia" w:ascii="宋体" w:hAnsi="宋体"/>
                <w:szCs w:val="21"/>
              </w:rPr>
              <w:t>编制投标文件时不得对第九章“投标文件格式”的相应要素作实质性修改，否则视为重大偏差，由评标委员会作否决投标处理。</w:t>
            </w:r>
          </w:p>
        </w:tc>
      </w:tr>
      <w:tr w14:paraId="78BA697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E7F24B2">
            <w:pPr>
              <w:spacing w:line="400" w:lineRule="exact"/>
              <w:jc w:val="center"/>
              <w:rPr>
                <w:rFonts w:hint="eastAsia" w:ascii="宋体" w:hAnsi="宋体"/>
                <w:szCs w:val="21"/>
              </w:rPr>
            </w:pPr>
          </w:p>
        </w:tc>
        <w:tc>
          <w:tcPr>
            <w:tcW w:w="1899" w:type="dxa"/>
            <w:vMerge w:val="continue"/>
            <w:vAlign w:val="center"/>
          </w:tcPr>
          <w:p w14:paraId="57E3E6A1">
            <w:pPr>
              <w:spacing w:line="400" w:lineRule="exact"/>
              <w:jc w:val="center"/>
              <w:rPr>
                <w:rFonts w:hint="eastAsia" w:ascii="宋体" w:hAnsi="宋体"/>
                <w:szCs w:val="21"/>
              </w:rPr>
            </w:pPr>
          </w:p>
        </w:tc>
        <w:tc>
          <w:tcPr>
            <w:tcW w:w="6333" w:type="dxa"/>
            <w:vAlign w:val="top"/>
          </w:tcPr>
          <w:p w14:paraId="0F854C05">
            <w:pPr>
              <w:spacing w:line="400" w:lineRule="exact"/>
              <w:ind w:firstLine="420" w:firstLineChars="200"/>
              <w:rPr>
                <w:rFonts w:hint="eastAsia" w:ascii="宋体" w:hAnsi="宋体"/>
                <w:szCs w:val="21"/>
              </w:rPr>
            </w:pPr>
            <w:r>
              <w:rPr>
                <w:rFonts w:hint="eastAsia" w:ascii="宋体" w:hAnsi="宋体"/>
                <w:szCs w:val="21"/>
              </w:rPr>
              <w:t>A-12联合体参与投标的应提交联合体协议书，并明确联合体牵头人。在联合体协议书第5条联合体各成员单位内部的职责分工中填写的联合体所有成员单位名称应与其营业执照、资质证书、安全生产许可证一致，依法变更名称的应提交相应证明材料，否则由评标委员会作否决投标处理。</w:t>
            </w:r>
          </w:p>
        </w:tc>
      </w:tr>
      <w:tr w14:paraId="0B04A1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26DFA35">
            <w:pPr>
              <w:spacing w:line="400" w:lineRule="exact"/>
              <w:jc w:val="center"/>
              <w:rPr>
                <w:rFonts w:hint="eastAsia" w:ascii="宋体" w:hAnsi="宋体"/>
                <w:szCs w:val="21"/>
              </w:rPr>
            </w:pPr>
          </w:p>
        </w:tc>
        <w:tc>
          <w:tcPr>
            <w:tcW w:w="1899" w:type="dxa"/>
            <w:vMerge w:val="continue"/>
            <w:vAlign w:val="center"/>
          </w:tcPr>
          <w:p w14:paraId="4A7DF517">
            <w:pPr>
              <w:spacing w:line="400" w:lineRule="exact"/>
              <w:jc w:val="center"/>
              <w:rPr>
                <w:rFonts w:hint="eastAsia" w:ascii="宋体" w:hAnsi="宋体"/>
                <w:szCs w:val="21"/>
              </w:rPr>
            </w:pPr>
          </w:p>
        </w:tc>
        <w:tc>
          <w:tcPr>
            <w:tcW w:w="6333" w:type="dxa"/>
            <w:vAlign w:val="top"/>
          </w:tcPr>
          <w:p w14:paraId="3D04A583">
            <w:pPr>
              <w:spacing w:line="400" w:lineRule="exact"/>
              <w:ind w:firstLine="420" w:firstLineChars="200"/>
              <w:rPr>
                <w:rFonts w:hint="eastAsia" w:ascii="宋体" w:hAnsi="宋体"/>
                <w:szCs w:val="21"/>
              </w:rPr>
            </w:pPr>
            <w:r>
              <w:rPr>
                <w:rFonts w:hint="eastAsia" w:ascii="宋体" w:hAnsi="宋体"/>
                <w:szCs w:val="21"/>
              </w:rPr>
              <w:t>A-13第九章 投标文件格式（不含投标函部分）要求法定代表人或其委托代理人签名（或盖章）的须齐全。</w:t>
            </w:r>
            <w:r>
              <w:rPr>
                <w:rFonts w:hint="eastAsia" w:ascii="宋体" w:hAnsi="宋体" w:cs="宋体"/>
                <w:kern w:val="0"/>
              </w:rPr>
              <w:t>要求签名的，签名采用手写签名或签章或加盖CA数字证书均可。</w:t>
            </w:r>
            <w:r>
              <w:rPr>
                <w:rFonts w:hint="eastAsia" w:ascii="宋体" w:hAnsi="宋体"/>
                <w:szCs w:val="21"/>
              </w:rPr>
              <w:t>否则由评标委员会作否决投标处理。</w:t>
            </w:r>
          </w:p>
          <w:p w14:paraId="18F9137E">
            <w:pPr>
              <w:spacing w:line="400" w:lineRule="exact"/>
              <w:ind w:firstLine="420" w:firstLineChars="200"/>
              <w:rPr>
                <w:rFonts w:hint="eastAsia" w:ascii="宋体" w:hAnsi="宋体"/>
                <w:szCs w:val="21"/>
              </w:rPr>
            </w:pPr>
            <w:r>
              <w:rPr>
                <w:rFonts w:hint="eastAsia" w:ascii="宋体" w:hAnsi="宋体"/>
                <w:szCs w:val="21"/>
              </w:rPr>
              <w:t>若投标单位为联合体，则联合体协议书中各联合体成员单位签名（或盖章）须齐全，联合体协议书以外的投标文件格式中，</w:t>
            </w:r>
            <w:r>
              <w:rPr>
                <w:rFonts w:hint="eastAsia" w:ascii="宋体" w:hAnsi="宋体" w:cs="宋体"/>
                <w:kern w:val="0"/>
              </w:rPr>
              <w:t>要求法定代表人或其委托代理人签名（或盖章）的均由联合体牵头人法定代表人或其委托代理人签名（或盖章）</w:t>
            </w:r>
            <w:r>
              <w:rPr>
                <w:rFonts w:hint="eastAsia" w:ascii="宋体" w:hAnsi="宋体"/>
                <w:szCs w:val="21"/>
              </w:rPr>
              <w:t>，否则由评标委员会作否决投标处理。</w:t>
            </w:r>
          </w:p>
          <w:p w14:paraId="67A8D06F">
            <w:pPr>
              <w:spacing w:line="400" w:lineRule="exact"/>
              <w:ind w:firstLine="420" w:firstLineChars="200"/>
              <w:rPr>
                <w:rFonts w:hint="eastAsia" w:ascii="宋体" w:hAnsi="宋体"/>
                <w:szCs w:val="21"/>
              </w:rPr>
            </w:pPr>
            <w:r>
              <w:rPr>
                <w:rFonts w:hint="eastAsia" w:ascii="宋体" w:hAnsi="宋体"/>
                <w:szCs w:val="21"/>
              </w:rPr>
              <w:t>第九章 投标文件格式（不含投标函部分）要求加盖单位法人章的，应使用 CA 数字证书加盖投标人的单位电子印章，否则由评标委员会作否决投标处理。</w:t>
            </w:r>
          </w:p>
          <w:p w14:paraId="43606E53">
            <w:pPr>
              <w:spacing w:line="400" w:lineRule="exact"/>
              <w:ind w:firstLine="420" w:firstLineChars="200"/>
              <w:rPr>
                <w:rFonts w:hint="eastAsia" w:ascii="宋体" w:hAnsi="宋体"/>
                <w:szCs w:val="21"/>
              </w:rPr>
            </w:pPr>
            <w:r>
              <w:rPr>
                <w:rFonts w:hint="eastAsia" w:ascii="宋体" w:hAnsi="宋体"/>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r>
              <w:rPr>
                <w:rFonts w:hint="eastAsia" w:ascii="宋体" w:hAnsi="宋体"/>
                <w:szCs w:val="21"/>
              </w:rPr>
              <w:t>否则由评标委员会作否决投标处理。</w:t>
            </w:r>
          </w:p>
        </w:tc>
      </w:tr>
      <w:tr w14:paraId="6E0797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4634219">
            <w:pPr>
              <w:spacing w:line="400" w:lineRule="exact"/>
              <w:jc w:val="center"/>
              <w:rPr>
                <w:rFonts w:hint="eastAsia" w:ascii="宋体" w:hAnsi="宋体"/>
                <w:szCs w:val="21"/>
              </w:rPr>
            </w:pPr>
          </w:p>
        </w:tc>
        <w:tc>
          <w:tcPr>
            <w:tcW w:w="1899" w:type="dxa"/>
            <w:vMerge w:val="continue"/>
            <w:tcBorders>
              <w:bottom w:val="single" w:color="auto" w:sz="4" w:space="0"/>
            </w:tcBorders>
            <w:vAlign w:val="center"/>
          </w:tcPr>
          <w:p w14:paraId="700F3366">
            <w:pPr>
              <w:spacing w:line="400" w:lineRule="exact"/>
              <w:jc w:val="center"/>
              <w:rPr>
                <w:rFonts w:hint="eastAsia" w:ascii="宋体" w:hAnsi="宋体"/>
                <w:szCs w:val="21"/>
              </w:rPr>
            </w:pPr>
          </w:p>
        </w:tc>
        <w:tc>
          <w:tcPr>
            <w:tcW w:w="6333" w:type="dxa"/>
            <w:vAlign w:val="top"/>
          </w:tcPr>
          <w:p w14:paraId="7BDB6E56">
            <w:pPr>
              <w:spacing w:line="400" w:lineRule="exact"/>
              <w:ind w:firstLine="420" w:firstLineChars="200"/>
              <w:rPr>
                <w:rFonts w:hint="eastAsia" w:ascii="宋体" w:hAnsi="宋体"/>
                <w:szCs w:val="21"/>
              </w:rPr>
            </w:pPr>
            <w:r>
              <w:rPr>
                <w:rFonts w:hint="eastAsia" w:ascii="宋体" w:hAnsi="宋体"/>
                <w:szCs w:val="21"/>
              </w:rPr>
              <w:t>A-14投标人法定代表人的委托代理人有法定代表人签署的授权委托书和投标人为其缴纳的养老保险证明材料。否则由评标委员会作否决投标处理。</w:t>
            </w:r>
          </w:p>
        </w:tc>
      </w:tr>
      <w:tr w14:paraId="567A7C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C4564CD">
            <w:pPr>
              <w:spacing w:line="400" w:lineRule="exact"/>
              <w:jc w:val="center"/>
              <w:rPr>
                <w:rFonts w:hint="eastAsia" w:ascii="宋体" w:hAnsi="宋体"/>
                <w:szCs w:val="21"/>
              </w:rPr>
            </w:pPr>
          </w:p>
        </w:tc>
        <w:tc>
          <w:tcPr>
            <w:tcW w:w="1899" w:type="dxa"/>
            <w:vMerge w:val="restart"/>
            <w:tcBorders>
              <w:top w:val="single" w:color="auto" w:sz="4" w:space="0"/>
            </w:tcBorders>
            <w:vAlign w:val="center"/>
          </w:tcPr>
          <w:p w14:paraId="5CB8F6FD">
            <w:pPr>
              <w:spacing w:line="400" w:lineRule="exact"/>
              <w:jc w:val="center"/>
              <w:rPr>
                <w:rFonts w:hint="eastAsia" w:ascii="宋体" w:hAnsi="宋体"/>
                <w:szCs w:val="21"/>
              </w:rPr>
            </w:pPr>
            <w:r>
              <w:rPr>
                <w:rFonts w:hint="eastAsia" w:ascii="宋体" w:hAnsi="宋体"/>
                <w:szCs w:val="21"/>
              </w:rPr>
              <w:t>响应性评审</w:t>
            </w:r>
          </w:p>
        </w:tc>
        <w:tc>
          <w:tcPr>
            <w:tcW w:w="6333" w:type="dxa"/>
            <w:vAlign w:val="center"/>
          </w:tcPr>
          <w:p w14:paraId="2A84A847">
            <w:pPr>
              <w:spacing w:line="400" w:lineRule="exact"/>
              <w:ind w:firstLine="420" w:firstLineChars="200"/>
              <w:rPr>
                <w:rFonts w:hint="eastAsia" w:ascii="宋体" w:hAnsi="宋体"/>
                <w:szCs w:val="21"/>
              </w:rPr>
            </w:pPr>
            <w:r>
              <w:rPr>
                <w:rFonts w:hint="eastAsia" w:ascii="宋体" w:hAnsi="宋体"/>
                <w:szCs w:val="21"/>
              </w:rPr>
              <w:t>A-15投标内容符合第二章“投标人须知”第1.3.1项规定，否则由评标委员会作否决投标处理。</w:t>
            </w:r>
          </w:p>
        </w:tc>
      </w:tr>
      <w:tr w14:paraId="13DCEF6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1B1FE17">
            <w:pPr>
              <w:spacing w:line="400" w:lineRule="exact"/>
              <w:jc w:val="center"/>
              <w:rPr>
                <w:rFonts w:hint="eastAsia" w:ascii="宋体" w:hAnsi="宋体"/>
                <w:szCs w:val="21"/>
              </w:rPr>
            </w:pPr>
          </w:p>
        </w:tc>
        <w:tc>
          <w:tcPr>
            <w:tcW w:w="1899" w:type="dxa"/>
            <w:vMerge w:val="continue"/>
            <w:vAlign w:val="center"/>
          </w:tcPr>
          <w:p w14:paraId="225F4452">
            <w:pPr>
              <w:spacing w:line="400" w:lineRule="exact"/>
              <w:jc w:val="center"/>
              <w:rPr>
                <w:rFonts w:hint="eastAsia" w:ascii="宋体" w:hAnsi="宋体"/>
                <w:szCs w:val="21"/>
              </w:rPr>
            </w:pPr>
          </w:p>
        </w:tc>
        <w:tc>
          <w:tcPr>
            <w:tcW w:w="6333" w:type="dxa"/>
            <w:vAlign w:val="center"/>
          </w:tcPr>
          <w:p w14:paraId="27E78319">
            <w:pPr>
              <w:spacing w:line="400" w:lineRule="exact"/>
              <w:ind w:firstLine="420" w:firstLineChars="200"/>
              <w:rPr>
                <w:rFonts w:hint="eastAsia" w:ascii="宋体" w:hAnsi="宋体"/>
                <w:szCs w:val="21"/>
              </w:rPr>
            </w:pPr>
            <w:r>
              <w:rPr>
                <w:rFonts w:hint="eastAsia" w:ascii="宋体" w:hAnsi="宋体"/>
                <w:szCs w:val="21"/>
              </w:rPr>
              <w:t>A-16投标函附录的所有数据均符合招标文件规定，否则由评标委员会作否决投标处理。</w:t>
            </w:r>
          </w:p>
        </w:tc>
      </w:tr>
      <w:tr w14:paraId="14DC99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F10A988">
            <w:pPr>
              <w:spacing w:line="400" w:lineRule="exact"/>
              <w:jc w:val="center"/>
              <w:rPr>
                <w:rFonts w:hint="eastAsia" w:ascii="宋体" w:hAnsi="宋体"/>
                <w:szCs w:val="21"/>
              </w:rPr>
            </w:pPr>
          </w:p>
        </w:tc>
        <w:tc>
          <w:tcPr>
            <w:tcW w:w="1899" w:type="dxa"/>
            <w:vMerge w:val="continue"/>
            <w:vAlign w:val="center"/>
          </w:tcPr>
          <w:p w14:paraId="633BF258">
            <w:pPr>
              <w:spacing w:line="400" w:lineRule="exact"/>
              <w:jc w:val="center"/>
              <w:rPr>
                <w:rFonts w:hint="eastAsia" w:ascii="宋体" w:hAnsi="宋体"/>
                <w:szCs w:val="21"/>
              </w:rPr>
            </w:pPr>
          </w:p>
        </w:tc>
        <w:tc>
          <w:tcPr>
            <w:tcW w:w="6333" w:type="dxa"/>
            <w:vAlign w:val="center"/>
          </w:tcPr>
          <w:p w14:paraId="4EF5D691">
            <w:pPr>
              <w:spacing w:line="400" w:lineRule="exact"/>
              <w:ind w:firstLine="420" w:firstLineChars="200"/>
              <w:rPr>
                <w:rFonts w:hint="eastAsia" w:ascii="宋体" w:hAnsi="宋体"/>
                <w:szCs w:val="21"/>
              </w:rPr>
            </w:pPr>
            <w:r>
              <w:rPr>
                <w:rFonts w:hint="eastAsia" w:ascii="宋体" w:hAnsi="宋体"/>
                <w:szCs w:val="21"/>
              </w:rPr>
              <w:t>A-17投标人应按投标人须知前附表第3.4款规定递交投标保证金，并作为其投标文件的组成部分，否则由评标委员会作否决投标处理。</w:t>
            </w:r>
          </w:p>
        </w:tc>
      </w:tr>
      <w:tr w14:paraId="2D2B86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144A57E">
            <w:pPr>
              <w:spacing w:line="400" w:lineRule="exact"/>
              <w:jc w:val="center"/>
              <w:rPr>
                <w:rFonts w:hint="eastAsia" w:ascii="宋体" w:hAnsi="宋体"/>
                <w:szCs w:val="21"/>
              </w:rPr>
            </w:pPr>
          </w:p>
        </w:tc>
        <w:tc>
          <w:tcPr>
            <w:tcW w:w="1899" w:type="dxa"/>
            <w:vMerge w:val="continue"/>
            <w:vAlign w:val="center"/>
          </w:tcPr>
          <w:p w14:paraId="63066F89">
            <w:pPr>
              <w:spacing w:line="400" w:lineRule="exact"/>
              <w:jc w:val="center"/>
              <w:rPr>
                <w:rFonts w:hint="eastAsia" w:ascii="宋体" w:hAnsi="宋体"/>
                <w:szCs w:val="21"/>
              </w:rPr>
            </w:pPr>
          </w:p>
        </w:tc>
        <w:tc>
          <w:tcPr>
            <w:tcW w:w="6333" w:type="dxa"/>
            <w:vAlign w:val="center"/>
          </w:tcPr>
          <w:p w14:paraId="45B6EE16">
            <w:pPr>
              <w:spacing w:line="400" w:lineRule="exact"/>
              <w:ind w:firstLine="420" w:firstLineChars="200"/>
              <w:rPr>
                <w:rFonts w:hint="eastAsia" w:ascii="宋体" w:hAnsi="宋体"/>
                <w:szCs w:val="21"/>
              </w:rPr>
            </w:pPr>
            <w:r>
              <w:rPr>
                <w:rFonts w:hint="eastAsia" w:ascii="宋体" w:hAnsi="宋体"/>
                <w:szCs w:val="21"/>
              </w:rPr>
              <w:t>A-18符合第四章“合同条款及格式”规定，投标文件不应附有招标人不能接受的条件。否则由评标委员会作否决投标处理。（由投标人承诺，承诺书格式详见第九章投标文件格式。）</w:t>
            </w:r>
          </w:p>
        </w:tc>
      </w:tr>
      <w:tr w14:paraId="6E1E00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A38FF02">
            <w:pPr>
              <w:spacing w:line="400" w:lineRule="exact"/>
              <w:jc w:val="center"/>
              <w:rPr>
                <w:rFonts w:hint="eastAsia" w:ascii="宋体" w:hAnsi="宋体"/>
                <w:szCs w:val="21"/>
              </w:rPr>
            </w:pPr>
          </w:p>
        </w:tc>
        <w:tc>
          <w:tcPr>
            <w:tcW w:w="1899" w:type="dxa"/>
            <w:vMerge w:val="continue"/>
            <w:vAlign w:val="center"/>
          </w:tcPr>
          <w:p w14:paraId="6F370884">
            <w:pPr>
              <w:spacing w:line="400" w:lineRule="exact"/>
              <w:jc w:val="center"/>
              <w:rPr>
                <w:rFonts w:hint="eastAsia" w:ascii="宋体" w:hAnsi="宋体"/>
                <w:szCs w:val="21"/>
              </w:rPr>
            </w:pPr>
          </w:p>
        </w:tc>
        <w:tc>
          <w:tcPr>
            <w:tcW w:w="6333" w:type="dxa"/>
            <w:vAlign w:val="center"/>
          </w:tcPr>
          <w:p w14:paraId="1F283BF7">
            <w:pPr>
              <w:spacing w:line="400" w:lineRule="exact"/>
              <w:ind w:firstLine="420" w:firstLineChars="200"/>
              <w:rPr>
                <w:rFonts w:hint="eastAsia" w:ascii="宋体" w:hAnsi="宋体"/>
                <w:szCs w:val="21"/>
              </w:rPr>
            </w:pPr>
            <w:r>
              <w:rPr>
                <w:rFonts w:hint="eastAsia" w:ascii="宋体" w:hAnsi="宋体"/>
                <w:szCs w:val="21"/>
              </w:rPr>
              <w:t>A-19符合第七章“技术标准和要求”规定。否则由评标委员会作否决投标处理（如有）。（由投标人承诺，承诺书格式详见第九章投标文件格式。）</w:t>
            </w:r>
          </w:p>
        </w:tc>
      </w:tr>
      <w:tr w14:paraId="0ADF400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6A4E5F44">
            <w:pPr>
              <w:spacing w:line="400" w:lineRule="exact"/>
              <w:jc w:val="center"/>
              <w:rPr>
                <w:rFonts w:hint="eastAsia" w:ascii="宋体" w:hAnsi="宋体"/>
                <w:szCs w:val="21"/>
              </w:rPr>
            </w:pPr>
          </w:p>
        </w:tc>
        <w:tc>
          <w:tcPr>
            <w:tcW w:w="1899" w:type="dxa"/>
            <w:vMerge w:val="continue"/>
            <w:vAlign w:val="center"/>
          </w:tcPr>
          <w:p w14:paraId="366972DB">
            <w:pPr>
              <w:spacing w:line="400" w:lineRule="exact"/>
              <w:jc w:val="center"/>
              <w:rPr>
                <w:rFonts w:hint="eastAsia" w:ascii="宋体" w:hAnsi="宋体"/>
                <w:szCs w:val="21"/>
              </w:rPr>
            </w:pPr>
          </w:p>
        </w:tc>
        <w:tc>
          <w:tcPr>
            <w:tcW w:w="6333" w:type="dxa"/>
            <w:vAlign w:val="center"/>
          </w:tcPr>
          <w:p w14:paraId="4F37575D">
            <w:pPr>
              <w:spacing w:line="400" w:lineRule="exact"/>
              <w:ind w:firstLine="420" w:firstLineChars="200"/>
              <w:rPr>
                <w:rFonts w:ascii="宋体" w:hAnsi="宋体"/>
                <w:szCs w:val="21"/>
              </w:rPr>
            </w:pPr>
            <w:r>
              <w:rPr>
                <w:rFonts w:hint="eastAsia" w:ascii="宋体" w:hAnsi="宋体"/>
                <w:szCs w:val="21"/>
              </w:rPr>
              <w:t>A-20投标人有以下情形之一的，其投标文件由评标委员会</w:t>
            </w:r>
            <w:r>
              <w:rPr>
                <w:rFonts w:ascii="宋体" w:hAnsi="宋体"/>
                <w:szCs w:val="21"/>
              </w:rPr>
              <w:t>作否决投标处理</w:t>
            </w:r>
            <w:r>
              <w:rPr>
                <w:rFonts w:hint="eastAsia" w:ascii="宋体" w:hAnsi="宋体"/>
                <w:szCs w:val="21"/>
              </w:rPr>
              <w:t>：</w:t>
            </w:r>
          </w:p>
          <w:p w14:paraId="5ABFF03B">
            <w:pPr>
              <w:spacing w:line="400" w:lineRule="exact"/>
              <w:ind w:firstLine="420" w:firstLineChars="200"/>
              <w:rPr>
                <w:rFonts w:ascii="宋体" w:hAnsi="宋体"/>
                <w:szCs w:val="21"/>
              </w:rPr>
            </w:pPr>
            <w:r>
              <w:rPr>
                <w:rFonts w:hint="eastAsia" w:ascii="宋体" w:hAnsi="宋体"/>
                <w:szCs w:val="21"/>
              </w:rPr>
              <w:t>1.第二章“投标人须知”第1.4.3项规定的任何一种情形的；</w:t>
            </w:r>
          </w:p>
          <w:p w14:paraId="3251B7CD">
            <w:pPr>
              <w:spacing w:line="400" w:lineRule="exact"/>
              <w:ind w:firstLine="420" w:firstLineChars="200"/>
              <w:rPr>
                <w:rFonts w:ascii="宋体" w:hAnsi="宋体"/>
                <w:szCs w:val="21"/>
              </w:rPr>
            </w:pPr>
            <w:r>
              <w:rPr>
                <w:rFonts w:hint="eastAsia" w:ascii="宋体" w:hAnsi="宋体"/>
                <w:szCs w:val="21"/>
              </w:rPr>
              <w:t>2.本次投标有串通投标、弄虚作假等违反招投标相关法律、法规的行为的；</w:t>
            </w:r>
          </w:p>
          <w:p w14:paraId="4BF97805">
            <w:pPr>
              <w:spacing w:line="400" w:lineRule="exact"/>
              <w:ind w:firstLine="420" w:firstLineChars="200"/>
              <w:rPr>
                <w:rFonts w:hint="eastAsia" w:ascii="宋体" w:hAnsi="宋体"/>
                <w:szCs w:val="21"/>
              </w:rPr>
            </w:pPr>
            <w:r>
              <w:rPr>
                <w:rFonts w:hint="eastAsia" w:ascii="宋体" w:hAnsi="宋体"/>
                <w:szCs w:val="21"/>
              </w:rPr>
              <w:t>3.拒绝按评标委员会要求澄清、说明或补正的。</w:t>
            </w:r>
          </w:p>
        </w:tc>
      </w:tr>
      <w:tr w14:paraId="09A0F08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82F2CC7">
            <w:pPr>
              <w:spacing w:line="400" w:lineRule="exact"/>
              <w:jc w:val="center"/>
              <w:rPr>
                <w:rFonts w:hint="eastAsia" w:ascii="宋体" w:hAnsi="宋体"/>
                <w:szCs w:val="21"/>
              </w:rPr>
            </w:pPr>
          </w:p>
        </w:tc>
        <w:tc>
          <w:tcPr>
            <w:tcW w:w="1899" w:type="dxa"/>
            <w:vMerge w:val="restart"/>
            <w:vAlign w:val="center"/>
          </w:tcPr>
          <w:p w14:paraId="10D4D6FF">
            <w:pPr>
              <w:spacing w:line="400" w:lineRule="exact"/>
              <w:jc w:val="center"/>
              <w:rPr>
                <w:rFonts w:hint="eastAsia" w:ascii="宋体" w:hAnsi="宋体"/>
                <w:szCs w:val="21"/>
              </w:rPr>
            </w:pPr>
            <w:r>
              <w:rPr>
                <w:rFonts w:hint="eastAsia" w:ascii="宋体" w:hAnsi="宋体"/>
                <w:szCs w:val="21"/>
              </w:rPr>
              <w:t>投标函部分及经济部分评审</w:t>
            </w:r>
          </w:p>
        </w:tc>
        <w:tc>
          <w:tcPr>
            <w:tcW w:w="6333" w:type="dxa"/>
            <w:vAlign w:val="center"/>
          </w:tcPr>
          <w:p w14:paraId="42638524">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21</w:t>
            </w:r>
            <w:r>
              <w:rPr>
                <w:rFonts w:hint="eastAsia" w:ascii="宋体" w:hAnsi="宋体" w:cs="宋体"/>
                <w:kern w:val="0"/>
              </w:rPr>
              <w:t>投标函部分的格式要求法定代表人或其委托代理人签名（或盖章）的须齐全。要求签名的，签名采用手写签名或签章或加盖CA数字证书均可。要求加盖单位法人章的，应使用 CA 数字证书加盖投标人的单位电子印章</w:t>
            </w:r>
            <w:r>
              <w:rPr>
                <w:rFonts w:hint="eastAsia" w:ascii="宋体" w:hAnsi="宋体"/>
                <w:szCs w:val="21"/>
              </w:rPr>
              <w:t>，否则由评标委员会作否决投标处理。</w:t>
            </w:r>
          </w:p>
          <w:p w14:paraId="1F52A119">
            <w:pPr>
              <w:spacing w:line="400" w:lineRule="exact"/>
              <w:ind w:firstLine="420" w:firstLineChars="200"/>
              <w:rPr>
                <w:rFonts w:hint="eastAsia" w:ascii="宋体" w:hAnsi="宋体"/>
                <w:szCs w:val="21"/>
              </w:rPr>
            </w:pPr>
            <w:r>
              <w:rPr>
                <w:rFonts w:hint="eastAsia" w:ascii="宋体" w:hAnsi="宋体" w:cs="宋体"/>
                <w:kern w:val="0"/>
              </w:rPr>
              <w:t>联合体投标的，投标函部分的格式中要求投标人加盖单位法人章的，均由联合体牵头人使用 CA 数字证书加盖其单位电子印章，否则由评标委员会作否决投标处理。</w:t>
            </w:r>
          </w:p>
        </w:tc>
      </w:tr>
      <w:tr w14:paraId="5A815F5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E503056">
            <w:pPr>
              <w:spacing w:line="400" w:lineRule="exact"/>
              <w:jc w:val="center"/>
              <w:rPr>
                <w:rFonts w:hint="eastAsia" w:ascii="宋体" w:hAnsi="宋体"/>
                <w:szCs w:val="21"/>
              </w:rPr>
            </w:pPr>
          </w:p>
        </w:tc>
        <w:tc>
          <w:tcPr>
            <w:tcW w:w="1899" w:type="dxa"/>
            <w:vMerge w:val="continue"/>
            <w:vAlign w:val="center"/>
          </w:tcPr>
          <w:p w14:paraId="7CF488C4">
            <w:pPr>
              <w:spacing w:line="400" w:lineRule="exact"/>
              <w:jc w:val="center"/>
              <w:rPr>
                <w:rFonts w:hint="eastAsia" w:ascii="宋体" w:hAnsi="宋体"/>
                <w:szCs w:val="21"/>
              </w:rPr>
            </w:pPr>
          </w:p>
        </w:tc>
        <w:tc>
          <w:tcPr>
            <w:tcW w:w="6333" w:type="dxa"/>
            <w:vAlign w:val="center"/>
          </w:tcPr>
          <w:p w14:paraId="05071FFB">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22</w:t>
            </w:r>
            <w:r>
              <w:rPr>
                <w:rFonts w:hint="eastAsia" w:ascii="宋体" w:hAnsi="宋体"/>
                <w:szCs w:val="21"/>
              </w:rPr>
              <w:t>工期符合第二章“投标人须知”第1.3.2项规定，否则由评标委员会作否决投标处理。</w:t>
            </w:r>
          </w:p>
        </w:tc>
      </w:tr>
      <w:tr w14:paraId="07C1E0E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3C06904D">
            <w:pPr>
              <w:spacing w:line="400" w:lineRule="exact"/>
              <w:jc w:val="center"/>
              <w:rPr>
                <w:rFonts w:hint="eastAsia" w:ascii="宋体" w:hAnsi="宋体"/>
                <w:szCs w:val="21"/>
              </w:rPr>
            </w:pPr>
          </w:p>
        </w:tc>
        <w:tc>
          <w:tcPr>
            <w:tcW w:w="1899" w:type="dxa"/>
            <w:vMerge w:val="continue"/>
            <w:vAlign w:val="center"/>
          </w:tcPr>
          <w:p w14:paraId="3A7BA986">
            <w:pPr>
              <w:spacing w:line="400" w:lineRule="exact"/>
              <w:jc w:val="center"/>
              <w:rPr>
                <w:rFonts w:hint="eastAsia" w:ascii="宋体" w:hAnsi="宋体"/>
                <w:szCs w:val="21"/>
              </w:rPr>
            </w:pPr>
          </w:p>
        </w:tc>
        <w:tc>
          <w:tcPr>
            <w:tcW w:w="6333" w:type="dxa"/>
            <w:vAlign w:val="center"/>
          </w:tcPr>
          <w:p w14:paraId="3E70CCBC">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23</w:t>
            </w:r>
            <w:r>
              <w:rPr>
                <w:rFonts w:hint="eastAsia" w:ascii="宋体" w:hAnsi="宋体"/>
                <w:szCs w:val="21"/>
              </w:rPr>
              <w:t>工程质量符合第二章“投标人须知”第1.3.3项规定，否则由评标委员会作否决投标处理。</w:t>
            </w:r>
          </w:p>
        </w:tc>
      </w:tr>
      <w:tr w14:paraId="5FD7E1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59A3520A">
            <w:pPr>
              <w:spacing w:line="400" w:lineRule="exact"/>
              <w:jc w:val="center"/>
              <w:rPr>
                <w:rFonts w:hint="eastAsia" w:ascii="宋体" w:hAnsi="宋体"/>
                <w:szCs w:val="21"/>
              </w:rPr>
            </w:pPr>
          </w:p>
        </w:tc>
        <w:tc>
          <w:tcPr>
            <w:tcW w:w="1899" w:type="dxa"/>
            <w:vMerge w:val="continue"/>
            <w:vAlign w:val="center"/>
          </w:tcPr>
          <w:p w14:paraId="18B57266">
            <w:pPr>
              <w:spacing w:line="400" w:lineRule="exact"/>
              <w:jc w:val="center"/>
              <w:rPr>
                <w:rFonts w:hint="eastAsia" w:ascii="宋体" w:hAnsi="宋体"/>
                <w:szCs w:val="21"/>
              </w:rPr>
            </w:pPr>
          </w:p>
        </w:tc>
        <w:tc>
          <w:tcPr>
            <w:tcW w:w="6333" w:type="dxa"/>
            <w:vAlign w:val="center"/>
          </w:tcPr>
          <w:p w14:paraId="27B79E86">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24</w:t>
            </w:r>
            <w:r>
              <w:rPr>
                <w:rFonts w:hint="eastAsia" w:ascii="宋体" w:hAnsi="宋体"/>
                <w:szCs w:val="21"/>
              </w:rPr>
              <w:t>投标有效期符合第二章“投标人须知”第3.3.1项规定，否则由评标委员会作否决投标处理。</w:t>
            </w:r>
          </w:p>
        </w:tc>
      </w:tr>
      <w:tr w14:paraId="0DDB56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75510370">
            <w:pPr>
              <w:spacing w:line="400" w:lineRule="exact"/>
              <w:jc w:val="center"/>
              <w:rPr>
                <w:rFonts w:hint="eastAsia" w:ascii="宋体" w:hAnsi="宋体"/>
                <w:szCs w:val="21"/>
              </w:rPr>
            </w:pPr>
          </w:p>
        </w:tc>
        <w:tc>
          <w:tcPr>
            <w:tcW w:w="1899" w:type="dxa"/>
            <w:vMerge w:val="continue"/>
            <w:vAlign w:val="center"/>
          </w:tcPr>
          <w:p w14:paraId="470C184A">
            <w:pPr>
              <w:spacing w:line="400" w:lineRule="exact"/>
              <w:jc w:val="center"/>
              <w:rPr>
                <w:rFonts w:hint="eastAsia" w:ascii="宋体" w:hAnsi="宋体"/>
                <w:szCs w:val="21"/>
              </w:rPr>
            </w:pPr>
          </w:p>
        </w:tc>
        <w:tc>
          <w:tcPr>
            <w:tcW w:w="6333" w:type="dxa"/>
            <w:vAlign w:val="center"/>
          </w:tcPr>
          <w:p w14:paraId="2A8B92E1">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25</w:t>
            </w:r>
            <w:r>
              <w:rPr>
                <w:rFonts w:hint="eastAsia" w:ascii="宋体" w:hAnsi="宋体"/>
                <w:szCs w:val="21"/>
              </w:rPr>
              <w:t>投标人的投标总报价不得超过投标总报价最高限价，否则由评标委员会作否决投标处理。</w:t>
            </w:r>
          </w:p>
        </w:tc>
      </w:tr>
      <w:tr w14:paraId="40F3B7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1B33321B">
            <w:pPr>
              <w:spacing w:line="400" w:lineRule="exact"/>
              <w:jc w:val="center"/>
              <w:rPr>
                <w:rFonts w:hint="eastAsia" w:ascii="宋体" w:hAnsi="宋体"/>
                <w:szCs w:val="21"/>
              </w:rPr>
            </w:pPr>
          </w:p>
        </w:tc>
        <w:tc>
          <w:tcPr>
            <w:tcW w:w="1899" w:type="dxa"/>
            <w:vMerge w:val="continue"/>
            <w:vAlign w:val="center"/>
          </w:tcPr>
          <w:p w14:paraId="5D104D58">
            <w:pPr>
              <w:spacing w:line="400" w:lineRule="exact"/>
              <w:jc w:val="center"/>
              <w:rPr>
                <w:rFonts w:hint="eastAsia" w:ascii="宋体" w:hAnsi="宋体"/>
                <w:szCs w:val="21"/>
              </w:rPr>
            </w:pPr>
          </w:p>
        </w:tc>
        <w:tc>
          <w:tcPr>
            <w:tcW w:w="6333" w:type="dxa"/>
            <w:vAlign w:val="center"/>
          </w:tcPr>
          <w:p w14:paraId="3BA4C0B9">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26</w:t>
            </w:r>
            <w:r>
              <w:rPr>
                <w:rFonts w:hint="eastAsia" w:ascii="宋体" w:hAnsi="宋体"/>
                <w:szCs w:val="21"/>
              </w:rPr>
              <w:t>只能有一个有效报价。在招标文件没有规定的情况下，不得提交选择性报价，否则由评标委员会作否决投标处理。</w:t>
            </w:r>
          </w:p>
        </w:tc>
      </w:tr>
      <w:tr w14:paraId="73F7764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FCDE490">
            <w:pPr>
              <w:spacing w:line="400" w:lineRule="exact"/>
              <w:jc w:val="center"/>
              <w:rPr>
                <w:rFonts w:hint="eastAsia" w:ascii="宋体" w:hAnsi="宋体"/>
                <w:szCs w:val="21"/>
              </w:rPr>
            </w:pPr>
          </w:p>
        </w:tc>
        <w:tc>
          <w:tcPr>
            <w:tcW w:w="1899" w:type="dxa"/>
            <w:vMerge w:val="continue"/>
            <w:vAlign w:val="center"/>
          </w:tcPr>
          <w:p w14:paraId="03723EC4">
            <w:pPr>
              <w:spacing w:line="400" w:lineRule="exact"/>
              <w:jc w:val="center"/>
              <w:rPr>
                <w:rFonts w:hint="eastAsia" w:ascii="宋体" w:hAnsi="宋体"/>
                <w:szCs w:val="21"/>
              </w:rPr>
            </w:pPr>
          </w:p>
        </w:tc>
        <w:tc>
          <w:tcPr>
            <w:tcW w:w="6333" w:type="dxa"/>
            <w:vAlign w:val="center"/>
          </w:tcPr>
          <w:p w14:paraId="20E761E9">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27</w:t>
            </w:r>
            <w:r>
              <w:rPr>
                <w:rFonts w:hint="eastAsia" w:ascii="宋体" w:hAnsi="宋体"/>
                <w:szCs w:val="21"/>
              </w:rPr>
              <w:t>投标人对已标价工程量清单的承诺必须满足第二章“投标人须知前附表”第3.2.9项要求，否则由评标委员会作否决投标处理。</w:t>
            </w:r>
          </w:p>
        </w:tc>
      </w:tr>
      <w:tr w14:paraId="0CF82A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Merge w:val="continue"/>
            <w:vAlign w:val="center"/>
          </w:tcPr>
          <w:p w14:paraId="20FF93C5">
            <w:pPr>
              <w:spacing w:line="400" w:lineRule="exact"/>
              <w:jc w:val="center"/>
              <w:rPr>
                <w:rFonts w:hint="eastAsia" w:ascii="宋体" w:hAnsi="宋体"/>
                <w:szCs w:val="21"/>
              </w:rPr>
            </w:pPr>
          </w:p>
        </w:tc>
        <w:tc>
          <w:tcPr>
            <w:tcW w:w="1899" w:type="dxa"/>
            <w:vMerge w:val="continue"/>
            <w:vAlign w:val="center"/>
          </w:tcPr>
          <w:p w14:paraId="52F6630F">
            <w:pPr>
              <w:spacing w:line="400" w:lineRule="exact"/>
              <w:jc w:val="center"/>
              <w:rPr>
                <w:rFonts w:hint="eastAsia" w:ascii="宋体" w:hAnsi="宋体"/>
                <w:szCs w:val="21"/>
              </w:rPr>
            </w:pPr>
          </w:p>
        </w:tc>
        <w:tc>
          <w:tcPr>
            <w:tcW w:w="6333" w:type="dxa"/>
            <w:vAlign w:val="center"/>
          </w:tcPr>
          <w:p w14:paraId="2FDDA683">
            <w:pPr>
              <w:spacing w:line="400" w:lineRule="exact"/>
              <w:ind w:firstLine="420" w:firstLineChars="200"/>
              <w:rPr>
                <w:rFonts w:hint="eastAsia" w:ascii="宋体" w:hAnsi="宋体"/>
                <w:szCs w:val="21"/>
              </w:rPr>
            </w:pPr>
            <w:r>
              <w:rPr>
                <w:rFonts w:hint="eastAsia" w:ascii="宋体" w:hAnsi="宋体"/>
                <w:szCs w:val="21"/>
              </w:rPr>
              <w:t>A-</w:t>
            </w:r>
            <w:r>
              <w:rPr>
                <w:rFonts w:ascii="宋体" w:hAnsi="宋体"/>
                <w:szCs w:val="21"/>
              </w:rPr>
              <w:t>28</w:t>
            </w:r>
            <w:r>
              <w:rPr>
                <w:rFonts w:hint="eastAsia" w:ascii="宋体" w:hAnsi="宋体"/>
                <w:szCs w:val="21"/>
              </w:rPr>
              <w:t>投标报价有算术错误的，按照第三章3.评标程序第3.1.3项规定执行，否则由评标委员会作否决投标处理。</w:t>
            </w:r>
          </w:p>
        </w:tc>
      </w:tr>
      <w:tr w14:paraId="2CF37A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237" w:type="dxa"/>
            <w:vAlign w:val="center"/>
          </w:tcPr>
          <w:p w14:paraId="01D33AE0">
            <w:pPr>
              <w:spacing w:line="400" w:lineRule="exact"/>
              <w:jc w:val="center"/>
              <w:rPr>
                <w:rFonts w:ascii="宋体" w:hAnsi="宋体"/>
                <w:szCs w:val="21"/>
              </w:rPr>
            </w:pPr>
            <w:r>
              <w:rPr>
                <w:rFonts w:ascii="宋体" w:hAnsi="宋体"/>
                <w:szCs w:val="21"/>
              </w:rPr>
              <w:t>其他</w:t>
            </w:r>
          </w:p>
        </w:tc>
        <w:tc>
          <w:tcPr>
            <w:tcW w:w="1899" w:type="dxa"/>
            <w:vAlign w:val="center"/>
          </w:tcPr>
          <w:p w14:paraId="2921B5F5">
            <w:pPr>
              <w:spacing w:line="400" w:lineRule="exact"/>
              <w:jc w:val="center"/>
              <w:rPr>
                <w:rFonts w:ascii="宋体" w:hAnsi="宋体"/>
                <w:szCs w:val="21"/>
              </w:rPr>
            </w:pPr>
          </w:p>
        </w:tc>
        <w:tc>
          <w:tcPr>
            <w:tcW w:w="6333" w:type="dxa"/>
            <w:vAlign w:val="top"/>
          </w:tcPr>
          <w:p w14:paraId="43FAEECE">
            <w:pPr>
              <w:spacing w:line="400" w:lineRule="exact"/>
              <w:ind w:firstLine="420" w:firstLineChars="200"/>
              <w:rPr>
                <w:rFonts w:ascii="宋体" w:hAnsi="宋体"/>
                <w:i/>
                <w:szCs w:val="21"/>
              </w:rPr>
            </w:pPr>
            <w:r>
              <w:rPr>
                <w:rFonts w:hint="eastAsia" w:ascii="宋体" w:hAnsi="宋体"/>
                <w:i/>
                <w:szCs w:val="21"/>
              </w:rPr>
              <w:t>[提示：招标人必须将所有否决投标条款集中罗列于此表，若无其他否决投标条款则在该条写无。]</w:t>
            </w:r>
          </w:p>
        </w:tc>
      </w:tr>
    </w:tbl>
    <w:p w14:paraId="51192B75">
      <w:pPr>
        <w:autoSpaceDE w:val="0"/>
        <w:autoSpaceDN w:val="0"/>
        <w:adjustRightInd w:val="0"/>
        <w:snapToGrid w:val="0"/>
        <w:spacing w:line="360" w:lineRule="auto"/>
        <w:jc w:val="left"/>
        <w:rPr>
          <w:rFonts w:ascii="宋体" w:hAnsi="宋体"/>
          <w:b/>
          <w:kern w:val="0"/>
          <w:sz w:val="20"/>
          <w:szCs w:val="20"/>
        </w:rPr>
      </w:pPr>
    </w:p>
    <w:p w14:paraId="617F01CC">
      <w:r>
        <w:br w:type="page"/>
      </w:r>
    </w:p>
    <w:bookmarkEnd w:id="444"/>
    <w:bookmarkEnd w:id="445"/>
    <w:p w14:paraId="4099E088">
      <w:pPr>
        <w:pStyle w:val="24"/>
        <w:spacing w:line="360" w:lineRule="auto"/>
        <w:rPr>
          <w:rFonts w:ascii="宋体" w:hAnsi="宋体"/>
        </w:rPr>
      </w:pPr>
      <w:r>
        <w:rPr>
          <w:rFonts w:ascii="宋体" w:hAnsi="宋体"/>
          <w:u w:val="none"/>
        </w:rPr>
        <w:t xml:space="preserve"> </w:t>
      </w:r>
    </w:p>
    <w:p w14:paraId="4909BC23">
      <w:pPr>
        <w:pStyle w:val="3"/>
        <w:spacing w:line="360" w:lineRule="auto"/>
        <w:jc w:val="center"/>
        <w:rPr>
          <w:rFonts w:ascii="宋体" w:hAnsi="宋体"/>
          <w:kern w:val="0"/>
        </w:rPr>
      </w:pPr>
      <w:bookmarkStart w:id="446" w:name="_Toc27983309"/>
      <w:bookmarkStart w:id="447" w:name="_Toc7147"/>
      <w:bookmarkStart w:id="448" w:name="_Toc430530509"/>
      <w:bookmarkStart w:id="449" w:name="_Toc57795938"/>
      <w:bookmarkStart w:id="450" w:name="_Toc509218785"/>
      <w:r>
        <w:rPr>
          <w:rFonts w:hint="eastAsia" w:ascii="宋体" w:hAnsi="宋体"/>
          <w:kern w:val="0"/>
        </w:rPr>
        <w:t>第四章  合同条款及格式</w:t>
      </w:r>
      <w:bookmarkEnd w:id="446"/>
      <w:bookmarkEnd w:id="447"/>
      <w:bookmarkEnd w:id="448"/>
      <w:bookmarkEnd w:id="449"/>
      <w:bookmarkEnd w:id="450"/>
    </w:p>
    <w:p w14:paraId="5994A3CA">
      <w:pPr>
        <w:pStyle w:val="4"/>
        <w:spacing w:before="100" w:after="100" w:line="360" w:lineRule="auto"/>
        <w:jc w:val="center"/>
        <w:rPr>
          <w:rStyle w:val="38"/>
          <w:rFonts w:hint="eastAsia" w:ascii="宋体" w:hAnsi="宋体"/>
          <w:b/>
          <w:bCs/>
        </w:rPr>
      </w:pPr>
      <w:r>
        <w:rPr>
          <w:rFonts w:ascii="宋体" w:hAnsi="宋体" w:cs="黑体"/>
          <w:sz w:val="42"/>
          <w:szCs w:val="42"/>
          <w:lang w:bidi="ar"/>
        </w:rPr>
        <w:br w:type="page"/>
      </w:r>
      <w:bookmarkStart w:id="451" w:name="_Toc57795939"/>
      <w:bookmarkStart w:id="452" w:name="_Toc6115"/>
      <w:r>
        <w:rPr>
          <w:rStyle w:val="38"/>
          <w:rFonts w:ascii="宋体" w:hAnsi="宋体"/>
          <w:b/>
          <w:bCs/>
        </w:rPr>
        <w:t>第一</w:t>
      </w:r>
      <w:r>
        <w:rPr>
          <w:rFonts w:hint="eastAsia" w:ascii="宋体" w:hAnsi="宋体" w:cs="宋体"/>
          <w:bCs w:val="0"/>
          <w:snapToGrid w:val="0"/>
        </w:rPr>
        <w:t>节 通用</w:t>
      </w:r>
      <w:r>
        <w:rPr>
          <w:rStyle w:val="38"/>
          <w:rFonts w:hint="eastAsia" w:ascii="宋体" w:hAnsi="宋体"/>
          <w:b/>
          <w:bCs/>
        </w:rPr>
        <w:t>合同条款</w:t>
      </w:r>
      <w:bookmarkEnd w:id="451"/>
      <w:bookmarkEnd w:id="452"/>
    </w:p>
    <w:p w14:paraId="7AA0CAC0">
      <w:pPr>
        <w:spacing w:line="360" w:lineRule="auto"/>
        <w:ind w:firstLine="420" w:firstLineChars="200"/>
        <w:jc w:val="left"/>
        <w:rPr>
          <w:rFonts w:ascii="宋体" w:hAnsi="宋体"/>
          <w:i/>
        </w:rPr>
      </w:pPr>
      <w:r>
        <w:rPr>
          <w:rFonts w:hint="eastAsia" w:ascii="宋体" w:hAnsi="宋体"/>
          <w:i/>
        </w:rPr>
        <w:t>[提示：“通用合同条款”采用《中华人民共和国标准施工招标文件（2007版）》第四章第一节的“通用合同条款”。]</w:t>
      </w:r>
    </w:p>
    <w:p w14:paraId="16101CC8">
      <w:pPr>
        <w:spacing w:line="360" w:lineRule="auto"/>
        <w:rPr>
          <w:rFonts w:ascii="宋体" w:hAnsi="宋体"/>
          <w:b/>
          <w:sz w:val="24"/>
        </w:rPr>
      </w:pPr>
      <w:r>
        <w:rPr>
          <w:rFonts w:ascii="宋体" w:hAnsi="宋体"/>
          <w:b/>
          <w:sz w:val="24"/>
        </w:rPr>
        <w:br w:type="page"/>
      </w:r>
    </w:p>
    <w:p w14:paraId="6984EFE0">
      <w:pPr>
        <w:pStyle w:val="5"/>
        <w:spacing w:before="0" w:after="0" w:line="360" w:lineRule="auto"/>
        <w:rPr>
          <w:rFonts w:hint="eastAsia" w:ascii="宋体" w:hAnsi="宋体"/>
        </w:rPr>
      </w:pPr>
      <w:bookmarkStart w:id="453" w:name="_Toc10305"/>
      <w:bookmarkStart w:id="454" w:name="_Toc57795940"/>
      <w:bookmarkStart w:id="455" w:name="_Toc11210"/>
      <w:bookmarkStart w:id="456" w:name="_Toc184635098"/>
      <w:bookmarkStart w:id="457" w:name="_Toc31298"/>
      <w:r>
        <w:rPr>
          <w:rFonts w:hint="eastAsia" w:ascii="宋体" w:hAnsi="宋体"/>
        </w:rPr>
        <w:t>1、一般约定</w:t>
      </w:r>
      <w:bookmarkEnd w:id="453"/>
      <w:bookmarkEnd w:id="454"/>
      <w:bookmarkEnd w:id="455"/>
      <w:bookmarkEnd w:id="456"/>
      <w:bookmarkEnd w:id="457"/>
    </w:p>
    <w:p w14:paraId="69ECFA50">
      <w:pPr>
        <w:pStyle w:val="6"/>
        <w:spacing w:before="0" w:beforeAutospacing="0" w:after="0" w:afterAutospacing="0" w:line="360" w:lineRule="auto"/>
        <w:rPr>
          <w:rFonts w:hint="eastAsia"/>
        </w:rPr>
      </w:pPr>
      <w:r>
        <w:rPr>
          <w:rFonts w:hint="eastAsia"/>
        </w:rPr>
        <w:t>1.1 词语定义</w:t>
      </w:r>
    </w:p>
    <w:p w14:paraId="10D43869">
      <w:pPr>
        <w:spacing w:line="360" w:lineRule="auto"/>
        <w:ind w:firstLine="420" w:firstLineChars="200"/>
        <w:rPr>
          <w:rFonts w:hint="eastAsia" w:ascii="宋体" w:hAnsi="宋体"/>
          <w:szCs w:val="21"/>
        </w:rPr>
      </w:pPr>
      <w:r>
        <w:rPr>
          <w:rFonts w:hint="eastAsia" w:ascii="宋体" w:hAnsi="宋体"/>
          <w:szCs w:val="21"/>
        </w:rPr>
        <w:t>通用合同条款、专用合同条款中的下列词语应具有本款所赋予的含义。</w:t>
      </w:r>
    </w:p>
    <w:p w14:paraId="66E315FD">
      <w:pPr>
        <w:spacing w:line="360" w:lineRule="auto"/>
        <w:ind w:firstLine="420" w:firstLineChars="200"/>
        <w:rPr>
          <w:rFonts w:hint="eastAsia" w:ascii="宋体" w:hAnsi="宋体"/>
          <w:szCs w:val="21"/>
        </w:rPr>
      </w:pPr>
      <w:r>
        <w:rPr>
          <w:rFonts w:hint="eastAsia" w:ascii="宋体" w:hAnsi="宋体"/>
          <w:szCs w:val="21"/>
        </w:rPr>
        <w:t>1.1.1 合同</w:t>
      </w:r>
    </w:p>
    <w:p w14:paraId="1327D71D">
      <w:pPr>
        <w:spacing w:line="360" w:lineRule="auto"/>
        <w:ind w:firstLine="420" w:firstLineChars="200"/>
        <w:rPr>
          <w:rFonts w:hint="eastAsia" w:ascii="宋体" w:hAnsi="宋体"/>
          <w:szCs w:val="21"/>
        </w:rPr>
      </w:pPr>
      <w:r>
        <w:rPr>
          <w:rFonts w:hint="eastAsia" w:ascii="宋体" w:hAnsi="宋体"/>
          <w:szCs w:val="21"/>
        </w:rPr>
        <w:t>1.1.1.1 合同文件（或称合同）：指合同协议书、中标通知书、投标函及投标函附录、专用合同条款、通用合同条款、技术标准和要求、图纸、已标价工程量清单，以及其他合同文件。</w:t>
      </w:r>
    </w:p>
    <w:p w14:paraId="53C75FDD">
      <w:pPr>
        <w:spacing w:line="360" w:lineRule="auto"/>
        <w:ind w:firstLine="420" w:firstLineChars="200"/>
        <w:rPr>
          <w:rFonts w:hint="eastAsia" w:ascii="宋体" w:hAnsi="宋体"/>
          <w:szCs w:val="21"/>
        </w:rPr>
      </w:pPr>
      <w:r>
        <w:rPr>
          <w:rFonts w:hint="eastAsia" w:ascii="宋体" w:hAnsi="宋体"/>
          <w:szCs w:val="21"/>
        </w:rPr>
        <w:t>1.1.1.2 合同协议书：指第1.5 款所指的合同协议书。</w:t>
      </w:r>
    </w:p>
    <w:p w14:paraId="5F1C16A0">
      <w:pPr>
        <w:spacing w:line="360" w:lineRule="auto"/>
        <w:ind w:firstLine="420" w:firstLineChars="200"/>
        <w:rPr>
          <w:rFonts w:hint="eastAsia" w:ascii="宋体" w:hAnsi="宋体"/>
          <w:szCs w:val="21"/>
        </w:rPr>
      </w:pPr>
      <w:r>
        <w:rPr>
          <w:rFonts w:hint="eastAsia" w:ascii="宋体" w:hAnsi="宋体"/>
          <w:szCs w:val="21"/>
        </w:rPr>
        <w:t>1.1.1.3 中标通知书：指发包人通知承包人中标的函件。</w:t>
      </w:r>
    </w:p>
    <w:p w14:paraId="7EB3362D">
      <w:pPr>
        <w:spacing w:line="360" w:lineRule="auto"/>
        <w:ind w:firstLine="420" w:firstLineChars="200"/>
        <w:rPr>
          <w:rFonts w:hint="eastAsia" w:ascii="宋体" w:hAnsi="宋体"/>
          <w:szCs w:val="21"/>
        </w:rPr>
      </w:pPr>
      <w:r>
        <w:rPr>
          <w:rFonts w:hint="eastAsia" w:ascii="宋体" w:hAnsi="宋体"/>
          <w:szCs w:val="21"/>
        </w:rPr>
        <w:t>1.1.1.4 投标函：指构成合同文件组成部分的由承包人填写并签署的投标函。</w:t>
      </w:r>
    </w:p>
    <w:p w14:paraId="326989F7">
      <w:pPr>
        <w:spacing w:line="360" w:lineRule="auto"/>
        <w:ind w:firstLine="420" w:firstLineChars="200"/>
        <w:rPr>
          <w:rFonts w:hint="eastAsia" w:ascii="宋体" w:hAnsi="宋体"/>
          <w:szCs w:val="21"/>
        </w:rPr>
      </w:pPr>
      <w:r>
        <w:rPr>
          <w:rFonts w:hint="eastAsia" w:ascii="宋体" w:hAnsi="宋体"/>
          <w:szCs w:val="21"/>
        </w:rPr>
        <w:t>1.1.1.5 投标函附录：指附在投标函后构成合同文件的投标函附录。</w:t>
      </w:r>
    </w:p>
    <w:p w14:paraId="32029302">
      <w:pPr>
        <w:spacing w:line="360" w:lineRule="auto"/>
        <w:ind w:firstLine="420" w:firstLineChars="200"/>
        <w:rPr>
          <w:rFonts w:hint="eastAsia" w:ascii="宋体" w:hAnsi="宋体"/>
          <w:szCs w:val="21"/>
        </w:rPr>
      </w:pPr>
      <w:r>
        <w:rPr>
          <w:rFonts w:hint="eastAsia" w:ascii="宋体" w:hAnsi="宋体"/>
          <w:szCs w:val="21"/>
        </w:rPr>
        <w:t>1.1.1.6 技术标准和要求：指构成合同文件组成部分的名为技术标准和要求的文件，包括合同双方当事人约定对其所作的修改或补充。</w:t>
      </w:r>
    </w:p>
    <w:p w14:paraId="557F3713">
      <w:pPr>
        <w:spacing w:line="360" w:lineRule="auto"/>
        <w:ind w:firstLine="420" w:firstLineChars="200"/>
        <w:rPr>
          <w:rFonts w:hint="eastAsia" w:ascii="宋体" w:hAnsi="宋体"/>
          <w:szCs w:val="21"/>
        </w:rPr>
      </w:pPr>
      <w:r>
        <w:rPr>
          <w:rFonts w:hint="eastAsia" w:ascii="宋体" w:hAnsi="宋体"/>
          <w:szCs w:val="21"/>
        </w:rPr>
        <w:t>1.1.1.7 图纸：指包含在合同中的工程图纸，以及由发包人按合同约定提供的任何补充和修改的图纸，包括配套的说明。</w:t>
      </w:r>
    </w:p>
    <w:p w14:paraId="3416E5EC">
      <w:pPr>
        <w:spacing w:line="360" w:lineRule="auto"/>
        <w:ind w:firstLine="420" w:firstLineChars="200"/>
        <w:rPr>
          <w:rFonts w:hint="eastAsia" w:ascii="宋体" w:hAnsi="宋体"/>
          <w:szCs w:val="21"/>
        </w:rPr>
      </w:pPr>
      <w:r>
        <w:rPr>
          <w:rFonts w:hint="eastAsia" w:ascii="宋体" w:hAnsi="宋体"/>
          <w:szCs w:val="21"/>
        </w:rPr>
        <w:t>1.1.1.8 己标价工程量清单：指构成合同文件组成部分的由承包人按照规定的格式和要求填写并标明价格的工程量清单。</w:t>
      </w:r>
    </w:p>
    <w:p w14:paraId="25BB8786">
      <w:pPr>
        <w:spacing w:line="360" w:lineRule="auto"/>
        <w:ind w:firstLine="420" w:firstLineChars="200"/>
        <w:rPr>
          <w:rFonts w:hint="eastAsia" w:ascii="宋体" w:hAnsi="宋体"/>
          <w:szCs w:val="21"/>
        </w:rPr>
      </w:pPr>
      <w:r>
        <w:rPr>
          <w:rFonts w:hint="eastAsia" w:ascii="宋体" w:hAnsi="宋体"/>
          <w:szCs w:val="21"/>
        </w:rPr>
        <w:t>1.1.1.9 其他合同文件：指经合同双方当事人确认构成合同文件的其他文件。</w:t>
      </w:r>
    </w:p>
    <w:p w14:paraId="2AB7A9F9">
      <w:pPr>
        <w:spacing w:line="360" w:lineRule="auto"/>
        <w:ind w:firstLine="420" w:firstLineChars="200"/>
        <w:rPr>
          <w:rFonts w:hint="eastAsia" w:ascii="宋体" w:hAnsi="宋体"/>
          <w:szCs w:val="21"/>
        </w:rPr>
      </w:pPr>
      <w:r>
        <w:rPr>
          <w:rFonts w:hint="eastAsia" w:ascii="宋体" w:hAnsi="宋体"/>
          <w:szCs w:val="21"/>
        </w:rPr>
        <w:t>1.1.2 合同当事人和人员</w:t>
      </w:r>
    </w:p>
    <w:p w14:paraId="35FA4598">
      <w:pPr>
        <w:spacing w:line="360" w:lineRule="auto"/>
        <w:ind w:firstLine="420" w:firstLineChars="200"/>
        <w:rPr>
          <w:rFonts w:hint="eastAsia" w:ascii="宋体" w:hAnsi="宋体"/>
          <w:szCs w:val="21"/>
        </w:rPr>
      </w:pPr>
      <w:r>
        <w:rPr>
          <w:rFonts w:hint="eastAsia" w:ascii="宋体" w:hAnsi="宋体"/>
          <w:szCs w:val="21"/>
        </w:rPr>
        <w:t>1.1.2.1 合同当事人：指发包人和（或）承包人。</w:t>
      </w:r>
    </w:p>
    <w:p w14:paraId="67144B19">
      <w:pPr>
        <w:spacing w:line="360" w:lineRule="auto"/>
        <w:ind w:firstLine="420" w:firstLineChars="200"/>
        <w:rPr>
          <w:rFonts w:hint="eastAsia" w:ascii="宋体" w:hAnsi="宋体"/>
          <w:szCs w:val="21"/>
        </w:rPr>
      </w:pPr>
      <w:r>
        <w:rPr>
          <w:rFonts w:hint="eastAsia" w:ascii="宋体" w:hAnsi="宋体"/>
          <w:szCs w:val="21"/>
        </w:rPr>
        <w:t>1.1.2.2 发包人：指专用合同条款中指明并与承包人在合同协议书中签名的当事人。</w:t>
      </w:r>
    </w:p>
    <w:p w14:paraId="28A3850C">
      <w:pPr>
        <w:spacing w:line="360" w:lineRule="auto"/>
        <w:ind w:firstLine="420" w:firstLineChars="200"/>
        <w:rPr>
          <w:rFonts w:hint="eastAsia" w:ascii="宋体" w:hAnsi="宋体"/>
          <w:szCs w:val="21"/>
        </w:rPr>
      </w:pPr>
      <w:r>
        <w:rPr>
          <w:rFonts w:hint="eastAsia" w:ascii="宋体" w:hAnsi="宋体"/>
          <w:szCs w:val="21"/>
        </w:rPr>
        <w:t>1.1.2.3 承包人：指与发包人签订合同协议书的当事人。</w:t>
      </w:r>
    </w:p>
    <w:p w14:paraId="0D151C2C">
      <w:pPr>
        <w:spacing w:line="360" w:lineRule="auto"/>
        <w:ind w:firstLine="420" w:firstLineChars="200"/>
        <w:rPr>
          <w:rFonts w:hint="eastAsia" w:ascii="宋体" w:hAnsi="宋体"/>
          <w:szCs w:val="21"/>
        </w:rPr>
      </w:pPr>
      <w:r>
        <w:rPr>
          <w:rFonts w:hint="eastAsia" w:ascii="宋体" w:hAnsi="宋体"/>
          <w:szCs w:val="21"/>
        </w:rPr>
        <w:t>1.1.2.4 承包人项目经理：指承包人派驻施工场地的全权负责人。</w:t>
      </w:r>
    </w:p>
    <w:p w14:paraId="66CF50C0">
      <w:pPr>
        <w:spacing w:line="360" w:lineRule="auto"/>
        <w:ind w:firstLine="420" w:firstLineChars="200"/>
        <w:rPr>
          <w:rFonts w:hint="eastAsia" w:ascii="宋体" w:hAnsi="宋体"/>
          <w:szCs w:val="21"/>
        </w:rPr>
      </w:pPr>
      <w:r>
        <w:rPr>
          <w:rFonts w:hint="eastAsia" w:ascii="宋体" w:hAnsi="宋体"/>
          <w:szCs w:val="21"/>
        </w:rPr>
        <w:t>1.1.2.5 分包人：指从承包人处分包合同中某一部分工程，并与其签订分包合同的分包人。</w:t>
      </w:r>
    </w:p>
    <w:p w14:paraId="26382C9F">
      <w:pPr>
        <w:spacing w:line="360" w:lineRule="auto"/>
        <w:ind w:firstLine="420" w:firstLineChars="200"/>
        <w:rPr>
          <w:rFonts w:hint="eastAsia" w:ascii="宋体" w:hAnsi="宋体"/>
          <w:szCs w:val="21"/>
        </w:rPr>
      </w:pPr>
      <w:r>
        <w:rPr>
          <w:rFonts w:hint="eastAsia" w:ascii="宋体" w:hAnsi="宋体"/>
          <w:szCs w:val="21"/>
        </w:rPr>
        <w:t>1.1.2.6 监理人：指在专用合同条款中指明的，受发包人委托对合同履行实施管理的法人或其他组织。</w:t>
      </w:r>
    </w:p>
    <w:p w14:paraId="3AC97090">
      <w:pPr>
        <w:spacing w:line="360" w:lineRule="auto"/>
        <w:ind w:firstLine="420" w:firstLineChars="200"/>
        <w:rPr>
          <w:rFonts w:hint="eastAsia" w:ascii="宋体" w:hAnsi="宋体"/>
          <w:szCs w:val="21"/>
        </w:rPr>
      </w:pPr>
      <w:r>
        <w:rPr>
          <w:rFonts w:hint="eastAsia" w:ascii="宋体" w:hAnsi="宋体"/>
          <w:szCs w:val="21"/>
        </w:rPr>
        <w:t>1.1.2.7 总监理工程师（总监）：指由监理人委派常驻施工场地对合同履行实施管理的全权负责人。</w:t>
      </w:r>
    </w:p>
    <w:p w14:paraId="77447F11">
      <w:pPr>
        <w:spacing w:line="360" w:lineRule="auto"/>
        <w:ind w:firstLine="420" w:firstLineChars="200"/>
        <w:rPr>
          <w:rFonts w:hint="eastAsia" w:ascii="宋体" w:hAnsi="宋体"/>
          <w:szCs w:val="21"/>
        </w:rPr>
      </w:pPr>
      <w:r>
        <w:rPr>
          <w:rFonts w:hint="eastAsia" w:ascii="宋体" w:hAnsi="宋体"/>
          <w:szCs w:val="21"/>
        </w:rPr>
        <w:t>1.1.3 工程和设备</w:t>
      </w:r>
    </w:p>
    <w:p w14:paraId="385F3E3D">
      <w:pPr>
        <w:spacing w:line="360" w:lineRule="auto"/>
        <w:ind w:firstLine="420" w:firstLineChars="200"/>
        <w:rPr>
          <w:rFonts w:ascii="宋体" w:hAnsi="宋体"/>
          <w:szCs w:val="21"/>
        </w:rPr>
      </w:pPr>
      <w:r>
        <w:rPr>
          <w:rFonts w:hint="eastAsia" w:ascii="宋体" w:hAnsi="宋体"/>
          <w:szCs w:val="21"/>
        </w:rPr>
        <w:t>1.1.3.1 工程：指永久工程和（或）临时工程。</w:t>
      </w:r>
    </w:p>
    <w:p w14:paraId="32A43A59">
      <w:pPr>
        <w:spacing w:line="360" w:lineRule="auto"/>
        <w:ind w:firstLine="420" w:firstLineChars="200"/>
        <w:rPr>
          <w:rFonts w:hint="eastAsia" w:ascii="宋体" w:hAnsi="宋体"/>
          <w:szCs w:val="21"/>
        </w:rPr>
      </w:pPr>
      <w:r>
        <w:rPr>
          <w:rFonts w:hint="eastAsia" w:ascii="宋体" w:hAnsi="宋体"/>
          <w:szCs w:val="21"/>
        </w:rPr>
        <w:t>1.1.3.2 永久工程：指按合同约定建造并移交给发包人的工程，包括工程设备。</w:t>
      </w:r>
    </w:p>
    <w:p w14:paraId="0E8FAA1A">
      <w:pPr>
        <w:spacing w:line="360" w:lineRule="auto"/>
        <w:ind w:firstLine="420" w:firstLineChars="200"/>
        <w:rPr>
          <w:rFonts w:hint="eastAsia" w:ascii="宋体" w:hAnsi="宋体"/>
          <w:szCs w:val="21"/>
        </w:rPr>
      </w:pPr>
      <w:r>
        <w:rPr>
          <w:rFonts w:hint="eastAsia" w:ascii="宋体" w:hAnsi="宋体"/>
          <w:szCs w:val="21"/>
        </w:rPr>
        <w:t>1.1.3.3 临时工程：指为完成合同约定的永久工程所修建的各类临时性工程，不包括施工设备。</w:t>
      </w:r>
    </w:p>
    <w:p w14:paraId="19BA4D06">
      <w:pPr>
        <w:spacing w:line="360" w:lineRule="auto"/>
        <w:ind w:firstLine="420" w:firstLineChars="200"/>
        <w:rPr>
          <w:rFonts w:hint="eastAsia" w:ascii="宋体" w:hAnsi="宋体"/>
          <w:szCs w:val="21"/>
        </w:rPr>
      </w:pPr>
      <w:r>
        <w:rPr>
          <w:rFonts w:hint="eastAsia" w:ascii="宋体" w:hAnsi="宋体"/>
          <w:szCs w:val="21"/>
        </w:rPr>
        <w:t>1.1.3.4 单位工程：指专用合同条款中指明特定范围的永久工程。</w:t>
      </w:r>
    </w:p>
    <w:p w14:paraId="6473B122">
      <w:pPr>
        <w:spacing w:line="360" w:lineRule="auto"/>
        <w:ind w:firstLine="420" w:firstLineChars="200"/>
        <w:rPr>
          <w:rFonts w:hint="eastAsia" w:ascii="宋体" w:hAnsi="宋体"/>
          <w:szCs w:val="21"/>
        </w:rPr>
      </w:pPr>
      <w:r>
        <w:rPr>
          <w:rFonts w:hint="eastAsia" w:ascii="宋体" w:hAnsi="宋体"/>
          <w:szCs w:val="21"/>
        </w:rPr>
        <w:t>1.1.3.5 工程设备：指构成或计划构成永久工程一部分的机电设备、金属结构设备、仪器装置及其他类似的设备和装置。</w:t>
      </w:r>
    </w:p>
    <w:p w14:paraId="55CC8C4A">
      <w:pPr>
        <w:spacing w:line="360" w:lineRule="auto"/>
        <w:ind w:firstLine="420" w:firstLineChars="200"/>
        <w:rPr>
          <w:rFonts w:hint="eastAsia" w:ascii="宋体" w:hAnsi="宋体"/>
          <w:szCs w:val="21"/>
        </w:rPr>
      </w:pPr>
      <w:r>
        <w:rPr>
          <w:rFonts w:hint="eastAsia" w:ascii="宋体" w:hAnsi="宋体"/>
          <w:szCs w:val="21"/>
        </w:rPr>
        <w:t>1.1.3.6 施工设备：指为完成合同约定的各项工作所需的设备、器具和其他物品，不包括临时工程和材料。</w:t>
      </w:r>
    </w:p>
    <w:p w14:paraId="62BB4560">
      <w:pPr>
        <w:spacing w:line="360" w:lineRule="auto"/>
        <w:ind w:firstLine="420" w:firstLineChars="200"/>
        <w:rPr>
          <w:rFonts w:hint="eastAsia" w:ascii="宋体" w:hAnsi="宋体"/>
          <w:szCs w:val="21"/>
        </w:rPr>
      </w:pPr>
      <w:r>
        <w:rPr>
          <w:rFonts w:hint="eastAsia" w:ascii="宋体" w:hAnsi="宋体"/>
          <w:szCs w:val="21"/>
        </w:rPr>
        <w:t>1.1.3.7 临时设施：指为完成合同约定的各项工作所服务的临时性生产和生活设施。</w:t>
      </w:r>
    </w:p>
    <w:p w14:paraId="2693EFEC">
      <w:pPr>
        <w:spacing w:line="360" w:lineRule="auto"/>
        <w:ind w:firstLine="420" w:firstLineChars="200"/>
        <w:rPr>
          <w:rFonts w:hint="eastAsia" w:ascii="宋体" w:hAnsi="宋体"/>
          <w:szCs w:val="21"/>
        </w:rPr>
      </w:pPr>
      <w:r>
        <w:rPr>
          <w:rFonts w:hint="eastAsia" w:ascii="宋体" w:hAnsi="宋体"/>
          <w:szCs w:val="21"/>
        </w:rPr>
        <w:t>1.1.3.8 承包人设备：指承包人自带的施工设备。</w:t>
      </w:r>
    </w:p>
    <w:p w14:paraId="237A4B85">
      <w:pPr>
        <w:spacing w:line="360" w:lineRule="auto"/>
        <w:ind w:firstLine="420" w:firstLineChars="200"/>
        <w:rPr>
          <w:rFonts w:hint="eastAsia" w:ascii="宋体" w:hAnsi="宋体"/>
          <w:szCs w:val="21"/>
        </w:rPr>
      </w:pPr>
      <w:r>
        <w:rPr>
          <w:rFonts w:hint="eastAsia" w:ascii="宋体" w:hAnsi="宋体"/>
          <w:szCs w:val="21"/>
        </w:rPr>
        <w:t>1.1.3.9 施工场地（或称工地、现场）：指用于合同工程施工的场所，以及在合同中指定作为施工场地组成部分的其他场所，包括永久占地和临时占地。</w:t>
      </w:r>
    </w:p>
    <w:p w14:paraId="717CF654">
      <w:pPr>
        <w:spacing w:line="360" w:lineRule="auto"/>
        <w:ind w:firstLine="420" w:firstLineChars="200"/>
        <w:rPr>
          <w:rFonts w:hint="eastAsia" w:ascii="宋体" w:hAnsi="宋体"/>
          <w:szCs w:val="21"/>
        </w:rPr>
      </w:pPr>
      <w:r>
        <w:rPr>
          <w:rFonts w:hint="eastAsia" w:ascii="宋体" w:hAnsi="宋体"/>
          <w:szCs w:val="21"/>
        </w:rPr>
        <w:t>1.1.3.10 永久占地：指专用合同条款中指明为实施合同工程需永久占用的土地。</w:t>
      </w:r>
    </w:p>
    <w:p w14:paraId="1C326C86">
      <w:pPr>
        <w:spacing w:line="360" w:lineRule="auto"/>
        <w:ind w:firstLine="420" w:firstLineChars="200"/>
        <w:rPr>
          <w:rFonts w:hint="eastAsia" w:ascii="宋体" w:hAnsi="宋体"/>
          <w:szCs w:val="21"/>
        </w:rPr>
      </w:pPr>
      <w:r>
        <w:rPr>
          <w:rFonts w:hint="eastAsia" w:ascii="宋体" w:hAnsi="宋体"/>
          <w:szCs w:val="21"/>
        </w:rPr>
        <w:t>1.1.3.11 临时占地：指专用合同条款中指明为实施合同工程需临时占用的土地。</w:t>
      </w:r>
    </w:p>
    <w:p w14:paraId="7768F5F4">
      <w:pPr>
        <w:spacing w:line="360" w:lineRule="auto"/>
        <w:ind w:firstLine="420" w:firstLineChars="200"/>
        <w:rPr>
          <w:rFonts w:hint="eastAsia" w:ascii="宋体" w:hAnsi="宋体"/>
          <w:szCs w:val="21"/>
        </w:rPr>
      </w:pPr>
      <w:r>
        <w:rPr>
          <w:rFonts w:hint="eastAsia" w:ascii="宋体" w:hAnsi="宋体"/>
          <w:szCs w:val="21"/>
        </w:rPr>
        <w:t>1.1.4 日期</w:t>
      </w:r>
    </w:p>
    <w:p w14:paraId="04C23FA7">
      <w:pPr>
        <w:spacing w:line="360" w:lineRule="auto"/>
        <w:ind w:firstLine="420" w:firstLineChars="200"/>
        <w:rPr>
          <w:rFonts w:hint="eastAsia" w:ascii="宋体" w:hAnsi="宋体"/>
          <w:szCs w:val="21"/>
        </w:rPr>
      </w:pPr>
      <w:r>
        <w:rPr>
          <w:rFonts w:hint="eastAsia" w:ascii="宋体" w:hAnsi="宋体"/>
          <w:szCs w:val="21"/>
        </w:rPr>
        <w:t>1.1.4.1 开工通知：指监理人按第11.1 款通知承包人开工的函件。</w:t>
      </w:r>
    </w:p>
    <w:p w14:paraId="592417CE">
      <w:pPr>
        <w:spacing w:line="360" w:lineRule="auto"/>
        <w:ind w:firstLine="420" w:firstLineChars="200"/>
        <w:rPr>
          <w:rFonts w:hint="eastAsia" w:ascii="宋体" w:hAnsi="宋体"/>
          <w:szCs w:val="21"/>
        </w:rPr>
      </w:pPr>
      <w:r>
        <w:rPr>
          <w:rFonts w:hint="eastAsia" w:ascii="宋体" w:hAnsi="宋体"/>
          <w:szCs w:val="21"/>
        </w:rPr>
        <w:t>1.1.4.2 开工日期：指监理人按第11 . 1 款发出的开工通知中写明的开工日期。</w:t>
      </w:r>
    </w:p>
    <w:p w14:paraId="14C86B95">
      <w:pPr>
        <w:spacing w:line="360" w:lineRule="auto"/>
        <w:ind w:firstLine="420" w:firstLineChars="200"/>
        <w:rPr>
          <w:rFonts w:hint="eastAsia" w:ascii="宋体" w:hAnsi="宋体"/>
          <w:szCs w:val="21"/>
        </w:rPr>
      </w:pPr>
      <w:r>
        <w:rPr>
          <w:rFonts w:hint="eastAsia" w:ascii="宋体" w:hAnsi="宋体"/>
          <w:szCs w:val="21"/>
        </w:rPr>
        <w:t>1.1.4.3 工期：指承包人在投标函中承诺的完成合同工程所需的期限，包括按第11.3 款、第11.4 款和第11.6 款约定所作的变更。</w:t>
      </w:r>
    </w:p>
    <w:p w14:paraId="5F4CF4E7">
      <w:pPr>
        <w:spacing w:line="360" w:lineRule="auto"/>
        <w:ind w:firstLine="420" w:firstLineChars="200"/>
        <w:rPr>
          <w:rFonts w:hint="eastAsia" w:ascii="宋体" w:hAnsi="宋体"/>
          <w:szCs w:val="21"/>
        </w:rPr>
      </w:pPr>
      <w:r>
        <w:rPr>
          <w:rFonts w:hint="eastAsia" w:ascii="宋体" w:hAnsi="宋体"/>
          <w:szCs w:val="21"/>
        </w:rPr>
        <w:t>1.1.4.4 竣工日期：指第1.1.4.3 目约定工期届满时的日期。实际竣工日期以工程接收证书中写明的日期为准。</w:t>
      </w:r>
    </w:p>
    <w:p w14:paraId="32A1855C">
      <w:pPr>
        <w:spacing w:line="360" w:lineRule="auto"/>
        <w:ind w:firstLine="420" w:firstLineChars="200"/>
        <w:rPr>
          <w:rFonts w:hint="eastAsia" w:ascii="宋体" w:hAnsi="宋体"/>
          <w:szCs w:val="21"/>
        </w:rPr>
      </w:pPr>
      <w:r>
        <w:rPr>
          <w:rFonts w:hint="eastAsia" w:ascii="宋体" w:hAnsi="宋体"/>
          <w:szCs w:val="21"/>
        </w:rPr>
        <w:t>1.1.4.5 缺陷责任期：指履行第19.2 款约定的缺陷责任的期限，具体期限由专用合同条款约定，包括根据第19.3 款约定所作的延长。</w:t>
      </w:r>
    </w:p>
    <w:p w14:paraId="3334B63E">
      <w:pPr>
        <w:spacing w:line="360" w:lineRule="auto"/>
        <w:ind w:firstLine="420" w:firstLineChars="200"/>
        <w:rPr>
          <w:rFonts w:hint="eastAsia" w:ascii="宋体" w:hAnsi="宋体"/>
          <w:szCs w:val="21"/>
        </w:rPr>
      </w:pPr>
      <w:r>
        <w:rPr>
          <w:rFonts w:hint="eastAsia" w:ascii="宋体" w:hAnsi="宋体"/>
          <w:szCs w:val="21"/>
        </w:rPr>
        <w:t>1.1.4.6 基准日期：指投标截止时间前28 天的日期。</w:t>
      </w:r>
    </w:p>
    <w:p w14:paraId="7BC530EB">
      <w:pPr>
        <w:spacing w:line="360" w:lineRule="auto"/>
        <w:ind w:firstLine="420" w:firstLineChars="200"/>
        <w:rPr>
          <w:rFonts w:hint="eastAsia" w:ascii="宋体" w:hAnsi="宋体"/>
          <w:szCs w:val="21"/>
        </w:rPr>
      </w:pPr>
      <w:r>
        <w:rPr>
          <w:rFonts w:hint="eastAsia" w:ascii="宋体" w:hAnsi="宋体"/>
          <w:szCs w:val="21"/>
        </w:rPr>
        <w:t>1.1.4.7 天：除特别指明外，指日历天。合同中按天计算时间的，开始当天不计入，从次日开始计算。期限最后一天的截止时间为当天24:00。</w:t>
      </w:r>
    </w:p>
    <w:p w14:paraId="75329C54">
      <w:pPr>
        <w:spacing w:line="360" w:lineRule="auto"/>
        <w:ind w:firstLine="420" w:firstLineChars="200"/>
        <w:rPr>
          <w:rFonts w:hint="eastAsia" w:ascii="宋体" w:hAnsi="宋体"/>
          <w:szCs w:val="21"/>
        </w:rPr>
      </w:pPr>
      <w:r>
        <w:rPr>
          <w:rFonts w:hint="eastAsia" w:ascii="宋体" w:hAnsi="宋体"/>
          <w:szCs w:val="21"/>
        </w:rPr>
        <w:t>1.1.5 合同价格和费用</w:t>
      </w:r>
    </w:p>
    <w:p w14:paraId="6CDB059B">
      <w:pPr>
        <w:spacing w:line="360" w:lineRule="auto"/>
        <w:ind w:firstLine="420" w:firstLineChars="200"/>
        <w:rPr>
          <w:rFonts w:hint="eastAsia" w:ascii="宋体" w:hAnsi="宋体"/>
          <w:szCs w:val="21"/>
        </w:rPr>
      </w:pPr>
      <w:r>
        <w:rPr>
          <w:rFonts w:hint="eastAsia" w:ascii="宋体" w:hAnsi="宋体"/>
          <w:szCs w:val="21"/>
        </w:rPr>
        <w:t>1.1.5.1 签约合同价：指</w:t>
      </w:r>
      <w:r>
        <w:rPr>
          <w:rFonts w:hint="eastAsia" w:ascii="宋体" w:hAnsi="宋体"/>
          <w:szCs w:val="21"/>
          <w:lang w:eastAsia="zh-CN"/>
        </w:rPr>
        <w:t>签订合同</w:t>
      </w:r>
      <w:r>
        <w:rPr>
          <w:rFonts w:hint="eastAsia" w:ascii="宋体" w:hAnsi="宋体"/>
          <w:szCs w:val="21"/>
        </w:rPr>
        <w:t>时合同协议书中写明的，包括了暂列金额、暂估价的合同总金额。</w:t>
      </w:r>
    </w:p>
    <w:p w14:paraId="13CA8472">
      <w:pPr>
        <w:spacing w:line="360" w:lineRule="auto"/>
        <w:ind w:firstLine="420" w:firstLineChars="200"/>
        <w:rPr>
          <w:rFonts w:hint="eastAsia" w:ascii="宋体" w:hAnsi="宋体"/>
          <w:szCs w:val="21"/>
        </w:rPr>
      </w:pPr>
      <w:r>
        <w:rPr>
          <w:rFonts w:hint="eastAsia" w:ascii="宋体" w:hAnsi="宋体"/>
          <w:szCs w:val="21"/>
        </w:rPr>
        <w:t>1.1.5.2 合同价格：指承包人按合同约定完成了包括缺陷责任期内的全部承包工作后，发包人应付给承包人的金额，包括在履行合同过程中按合同约定进行的变更和调整。</w:t>
      </w:r>
    </w:p>
    <w:p w14:paraId="79A15D7B">
      <w:pPr>
        <w:spacing w:line="360" w:lineRule="auto"/>
        <w:ind w:firstLine="420" w:firstLineChars="200"/>
        <w:rPr>
          <w:rFonts w:hint="eastAsia" w:ascii="宋体" w:hAnsi="宋体"/>
          <w:szCs w:val="21"/>
        </w:rPr>
      </w:pPr>
      <w:r>
        <w:rPr>
          <w:rFonts w:hint="eastAsia" w:ascii="宋体" w:hAnsi="宋体"/>
          <w:szCs w:val="21"/>
        </w:rPr>
        <w:t>1.1.5.3 费用：指为履行合同所发生的或将要发生的所有合理开支，包括管理费和应分摊的其他费用，但不包括利润。</w:t>
      </w:r>
    </w:p>
    <w:p w14:paraId="0761CA74">
      <w:pPr>
        <w:spacing w:line="360" w:lineRule="auto"/>
        <w:ind w:firstLine="420" w:firstLineChars="200"/>
        <w:rPr>
          <w:rFonts w:hint="eastAsia" w:ascii="宋体" w:hAnsi="宋体"/>
          <w:szCs w:val="21"/>
        </w:rPr>
      </w:pPr>
      <w:r>
        <w:rPr>
          <w:rFonts w:hint="eastAsia" w:ascii="宋体" w:hAnsi="宋体"/>
          <w:szCs w:val="21"/>
        </w:rPr>
        <w:t>1.1.5.4 暂列金额：指已标价工程量清单中所列的暂列金额，用于在签订协议书时尚未确定或不可预见变更的施工及其所需材料、工程设备、服务等的金额，包括以计日工方式支付的金额。</w:t>
      </w:r>
    </w:p>
    <w:p w14:paraId="0C19330F">
      <w:pPr>
        <w:spacing w:line="360" w:lineRule="auto"/>
        <w:ind w:firstLine="420" w:firstLineChars="200"/>
        <w:rPr>
          <w:rFonts w:hint="eastAsia" w:ascii="宋体" w:hAnsi="宋体"/>
          <w:szCs w:val="21"/>
        </w:rPr>
      </w:pPr>
      <w:r>
        <w:rPr>
          <w:rFonts w:hint="eastAsia" w:ascii="宋体" w:hAnsi="宋体"/>
          <w:szCs w:val="21"/>
        </w:rPr>
        <w:t>1.1.5.5 暂估价：指发包人在工程量清单中给定的用于支付必然发生但暂时不能确定价格的材料、设备以及专业工程的金额。</w:t>
      </w:r>
    </w:p>
    <w:p w14:paraId="2403095B">
      <w:pPr>
        <w:spacing w:line="360" w:lineRule="auto"/>
        <w:ind w:firstLine="420" w:firstLineChars="200"/>
        <w:rPr>
          <w:rFonts w:hint="eastAsia" w:ascii="宋体" w:hAnsi="宋体"/>
          <w:szCs w:val="21"/>
        </w:rPr>
      </w:pPr>
      <w:r>
        <w:rPr>
          <w:rFonts w:hint="eastAsia" w:ascii="宋体" w:hAnsi="宋体"/>
          <w:szCs w:val="21"/>
        </w:rPr>
        <w:t>1.1.5.6 计日工：指对零星工作采取的一种计价方式，按合同中的计日工子目及其单价计价付款。</w:t>
      </w:r>
    </w:p>
    <w:p w14:paraId="1290EE33">
      <w:pPr>
        <w:spacing w:line="360" w:lineRule="auto"/>
        <w:ind w:firstLine="420" w:firstLineChars="200"/>
        <w:rPr>
          <w:rFonts w:hint="eastAsia" w:ascii="宋体" w:hAnsi="宋体"/>
          <w:szCs w:val="21"/>
        </w:rPr>
      </w:pPr>
      <w:r>
        <w:rPr>
          <w:rFonts w:hint="eastAsia" w:ascii="宋体" w:hAnsi="宋体"/>
          <w:szCs w:val="21"/>
        </w:rPr>
        <w:t>1.1.5.7 质量保证金（或称保留金）：指按第17.4.1项约定用于保证在缺陷责任期内履行缺陷修复义务的金额。</w:t>
      </w:r>
    </w:p>
    <w:p w14:paraId="50C7D7E8">
      <w:pPr>
        <w:spacing w:line="360" w:lineRule="auto"/>
        <w:ind w:firstLine="420" w:firstLineChars="200"/>
        <w:rPr>
          <w:rFonts w:hint="eastAsia" w:ascii="宋体" w:hAnsi="宋体"/>
          <w:szCs w:val="21"/>
        </w:rPr>
      </w:pPr>
      <w:r>
        <w:rPr>
          <w:rFonts w:hint="eastAsia" w:ascii="宋体" w:hAnsi="宋体"/>
          <w:szCs w:val="21"/>
        </w:rPr>
        <w:t>1.1.6 其他</w:t>
      </w:r>
    </w:p>
    <w:p w14:paraId="4AE3677F">
      <w:pPr>
        <w:spacing w:line="360" w:lineRule="auto"/>
        <w:ind w:firstLine="420" w:firstLineChars="200"/>
        <w:rPr>
          <w:rFonts w:hint="eastAsia" w:ascii="宋体" w:hAnsi="宋体"/>
          <w:szCs w:val="21"/>
        </w:rPr>
      </w:pPr>
      <w:r>
        <w:rPr>
          <w:rFonts w:hint="eastAsia" w:ascii="宋体" w:hAnsi="宋体"/>
          <w:szCs w:val="21"/>
        </w:rPr>
        <w:t>1.1.6.1 书面形式：指合同文件、信函、电报、传真等可以有形地表现所载内容的形式。</w:t>
      </w:r>
    </w:p>
    <w:p w14:paraId="34969316">
      <w:pPr>
        <w:pStyle w:val="6"/>
        <w:spacing w:before="0" w:beforeAutospacing="0" w:after="0" w:afterAutospacing="0" w:line="360" w:lineRule="auto"/>
        <w:rPr>
          <w:rFonts w:hint="eastAsia"/>
        </w:rPr>
      </w:pPr>
      <w:r>
        <w:rPr>
          <w:rFonts w:hint="eastAsia"/>
        </w:rPr>
        <w:t>1.2 语言文字</w:t>
      </w:r>
    </w:p>
    <w:p w14:paraId="0245A752">
      <w:pPr>
        <w:spacing w:line="360" w:lineRule="auto"/>
        <w:ind w:firstLine="420" w:firstLineChars="200"/>
        <w:rPr>
          <w:rFonts w:hint="eastAsia" w:ascii="宋体" w:hAnsi="宋体"/>
          <w:szCs w:val="21"/>
        </w:rPr>
      </w:pPr>
      <w:r>
        <w:rPr>
          <w:rFonts w:hint="eastAsia" w:ascii="宋体" w:hAnsi="宋体"/>
          <w:szCs w:val="21"/>
        </w:rPr>
        <w:t>除专用术语外，合同使用的语言文字为中文。必要时专用术语应附有中文注释。</w:t>
      </w:r>
    </w:p>
    <w:p w14:paraId="3236F804">
      <w:pPr>
        <w:pStyle w:val="6"/>
        <w:spacing w:before="0" w:beforeAutospacing="0" w:after="0" w:afterAutospacing="0" w:line="360" w:lineRule="auto"/>
        <w:rPr>
          <w:rFonts w:hint="eastAsia"/>
        </w:rPr>
      </w:pPr>
      <w:r>
        <w:rPr>
          <w:rFonts w:hint="eastAsia"/>
        </w:rPr>
        <w:t>1.3 法律</w:t>
      </w:r>
    </w:p>
    <w:p w14:paraId="226E6BB6">
      <w:pPr>
        <w:spacing w:line="360" w:lineRule="auto"/>
        <w:ind w:firstLine="420" w:firstLineChars="200"/>
        <w:rPr>
          <w:rFonts w:hint="eastAsia" w:ascii="宋体" w:hAnsi="宋体"/>
          <w:szCs w:val="21"/>
        </w:rPr>
      </w:pPr>
      <w:r>
        <w:rPr>
          <w:rFonts w:hint="eastAsia" w:ascii="宋体" w:hAnsi="宋体"/>
          <w:szCs w:val="21"/>
        </w:rPr>
        <w:t>适用于合同的法律包括中华人民共和国法律、行政法规、部门规章，以及工程所在地的地方法规、自治条例、单行条例和地方政府规章。</w:t>
      </w:r>
    </w:p>
    <w:p w14:paraId="6961027A">
      <w:pPr>
        <w:pStyle w:val="6"/>
        <w:spacing w:before="0" w:beforeAutospacing="0" w:after="0" w:afterAutospacing="0" w:line="360" w:lineRule="auto"/>
        <w:rPr>
          <w:rFonts w:hint="eastAsia"/>
        </w:rPr>
      </w:pPr>
      <w:r>
        <w:rPr>
          <w:rFonts w:hint="eastAsia"/>
        </w:rPr>
        <w:t>1.4 合同文件的优先顺序</w:t>
      </w:r>
    </w:p>
    <w:p w14:paraId="623D5CE2">
      <w:pPr>
        <w:spacing w:line="360" w:lineRule="auto"/>
        <w:ind w:firstLine="420" w:firstLineChars="200"/>
        <w:rPr>
          <w:rFonts w:hint="eastAsia" w:ascii="宋体" w:hAnsi="宋体"/>
          <w:szCs w:val="21"/>
        </w:rPr>
      </w:pPr>
      <w:r>
        <w:rPr>
          <w:rFonts w:hint="eastAsia" w:ascii="宋体" w:hAnsi="宋体"/>
          <w:szCs w:val="21"/>
        </w:rPr>
        <w:t>组成合同的各项文件应互相解释，互为说明。除专用合同条款另有约定外，解释合同文件的优先顺序如下：</w:t>
      </w:r>
    </w:p>
    <w:p w14:paraId="0331D060">
      <w:pPr>
        <w:spacing w:line="360" w:lineRule="auto"/>
        <w:ind w:firstLine="420" w:firstLineChars="200"/>
        <w:rPr>
          <w:rFonts w:hint="eastAsia" w:ascii="宋体" w:hAnsi="宋体"/>
          <w:szCs w:val="21"/>
        </w:rPr>
      </w:pPr>
      <w:r>
        <w:rPr>
          <w:rFonts w:hint="eastAsia" w:ascii="宋体" w:hAnsi="宋体"/>
          <w:szCs w:val="21"/>
        </w:rPr>
        <w:t>（l）合同协议书；</w:t>
      </w:r>
    </w:p>
    <w:p w14:paraId="7B50F090">
      <w:pPr>
        <w:spacing w:line="360" w:lineRule="auto"/>
        <w:ind w:firstLine="420" w:firstLineChars="200"/>
        <w:rPr>
          <w:rFonts w:hint="eastAsia" w:ascii="宋体" w:hAnsi="宋体"/>
          <w:szCs w:val="21"/>
        </w:rPr>
      </w:pPr>
      <w:r>
        <w:rPr>
          <w:rFonts w:hint="eastAsia" w:ascii="宋体" w:hAnsi="宋体"/>
          <w:szCs w:val="21"/>
        </w:rPr>
        <w:t>（2）中标通知书；</w:t>
      </w:r>
    </w:p>
    <w:p w14:paraId="43FB0BC7">
      <w:pPr>
        <w:spacing w:line="360" w:lineRule="auto"/>
        <w:ind w:firstLine="420" w:firstLineChars="200"/>
        <w:rPr>
          <w:rFonts w:hint="eastAsia" w:ascii="宋体" w:hAnsi="宋体"/>
          <w:szCs w:val="21"/>
        </w:rPr>
      </w:pPr>
      <w:r>
        <w:rPr>
          <w:rFonts w:hint="eastAsia" w:ascii="宋体" w:hAnsi="宋体"/>
          <w:szCs w:val="21"/>
        </w:rPr>
        <w:t>（3）投标函及投标函附录；</w:t>
      </w:r>
    </w:p>
    <w:p w14:paraId="5C9C4289">
      <w:pPr>
        <w:spacing w:line="360" w:lineRule="auto"/>
        <w:ind w:firstLine="420" w:firstLineChars="200"/>
        <w:rPr>
          <w:rFonts w:hint="eastAsia" w:ascii="宋体" w:hAnsi="宋体"/>
          <w:szCs w:val="21"/>
        </w:rPr>
      </w:pPr>
      <w:r>
        <w:rPr>
          <w:rFonts w:hint="eastAsia" w:ascii="宋体" w:hAnsi="宋体"/>
          <w:szCs w:val="21"/>
        </w:rPr>
        <w:t>（4）专用合同条款；</w:t>
      </w:r>
    </w:p>
    <w:p w14:paraId="3EBE6871">
      <w:pPr>
        <w:spacing w:line="360" w:lineRule="auto"/>
        <w:ind w:firstLine="420" w:firstLineChars="200"/>
        <w:rPr>
          <w:rFonts w:hint="eastAsia" w:ascii="宋体" w:hAnsi="宋体"/>
          <w:szCs w:val="21"/>
        </w:rPr>
      </w:pPr>
      <w:r>
        <w:rPr>
          <w:rFonts w:hint="eastAsia" w:ascii="宋体" w:hAnsi="宋体"/>
          <w:szCs w:val="21"/>
        </w:rPr>
        <w:t>（5）通用合同条款；</w:t>
      </w:r>
    </w:p>
    <w:p w14:paraId="605633BF">
      <w:pPr>
        <w:spacing w:line="360" w:lineRule="auto"/>
        <w:ind w:firstLine="420" w:firstLineChars="200"/>
        <w:rPr>
          <w:rFonts w:hint="eastAsia" w:ascii="宋体" w:hAnsi="宋体"/>
          <w:szCs w:val="21"/>
        </w:rPr>
      </w:pPr>
      <w:r>
        <w:rPr>
          <w:rFonts w:hint="eastAsia" w:ascii="宋体" w:hAnsi="宋体"/>
          <w:szCs w:val="21"/>
        </w:rPr>
        <w:t>（6）技术标准和要求；</w:t>
      </w:r>
    </w:p>
    <w:p w14:paraId="07254986">
      <w:pPr>
        <w:spacing w:line="360" w:lineRule="auto"/>
        <w:ind w:firstLine="420" w:firstLineChars="200"/>
        <w:rPr>
          <w:rFonts w:hint="eastAsia" w:ascii="宋体" w:hAnsi="宋体"/>
          <w:szCs w:val="21"/>
        </w:rPr>
      </w:pPr>
      <w:r>
        <w:rPr>
          <w:rFonts w:hint="eastAsia" w:ascii="宋体" w:hAnsi="宋体"/>
          <w:szCs w:val="21"/>
        </w:rPr>
        <w:t>（7）图纸；</w:t>
      </w:r>
    </w:p>
    <w:p w14:paraId="4C0C1293">
      <w:pPr>
        <w:spacing w:line="360" w:lineRule="auto"/>
        <w:ind w:firstLine="420" w:firstLineChars="200"/>
        <w:rPr>
          <w:rFonts w:hint="eastAsia" w:ascii="宋体" w:hAnsi="宋体"/>
          <w:szCs w:val="21"/>
        </w:rPr>
      </w:pPr>
      <w:r>
        <w:rPr>
          <w:rFonts w:hint="eastAsia" w:ascii="宋体" w:hAnsi="宋体"/>
          <w:szCs w:val="21"/>
        </w:rPr>
        <w:t>（8）已标价工程量清单；</w:t>
      </w:r>
    </w:p>
    <w:p w14:paraId="586DA052">
      <w:pPr>
        <w:spacing w:line="360" w:lineRule="auto"/>
        <w:ind w:firstLine="420" w:firstLineChars="200"/>
        <w:rPr>
          <w:rFonts w:hint="eastAsia" w:ascii="宋体" w:hAnsi="宋体"/>
          <w:szCs w:val="21"/>
        </w:rPr>
      </w:pPr>
      <w:r>
        <w:rPr>
          <w:rFonts w:hint="eastAsia" w:ascii="宋体" w:hAnsi="宋体"/>
          <w:szCs w:val="21"/>
        </w:rPr>
        <w:t>（9）其他合同文件。</w:t>
      </w:r>
    </w:p>
    <w:p w14:paraId="4FF33BCD">
      <w:pPr>
        <w:pStyle w:val="6"/>
        <w:spacing w:before="0" w:beforeAutospacing="0" w:after="0" w:afterAutospacing="0" w:line="360" w:lineRule="auto"/>
        <w:rPr>
          <w:rFonts w:hint="eastAsia"/>
        </w:rPr>
      </w:pPr>
      <w:r>
        <w:rPr>
          <w:rFonts w:hint="eastAsia"/>
        </w:rPr>
        <w:t>1.5 合同协议书</w:t>
      </w:r>
    </w:p>
    <w:p w14:paraId="72BB47A2">
      <w:pPr>
        <w:spacing w:line="360" w:lineRule="auto"/>
        <w:ind w:firstLine="420" w:firstLineChars="200"/>
        <w:rPr>
          <w:rFonts w:hint="eastAsia" w:ascii="宋体" w:hAnsi="宋体"/>
          <w:szCs w:val="21"/>
        </w:rPr>
      </w:pPr>
      <w:r>
        <w:rPr>
          <w:rFonts w:hint="eastAsia" w:ascii="宋体" w:hAnsi="宋体"/>
          <w:szCs w:val="21"/>
        </w:rPr>
        <w:t>承包人按中标通知书规定的时间与发包人签订合同协议书。除法律另有规定或合同另有约定外，发包人和承包人的法定代表人或其委托代理人在合同协议书上签名并盖单位章后，合同生效。</w:t>
      </w:r>
    </w:p>
    <w:p w14:paraId="027FD1A9">
      <w:pPr>
        <w:pStyle w:val="6"/>
        <w:spacing w:before="0" w:beforeAutospacing="0" w:after="0" w:afterAutospacing="0" w:line="360" w:lineRule="auto"/>
        <w:rPr>
          <w:rFonts w:hint="eastAsia"/>
        </w:rPr>
      </w:pPr>
      <w:r>
        <w:rPr>
          <w:rFonts w:hint="eastAsia"/>
        </w:rPr>
        <w:t>1.6 图纸和承包人文件</w:t>
      </w:r>
    </w:p>
    <w:p w14:paraId="25327D54">
      <w:pPr>
        <w:spacing w:line="360" w:lineRule="auto"/>
        <w:ind w:firstLine="420" w:firstLineChars="200"/>
        <w:rPr>
          <w:rFonts w:ascii="宋体" w:hAnsi="宋体"/>
          <w:szCs w:val="21"/>
        </w:rPr>
      </w:pPr>
      <w:r>
        <w:rPr>
          <w:rFonts w:hint="eastAsia" w:ascii="宋体" w:hAnsi="宋体"/>
          <w:szCs w:val="21"/>
        </w:rPr>
        <w:t>1.6.1 图纸的提供</w:t>
      </w:r>
    </w:p>
    <w:p w14:paraId="03FC69B8">
      <w:pPr>
        <w:spacing w:line="360" w:lineRule="auto"/>
        <w:ind w:firstLine="420" w:firstLineChars="200"/>
        <w:rPr>
          <w:rFonts w:hint="eastAsia" w:ascii="宋体" w:hAnsi="宋体"/>
          <w:szCs w:val="21"/>
        </w:rPr>
      </w:pPr>
      <w:r>
        <w:rPr>
          <w:rFonts w:hint="eastAsia" w:ascii="宋体" w:hAnsi="宋体"/>
          <w:szCs w:val="21"/>
        </w:rPr>
        <w:t>除专用合同条款另有约定外，图纸应在合理的期限内按照合同约定的数量提供给承包人。由于发包人未按时提供图纸造成工期延误的，按第11.3 款的约定办理。</w:t>
      </w:r>
    </w:p>
    <w:p w14:paraId="4F6F8D02">
      <w:pPr>
        <w:spacing w:line="360" w:lineRule="auto"/>
        <w:ind w:firstLine="420" w:firstLineChars="200"/>
        <w:rPr>
          <w:rFonts w:hint="eastAsia" w:ascii="宋体" w:hAnsi="宋体"/>
          <w:szCs w:val="21"/>
        </w:rPr>
      </w:pPr>
      <w:r>
        <w:rPr>
          <w:rFonts w:hint="eastAsia" w:ascii="宋体" w:hAnsi="宋体"/>
          <w:szCs w:val="21"/>
        </w:rPr>
        <w:t>1.6.2 承包人提供的文件</w:t>
      </w:r>
    </w:p>
    <w:p w14:paraId="040A5AE2">
      <w:pPr>
        <w:spacing w:line="360" w:lineRule="auto"/>
        <w:ind w:firstLine="420" w:firstLineChars="200"/>
        <w:rPr>
          <w:rFonts w:hint="eastAsia" w:ascii="宋体" w:hAnsi="宋体"/>
          <w:szCs w:val="21"/>
        </w:rPr>
      </w:pPr>
      <w:r>
        <w:rPr>
          <w:rFonts w:hint="eastAsia" w:ascii="宋体" w:hAnsi="宋体"/>
          <w:szCs w:val="21"/>
        </w:rPr>
        <w:t>按专用合同条款约定由承包人提供的文件，包括部分工程的大样图、加工图等，承包人应按约定的数量和期限报送监理人。监理人应在专用合同条款约定的期限内批复。</w:t>
      </w:r>
    </w:p>
    <w:p w14:paraId="291942A5">
      <w:pPr>
        <w:spacing w:line="360" w:lineRule="auto"/>
        <w:ind w:firstLine="420" w:firstLineChars="200"/>
        <w:rPr>
          <w:rFonts w:hint="eastAsia" w:ascii="宋体" w:hAnsi="宋体"/>
          <w:szCs w:val="21"/>
        </w:rPr>
      </w:pPr>
      <w:r>
        <w:rPr>
          <w:rFonts w:hint="eastAsia" w:ascii="宋体" w:hAnsi="宋体"/>
          <w:szCs w:val="21"/>
        </w:rPr>
        <w:t>1.6.3 图纸的修改</w:t>
      </w:r>
    </w:p>
    <w:p w14:paraId="39D2B98D">
      <w:pPr>
        <w:spacing w:line="360" w:lineRule="auto"/>
        <w:ind w:firstLine="420" w:firstLineChars="200"/>
        <w:rPr>
          <w:rFonts w:hint="eastAsia" w:ascii="宋体" w:hAnsi="宋体"/>
          <w:szCs w:val="21"/>
        </w:rPr>
      </w:pPr>
      <w:r>
        <w:rPr>
          <w:rFonts w:hint="eastAsia" w:ascii="宋体" w:hAnsi="宋体"/>
          <w:szCs w:val="21"/>
        </w:rPr>
        <w:t>图纸需要修改和补充的，应由监理人取得发包人同意后，在该工程或工程相应部位施工前的合理期限内签发图纸修改图给承包人，具体签发期限在专用合同条款中约定。承包人应按修改后的图纸施工。</w:t>
      </w:r>
    </w:p>
    <w:p w14:paraId="514CD8AD">
      <w:pPr>
        <w:spacing w:line="360" w:lineRule="auto"/>
        <w:ind w:firstLine="420" w:firstLineChars="200"/>
        <w:rPr>
          <w:rFonts w:hint="eastAsia" w:ascii="宋体" w:hAnsi="宋体"/>
          <w:szCs w:val="21"/>
        </w:rPr>
      </w:pPr>
      <w:r>
        <w:rPr>
          <w:rFonts w:hint="eastAsia" w:ascii="宋体" w:hAnsi="宋体"/>
          <w:szCs w:val="21"/>
        </w:rPr>
        <w:t>1.6.4 图纸的错误</w:t>
      </w:r>
    </w:p>
    <w:p w14:paraId="10DE461F">
      <w:pPr>
        <w:spacing w:line="360" w:lineRule="auto"/>
        <w:ind w:firstLine="420" w:firstLineChars="200"/>
        <w:rPr>
          <w:rFonts w:hint="eastAsia" w:ascii="宋体" w:hAnsi="宋体"/>
          <w:szCs w:val="21"/>
        </w:rPr>
      </w:pPr>
      <w:r>
        <w:rPr>
          <w:rFonts w:hint="eastAsia" w:ascii="宋体" w:hAnsi="宋体"/>
          <w:szCs w:val="21"/>
        </w:rPr>
        <w:t>承包人发现发包人提供的图纸存在明显错误或疏忽，应及时通知监理人。</w:t>
      </w:r>
    </w:p>
    <w:p w14:paraId="3F81F367">
      <w:pPr>
        <w:spacing w:line="360" w:lineRule="auto"/>
        <w:ind w:firstLine="420" w:firstLineChars="200"/>
        <w:rPr>
          <w:rFonts w:hint="eastAsia" w:ascii="宋体" w:hAnsi="宋体"/>
          <w:szCs w:val="21"/>
        </w:rPr>
      </w:pPr>
      <w:r>
        <w:rPr>
          <w:rFonts w:hint="eastAsia" w:ascii="宋体" w:hAnsi="宋体"/>
          <w:szCs w:val="21"/>
        </w:rPr>
        <w:t>1.6.5 图纸和承包人文件的保管</w:t>
      </w:r>
    </w:p>
    <w:p w14:paraId="62BDE5DD">
      <w:pPr>
        <w:spacing w:line="360" w:lineRule="auto"/>
        <w:ind w:firstLine="420" w:firstLineChars="200"/>
        <w:rPr>
          <w:rFonts w:hint="eastAsia" w:ascii="宋体" w:hAnsi="宋体"/>
          <w:szCs w:val="21"/>
        </w:rPr>
      </w:pPr>
      <w:r>
        <w:rPr>
          <w:rFonts w:hint="eastAsia" w:ascii="宋体" w:hAnsi="宋体"/>
          <w:szCs w:val="21"/>
        </w:rPr>
        <w:t>监理人和承包人均应在施工场地各保存一套完整的包含第1.6.1 项、第1.6.2 项、第1.6.3 项约定内容的图纸和承包人文件。</w:t>
      </w:r>
    </w:p>
    <w:p w14:paraId="165643F0">
      <w:pPr>
        <w:pStyle w:val="6"/>
        <w:spacing w:before="0" w:beforeAutospacing="0" w:after="0" w:afterAutospacing="0" w:line="360" w:lineRule="auto"/>
        <w:rPr>
          <w:rFonts w:hint="eastAsia"/>
        </w:rPr>
      </w:pPr>
      <w:r>
        <w:rPr>
          <w:rFonts w:hint="eastAsia"/>
        </w:rPr>
        <w:t>1.7 联络</w:t>
      </w:r>
    </w:p>
    <w:p w14:paraId="62DA88A3">
      <w:pPr>
        <w:spacing w:line="360" w:lineRule="auto"/>
        <w:ind w:firstLine="420" w:firstLineChars="200"/>
        <w:rPr>
          <w:rFonts w:hint="eastAsia" w:ascii="宋体" w:hAnsi="宋体"/>
          <w:szCs w:val="21"/>
        </w:rPr>
      </w:pPr>
      <w:r>
        <w:rPr>
          <w:rFonts w:hint="eastAsia" w:ascii="宋体" w:hAnsi="宋体"/>
          <w:szCs w:val="21"/>
        </w:rPr>
        <w:t>1.7.1 与合同有关的通知、批准、证明、证书、指示、要求、请求、同意、意见、确定和决定等，均应采用书面形式。</w:t>
      </w:r>
    </w:p>
    <w:p w14:paraId="685C8D33">
      <w:pPr>
        <w:spacing w:line="360" w:lineRule="auto"/>
        <w:ind w:firstLine="420" w:firstLineChars="200"/>
        <w:rPr>
          <w:rFonts w:hint="eastAsia" w:ascii="宋体" w:hAnsi="宋体"/>
          <w:szCs w:val="21"/>
        </w:rPr>
      </w:pPr>
      <w:r>
        <w:rPr>
          <w:rFonts w:hint="eastAsia" w:ascii="宋体" w:hAnsi="宋体"/>
          <w:szCs w:val="21"/>
        </w:rPr>
        <w:t>1.7.2 第1.7.1 项中的通知、批准、证明、证书、指示、要求、请求、同意、意见、确定和决定等来往函件，均应在合同约定的期限内送达指定地点和接收人，并办理签收手续。</w:t>
      </w:r>
    </w:p>
    <w:p w14:paraId="5C46BEC9">
      <w:pPr>
        <w:pStyle w:val="6"/>
        <w:spacing w:before="0" w:beforeAutospacing="0" w:after="0" w:afterAutospacing="0" w:line="360" w:lineRule="auto"/>
        <w:rPr>
          <w:rFonts w:hint="eastAsia"/>
        </w:rPr>
      </w:pPr>
      <w:r>
        <w:rPr>
          <w:rFonts w:hint="eastAsia"/>
        </w:rPr>
        <w:t>1.8 转让</w:t>
      </w:r>
    </w:p>
    <w:p w14:paraId="4FEED8B4">
      <w:pPr>
        <w:spacing w:line="360" w:lineRule="auto"/>
        <w:ind w:firstLine="420" w:firstLineChars="200"/>
        <w:rPr>
          <w:rFonts w:hint="eastAsia" w:ascii="宋体" w:hAnsi="宋体"/>
          <w:szCs w:val="21"/>
        </w:rPr>
      </w:pPr>
      <w:r>
        <w:rPr>
          <w:rFonts w:hint="eastAsia" w:ascii="宋体" w:hAnsi="宋体"/>
          <w:szCs w:val="21"/>
        </w:rPr>
        <w:t>除合同另有约定外，未经对方当事人同意，一方当事人不得将合同权利全部或部分转让给第三人，也不得全部或部分转移合同义务。</w:t>
      </w:r>
    </w:p>
    <w:p w14:paraId="23B14AA1">
      <w:pPr>
        <w:pStyle w:val="6"/>
        <w:spacing w:before="0" w:beforeAutospacing="0" w:after="0" w:afterAutospacing="0" w:line="360" w:lineRule="auto"/>
        <w:rPr>
          <w:rFonts w:hint="eastAsia"/>
        </w:rPr>
      </w:pPr>
      <w:r>
        <w:rPr>
          <w:rFonts w:hint="eastAsia"/>
        </w:rPr>
        <w:t>1.9 严禁贿赂</w:t>
      </w:r>
    </w:p>
    <w:p w14:paraId="59C4B7E3">
      <w:pPr>
        <w:spacing w:line="360" w:lineRule="auto"/>
        <w:ind w:firstLine="420" w:firstLineChars="200"/>
        <w:rPr>
          <w:rFonts w:hint="eastAsia" w:ascii="宋体" w:hAnsi="宋体"/>
          <w:szCs w:val="21"/>
        </w:rPr>
      </w:pPr>
      <w:r>
        <w:rPr>
          <w:rFonts w:hint="eastAsia" w:ascii="宋体" w:hAnsi="宋体"/>
          <w:szCs w:val="21"/>
        </w:rPr>
        <w:t>合同双方当事人不得以贿赂或变相贿赂的方式，谋取不当利益或损害对方权益。因贿赂造成对方损失的，行为人应赔偿损失，并承担相应的法律责任。</w:t>
      </w:r>
    </w:p>
    <w:p w14:paraId="58B18906">
      <w:pPr>
        <w:pStyle w:val="6"/>
        <w:spacing w:before="0" w:beforeAutospacing="0" w:after="0" w:afterAutospacing="0" w:line="360" w:lineRule="auto"/>
        <w:rPr>
          <w:rFonts w:hint="eastAsia"/>
        </w:rPr>
      </w:pPr>
      <w:r>
        <w:rPr>
          <w:rFonts w:hint="eastAsia"/>
        </w:rPr>
        <w:t>1.10 化石、文物</w:t>
      </w:r>
    </w:p>
    <w:p w14:paraId="75A4A21D">
      <w:pPr>
        <w:spacing w:line="360" w:lineRule="auto"/>
        <w:ind w:firstLine="420" w:firstLineChars="200"/>
        <w:rPr>
          <w:rFonts w:hint="eastAsia" w:ascii="宋体" w:hAnsi="宋体"/>
          <w:szCs w:val="21"/>
        </w:rPr>
      </w:pPr>
      <w:r>
        <w:rPr>
          <w:rFonts w:hint="eastAsia" w:ascii="宋体" w:hAnsi="宋体"/>
          <w:szCs w:val="21"/>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14:paraId="68005102">
      <w:pPr>
        <w:spacing w:line="360" w:lineRule="auto"/>
        <w:ind w:firstLine="420" w:firstLineChars="200"/>
        <w:rPr>
          <w:rFonts w:ascii="宋体" w:hAnsi="宋体"/>
          <w:szCs w:val="21"/>
        </w:rPr>
      </w:pPr>
      <w:r>
        <w:rPr>
          <w:rFonts w:hint="eastAsia" w:ascii="宋体" w:hAnsi="宋体"/>
          <w:szCs w:val="21"/>
        </w:rPr>
        <w:t>1.10.2 承包人发现文物后不及时报告或隐瞒不报，致使文物丢失或损坏的，应赔偿损失，并承担相应的法律责任。</w:t>
      </w:r>
    </w:p>
    <w:p w14:paraId="37E9D4B2">
      <w:pPr>
        <w:pStyle w:val="6"/>
        <w:spacing w:before="0" w:beforeAutospacing="0" w:after="0" w:afterAutospacing="0" w:line="360" w:lineRule="auto"/>
        <w:rPr>
          <w:rFonts w:hint="eastAsia"/>
        </w:rPr>
      </w:pPr>
      <w:r>
        <w:rPr>
          <w:rFonts w:hint="eastAsia"/>
        </w:rPr>
        <w:t>1.11 专利技术</w:t>
      </w:r>
    </w:p>
    <w:p w14:paraId="3D84D837">
      <w:pPr>
        <w:spacing w:line="360" w:lineRule="auto"/>
        <w:ind w:firstLine="420" w:firstLineChars="200"/>
        <w:rPr>
          <w:rFonts w:hint="eastAsia" w:ascii="宋体" w:hAnsi="宋体"/>
          <w:szCs w:val="21"/>
        </w:rPr>
      </w:pPr>
      <w:r>
        <w:rPr>
          <w:rFonts w:hint="eastAsia" w:ascii="宋体" w:hAnsi="宋体"/>
          <w:szCs w:val="21"/>
        </w:rPr>
        <w:t>1.11.1 承包人在使用任何材料、承包人设备、工程设备或采用施工工艺时，因侵犯专利权或其他知识产权所引起的责任，由承包人承担，但由于遵照发包人提供的设计或技术标准和要求引起的除外。</w:t>
      </w:r>
    </w:p>
    <w:p w14:paraId="7B176B93">
      <w:pPr>
        <w:spacing w:line="360" w:lineRule="auto"/>
        <w:ind w:firstLine="420" w:firstLineChars="200"/>
        <w:rPr>
          <w:rFonts w:hint="eastAsia" w:ascii="宋体" w:hAnsi="宋体"/>
          <w:szCs w:val="21"/>
        </w:rPr>
      </w:pPr>
      <w:r>
        <w:rPr>
          <w:rFonts w:hint="eastAsia" w:ascii="宋体" w:hAnsi="宋体"/>
          <w:szCs w:val="21"/>
        </w:rPr>
        <w:t>1.11.2 承包人在投标文件中采用专利技术的，专利技术的使用费包含在投标报价内。</w:t>
      </w:r>
    </w:p>
    <w:p w14:paraId="40253F68">
      <w:pPr>
        <w:spacing w:line="360" w:lineRule="auto"/>
        <w:ind w:firstLine="420" w:firstLineChars="200"/>
        <w:rPr>
          <w:rFonts w:hint="eastAsia" w:ascii="宋体" w:hAnsi="宋体"/>
          <w:szCs w:val="21"/>
        </w:rPr>
      </w:pPr>
      <w:r>
        <w:rPr>
          <w:rFonts w:hint="eastAsia" w:ascii="宋体" w:hAnsi="宋体"/>
          <w:szCs w:val="21"/>
        </w:rPr>
        <w:t>1.11.3 承包人的技术秘密和声明需要保密的资料和信息，发包人和监理人不得为合同以外的目的</w:t>
      </w:r>
      <w:r>
        <w:rPr>
          <w:rFonts w:hint="eastAsia" w:ascii="宋体" w:hAnsi="宋体"/>
          <w:szCs w:val="21"/>
          <w:lang w:eastAsia="zh-CN"/>
        </w:rPr>
        <w:t>泄漏</w:t>
      </w:r>
      <w:r>
        <w:rPr>
          <w:rFonts w:hint="eastAsia" w:ascii="宋体" w:hAnsi="宋体"/>
          <w:szCs w:val="21"/>
        </w:rPr>
        <w:t>给他人。</w:t>
      </w:r>
    </w:p>
    <w:p w14:paraId="01A4A1D4">
      <w:pPr>
        <w:pStyle w:val="6"/>
        <w:spacing w:before="0" w:beforeAutospacing="0" w:after="0" w:afterAutospacing="0" w:line="360" w:lineRule="auto"/>
        <w:rPr>
          <w:rFonts w:hint="eastAsia"/>
        </w:rPr>
      </w:pPr>
      <w:r>
        <w:rPr>
          <w:rFonts w:hint="eastAsia"/>
        </w:rPr>
        <w:t>1.12 图纸和文件的保密</w:t>
      </w:r>
    </w:p>
    <w:p w14:paraId="28FCDFD1">
      <w:pPr>
        <w:spacing w:line="360" w:lineRule="auto"/>
        <w:ind w:firstLine="420" w:firstLineChars="200"/>
        <w:rPr>
          <w:rFonts w:hint="eastAsia" w:ascii="宋体" w:hAnsi="宋体"/>
          <w:szCs w:val="21"/>
        </w:rPr>
      </w:pPr>
      <w:r>
        <w:rPr>
          <w:rFonts w:hint="eastAsia" w:ascii="宋体" w:hAnsi="宋体"/>
          <w:szCs w:val="21"/>
        </w:rPr>
        <w:t>1.12.1 发包人提供的图纸和文件，未经发包人同意，承包人不得为合同以外的目的</w:t>
      </w:r>
      <w:r>
        <w:rPr>
          <w:rFonts w:hint="eastAsia" w:ascii="宋体" w:hAnsi="宋体"/>
          <w:szCs w:val="21"/>
          <w:lang w:eastAsia="zh-CN"/>
        </w:rPr>
        <w:t>泄漏</w:t>
      </w:r>
      <w:r>
        <w:rPr>
          <w:rFonts w:hint="eastAsia" w:ascii="宋体" w:hAnsi="宋体"/>
          <w:szCs w:val="21"/>
        </w:rPr>
        <w:t>给他人或公开发表与引用。</w:t>
      </w:r>
    </w:p>
    <w:p w14:paraId="00C08863">
      <w:pPr>
        <w:spacing w:line="360" w:lineRule="auto"/>
        <w:ind w:firstLine="420" w:firstLineChars="200"/>
        <w:rPr>
          <w:rFonts w:hint="eastAsia" w:ascii="宋体" w:hAnsi="宋体"/>
          <w:szCs w:val="21"/>
        </w:rPr>
      </w:pPr>
      <w:r>
        <w:rPr>
          <w:rFonts w:hint="eastAsia" w:ascii="宋体" w:hAnsi="宋体"/>
          <w:szCs w:val="21"/>
        </w:rPr>
        <w:t>1.12.2 承包人提供的文件，未经承包人同意，发包人和监理人不得为合同以外的目的</w:t>
      </w:r>
      <w:r>
        <w:rPr>
          <w:rFonts w:hint="eastAsia" w:ascii="宋体" w:hAnsi="宋体"/>
          <w:szCs w:val="21"/>
          <w:lang w:eastAsia="zh-CN"/>
        </w:rPr>
        <w:t>泄漏</w:t>
      </w:r>
      <w:r>
        <w:rPr>
          <w:rFonts w:hint="eastAsia" w:ascii="宋体" w:hAnsi="宋体"/>
          <w:szCs w:val="21"/>
        </w:rPr>
        <w:t>给他人或公开发表与引用。</w:t>
      </w:r>
    </w:p>
    <w:p w14:paraId="554105B6">
      <w:pPr>
        <w:pStyle w:val="5"/>
        <w:spacing w:before="0" w:after="0" w:line="360" w:lineRule="auto"/>
        <w:rPr>
          <w:rFonts w:hint="eastAsia" w:ascii="宋体" w:hAnsi="宋体"/>
        </w:rPr>
      </w:pPr>
      <w:bookmarkStart w:id="458" w:name="_Toc25407"/>
      <w:bookmarkStart w:id="459" w:name="_Toc57795941"/>
      <w:bookmarkStart w:id="460" w:name="_Toc19250"/>
      <w:bookmarkStart w:id="461" w:name="_Toc12851"/>
      <w:bookmarkStart w:id="462" w:name="_Toc184635099"/>
      <w:r>
        <w:rPr>
          <w:rFonts w:hint="eastAsia" w:ascii="宋体" w:hAnsi="宋体"/>
        </w:rPr>
        <w:t>2、发包人义务</w:t>
      </w:r>
      <w:bookmarkEnd w:id="458"/>
      <w:bookmarkEnd w:id="459"/>
      <w:bookmarkEnd w:id="460"/>
      <w:bookmarkEnd w:id="461"/>
      <w:bookmarkEnd w:id="462"/>
    </w:p>
    <w:p w14:paraId="2F1C4EFA">
      <w:pPr>
        <w:pStyle w:val="6"/>
        <w:spacing w:before="0" w:beforeAutospacing="0" w:after="0" w:afterAutospacing="0" w:line="360" w:lineRule="auto"/>
        <w:rPr>
          <w:rFonts w:hint="eastAsia"/>
        </w:rPr>
      </w:pPr>
      <w:r>
        <w:rPr>
          <w:rFonts w:hint="eastAsia"/>
        </w:rPr>
        <w:t>2.1 遵守法律</w:t>
      </w:r>
    </w:p>
    <w:p w14:paraId="7B7E6891">
      <w:pPr>
        <w:spacing w:line="360" w:lineRule="auto"/>
        <w:ind w:firstLine="420" w:firstLineChars="200"/>
        <w:rPr>
          <w:rFonts w:hint="eastAsia" w:ascii="宋体" w:hAnsi="宋体"/>
          <w:szCs w:val="21"/>
        </w:rPr>
      </w:pPr>
      <w:r>
        <w:rPr>
          <w:rFonts w:hint="eastAsia" w:ascii="宋体" w:hAnsi="宋体"/>
          <w:szCs w:val="21"/>
        </w:rPr>
        <w:t>发包人在履行合同过程中应遵守法律，并保证承包人免于承担因发包人违反法律而引起的任何责任。</w:t>
      </w:r>
    </w:p>
    <w:p w14:paraId="0B291EFA">
      <w:pPr>
        <w:pStyle w:val="6"/>
        <w:spacing w:before="0" w:beforeAutospacing="0" w:after="0" w:afterAutospacing="0" w:line="360" w:lineRule="auto"/>
        <w:rPr>
          <w:rFonts w:hint="eastAsia"/>
        </w:rPr>
      </w:pPr>
      <w:r>
        <w:rPr>
          <w:rFonts w:hint="eastAsia"/>
        </w:rPr>
        <w:t>2.2 发出开工通知</w:t>
      </w:r>
    </w:p>
    <w:p w14:paraId="3358C59E">
      <w:pPr>
        <w:spacing w:line="360" w:lineRule="auto"/>
        <w:ind w:firstLine="420" w:firstLineChars="200"/>
        <w:rPr>
          <w:rFonts w:hint="eastAsia" w:ascii="宋体" w:hAnsi="宋体"/>
          <w:szCs w:val="21"/>
        </w:rPr>
      </w:pPr>
      <w:r>
        <w:rPr>
          <w:rFonts w:hint="eastAsia" w:ascii="宋体" w:hAnsi="宋体"/>
          <w:szCs w:val="21"/>
        </w:rPr>
        <w:t>发包人应委托监理人按第11.1 款的约定向承包人发出开工通知。</w:t>
      </w:r>
    </w:p>
    <w:p w14:paraId="4266CF3D">
      <w:pPr>
        <w:pStyle w:val="6"/>
        <w:spacing w:before="0" w:beforeAutospacing="0" w:after="0" w:afterAutospacing="0" w:line="360" w:lineRule="auto"/>
        <w:rPr>
          <w:rFonts w:hint="eastAsia"/>
        </w:rPr>
      </w:pPr>
      <w:r>
        <w:rPr>
          <w:rFonts w:hint="eastAsia"/>
        </w:rPr>
        <w:t>2.3 提供施工场地</w:t>
      </w:r>
    </w:p>
    <w:p w14:paraId="5DA7DDD5">
      <w:pPr>
        <w:spacing w:line="360" w:lineRule="auto"/>
        <w:ind w:firstLine="420" w:firstLineChars="200"/>
        <w:rPr>
          <w:rFonts w:hint="eastAsia" w:ascii="宋体" w:hAnsi="宋体"/>
          <w:szCs w:val="21"/>
        </w:rPr>
      </w:pPr>
      <w:r>
        <w:rPr>
          <w:rFonts w:hint="eastAsia" w:ascii="宋体" w:hAnsi="宋体"/>
          <w:szCs w:val="21"/>
        </w:rPr>
        <w:t>发包人应按专用合同条款约定向承包人提供施工场地，以及施工场地内地下管线和地下设施等有关资料，并保证资料的真实、准确、完整。</w:t>
      </w:r>
    </w:p>
    <w:p w14:paraId="7CC979E0">
      <w:pPr>
        <w:pStyle w:val="6"/>
        <w:spacing w:before="0" w:beforeAutospacing="0" w:after="0" w:afterAutospacing="0" w:line="360" w:lineRule="auto"/>
        <w:rPr>
          <w:rFonts w:hint="eastAsia"/>
        </w:rPr>
      </w:pPr>
      <w:r>
        <w:rPr>
          <w:rFonts w:hint="eastAsia"/>
        </w:rPr>
        <w:t>2.4 协助承包人办理证件和批件</w:t>
      </w:r>
    </w:p>
    <w:p w14:paraId="445A1893">
      <w:pPr>
        <w:spacing w:line="360" w:lineRule="auto"/>
        <w:ind w:firstLine="420" w:firstLineChars="200"/>
        <w:rPr>
          <w:rFonts w:hint="eastAsia" w:ascii="宋体" w:hAnsi="宋体"/>
          <w:szCs w:val="21"/>
        </w:rPr>
      </w:pPr>
      <w:r>
        <w:rPr>
          <w:rFonts w:hint="eastAsia" w:ascii="宋体" w:hAnsi="宋体"/>
          <w:szCs w:val="21"/>
        </w:rPr>
        <w:t>发包人应协助承包人办理法律规定的有关施工证件和批件。</w:t>
      </w:r>
    </w:p>
    <w:p w14:paraId="0628C31C">
      <w:pPr>
        <w:pStyle w:val="6"/>
        <w:spacing w:before="0" w:beforeAutospacing="0" w:after="0" w:afterAutospacing="0" w:line="360" w:lineRule="auto"/>
        <w:rPr>
          <w:rFonts w:hint="eastAsia"/>
        </w:rPr>
      </w:pPr>
      <w:r>
        <w:rPr>
          <w:rFonts w:hint="eastAsia"/>
        </w:rPr>
        <w:t>2.5 组织设计交底</w:t>
      </w:r>
    </w:p>
    <w:p w14:paraId="42E5A544">
      <w:pPr>
        <w:spacing w:line="360" w:lineRule="auto"/>
        <w:ind w:firstLine="420" w:firstLineChars="200"/>
        <w:rPr>
          <w:rFonts w:hint="eastAsia" w:ascii="宋体" w:hAnsi="宋体"/>
          <w:szCs w:val="21"/>
        </w:rPr>
      </w:pPr>
      <w:r>
        <w:rPr>
          <w:rFonts w:hint="eastAsia" w:ascii="宋体" w:hAnsi="宋体"/>
          <w:szCs w:val="21"/>
        </w:rPr>
        <w:t>发包人应根据合同进度计划，组织设计单位向承包人进行设计交底。</w:t>
      </w:r>
    </w:p>
    <w:p w14:paraId="7B065D5E">
      <w:pPr>
        <w:pStyle w:val="6"/>
        <w:spacing w:before="0" w:beforeAutospacing="0" w:after="0" w:afterAutospacing="0" w:line="360" w:lineRule="auto"/>
        <w:rPr>
          <w:rFonts w:hint="eastAsia"/>
        </w:rPr>
      </w:pPr>
      <w:r>
        <w:rPr>
          <w:rFonts w:hint="eastAsia"/>
        </w:rPr>
        <w:t>2.6 支付合同价款</w:t>
      </w:r>
    </w:p>
    <w:p w14:paraId="063F28D1">
      <w:pPr>
        <w:spacing w:line="360" w:lineRule="auto"/>
        <w:ind w:firstLine="420" w:firstLineChars="200"/>
        <w:rPr>
          <w:rFonts w:hint="eastAsia" w:ascii="宋体" w:hAnsi="宋体"/>
          <w:szCs w:val="21"/>
        </w:rPr>
      </w:pPr>
      <w:r>
        <w:rPr>
          <w:rFonts w:hint="eastAsia" w:ascii="宋体" w:hAnsi="宋体"/>
          <w:szCs w:val="21"/>
        </w:rPr>
        <w:t>发包人应按合同约定向承包人及时支付合同价款。</w:t>
      </w:r>
    </w:p>
    <w:p w14:paraId="17ECC951">
      <w:pPr>
        <w:pStyle w:val="6"/>
        <w:spacing w:before="0" w:beforeAutospacing="0" w:after="0" w:afterAutospacing="0" w:line="360" w:lineRule="auto"/>
        <w:rPr>
          <w:rFonts w:hint="eastAsia"/>
        </w:rPr>
      </w:pPr>
      <w:r>
        <w:rPr>
          <w:rFonts w:hint="eastAsia"/>
        </w:rPr>
        <w:t>2.7 组织竣工验收</w:t>
      </w:r>
    </w:p>
    <w:p w14:paraId="3AF10BF1">
      <w:pPr>
        <w:spacing w:line="360" w:lineRule="auto"/>
        <w:ind w:firstLine="420" w:firstLineChars="200"/>
        <w:rPr>
          <w:rFonts w:hint="eastAsia" w:ascii="宋体" w:hAnsi="宋体"/>
          <w:szCs w:val="21"/>
        </w:rPr>
      </w:pPr>
      <w:r>
        <w:rPr>
          <w:rFonts w:hint="eastAsia" w:ascii="宋体" w:hAnsi="宋体"/>
          <w:szCs w:val="21"/>
        </w:rPr>
        <w:t>发包人应按合同约定及时组织竣工验收。</w:t>
      </w:r>
    </w:p>
    <w:p w14:paraId="7BFA8FD5">
      <w:pPr>
        <w:pStyle w:val="6"/>
        <w:spacing w:before="0" w:beforeAutospacing="0" w:after="0" w:afterAutospacing="0" w:line="360" w:lineRule="auto"/>
        <w:rPr>
          <w:rFonts w:hint="eastAsia"/>
        </w:rPr>
      </w:pPr>
      <w:r>
        <w:rPr>
          <w:rFonts w:hint="eastAsia"/>
        </w:rPr>
        <w:t>2.8 其他义务</w:t>
      </w:r>
    </w:p>
    <w:p w14:paraId="6765FF46">
      <w:pPr>
        <w:spacing w:line="360" w:lineRule="auto"/>
        <w:ind w:firstLine="420" w:firstLineChars="200"/>
        <w:rPr>
          <w:rFonts w:hint="eastAsia" w:ascii="宋体" w:hAnsi="宋体"/>
          <w:szCs w:val="21"/>
        </w:rPr>
      </w:pPr>
      <w:r>
        <w:rPr>
          <w:rFonts w:hint="eastAsia" w:ascii="宋体" w:hAnsi="宋体"/>
          <w:szCs w:val="21"/>
        </w:rPr>
        <w:t>发包人应履行合同约定的其他义务。</w:t>
      </w:r>
    </w:p>
    <w:p w14:paraId="4119F246">
      <w:pPr>
        <w:pStyle w:val="5"/>
        <w:spacing w:before="0" w:after="0" w:line="360" w:lineRule="auto"/>
        <w:rPr>
          <w:rFonts w:hint="eastAsia" w:ascii="宋体" w:hAnsi="宋体"/>
        </w:rPr>
      </w:pPr>
      <w:bookmarkStart w:id="463" w:name="_Toc184635100"/>
      <w:bookmarkStart w:id="464" w:name="_Toc6675"/>
      <w:bookmarkStart w:id="465" w:name="_Toc32558"/>
      <w:bookmarkStart w:id="466" w:name="_Toc57795942"/>
      <w:bookmarkStart w:id="467" w:name="_Toc24810"/>
      <w:r>
        <w:rPr>
          <w:rFonts w:hint="eastAsia" w:ascii="宋体" w:hAnsi="宋体"/>
        </w:rPr>
        <w:t>3、监理人</w:t>
      </w:r>
      <w:bookmarkEnd w:id="463"/>
      <w:bookmarkEnd w:id="464"/>
      <w:bookmarkEnd w:id="465"/>
      <w:bookmarkEnd w:id="466"/>
      <w:bookmarkEnd w:id="467"/>
    </w:p>
    <w:p w14:paraId="22C86CF9">
      <w:pPr>
        <w:pStyle w:val="6"/>
        <w:spacing w:before="0" w:beforeAutospacing="0" w:after="0" w:afterAutospacing="0" w:line="360" w:lineRule="auto"/>
        <w:rPr>
          <w:rFonts w:hint="eastAsia"/>
        </w:rPr>
      </w:pPr>
      <w:r>
        <w:rPr>
          <w:rFonts w:hint="eastAsia"/>
        </w:rPr>
        <w:t>3.1 监理人的职责和权力</w:t>
      </w:r>
    </w:p>
    <w:p w14:paraId="071AF528">
      <w:pPr>
        <w:spacing w:line="360" w:lineRule="auto"/>
        <w:ind w:firstLine="420" w:firstLineChars="200"/>
        <w:rPr>
          <w:rFonts w:hint="eastAsia" w:ascii="宋体" w:hAnsi="宋体"/>
          <w:szCs w:val="21"/>
        </w:rPr>
      </w:pPr>
      <w:r>
        <w:rPr>
          <w:rFonts w:hint="eastAsia" w:ascii="宋体" w:hAnsi="宋体"/>
          <w:szCs w:val="21"/>
        </w:rPr>
        <w:t>3.1.1 监理人受发包人委托，享有合同约定的权力。监理人在行使某项权力前需要经发包人事先批准而通用合同条款没有指明的，应在专用合同条款中指明。</w:t>
      </w:r>
    </w:p>
    <w:p w14:paraId="7AE299C3">
      <w:pPr>
        <w:spacing w:line="360" w:lineRule="auto"/>
        <w:ind w:firstLine="420" w:firstLineChars="200"/>
        <w:rPr>
          <w:rFonts w:hint="eastAsia" w:ascii="宋体" w:hAnsi="宋体"/>
          <w:szCs w:val="21"/>
        </w:rPr>
      </w:pPr>
      <w:r>
        <w:rPr>
          <w:rFonts w:hint="eastAsia" w:ascii="宋体" w:hAnsi="宋体"/>
          <w:szCs w:val="21"/>
        </w:rPr>
        <w:t>3.1.2 监理人发出的任何指示应视为已得到发包人的批准，但监理人无权免除或变更合同约定的发包人和承包人的权利、义务和责任。</w:t>
      </w:r>
    </w:p>
    <w:p w14:paraId="1E991690">
      <w:pPr>
        <w:spacing w:line="360" w:lineRule="auto"/>
        <w:ind w:firstLine="420" w:firstLineChars="200"/>
        <w:rPr>
          <w:rFonts w:hint="eastAsia" w:ascii="宋体" w:hAnsi="宋体"/>
          <w:szCs w:val="21"/>
        </w:rPr>
      </w:pPr>
      <w:r>
        <w:rPr>
          <w:rFonts w:hint="eastAsia" w:ascii="宋体" w:hAnsi="宋体"/>
          <w:szCs w:val="21"/>
        </w:rPr>
        <w:t>3.1.3 合同约定应由承包人承担的义务和责任，不因监理人对承包人提交文件的审查或批准，对工程、材料和设备的检查和检验，以及为实施监理作出的指示等职务行为而减轻或解除。</w:t>
      </w:r>
    </w:p>
    <w:p w14:paraId="1867D2A3">
      <w:pPr>
        <w:pStyle w:val="6"/>
        <w:spacing w:before="0" w:beforeAutospacing="0" w:after="0" w:afterAutospacing="0" w:line="360" w:lineRule="auto"/>
        <w:rPr>
          <w:rFonts w:hint="eastAsia"/>
        </w:rPr>
      </w:pPr>
      <w:r>
        <w:rPr>
          <w:rFonts w:hint="eastAsia"/>
        </w:rPr>
        <w:t>3.2 总监理工程师</w:t>
      </w:r>
    </w:p>
    <w:p w14:paraId="093F5261">
      <w:pPr>
        <w:spacing w:line="360" w:lineRule="auto"/>
        <w:ind w:firstLine="420" w:firstLineChars="200"/>
        <w:rPr>
          <w:rFonts w:hint="eastAsia" w:ascii="宋体" w:hAnsi="宋体"/>
          <w:szCs w:val="21"/>
        </w:rPr>
      </w:pPr>
      <w:r>
        <w:rPr>
          <w:rFonts w:hint="eastAsia" w:ascii="宋体" w:hAnsi="宋体"/>
          <w:szCs w:val="21"/>
        </w:rPr>
        <w:t>发包人应在发出开工通知前将总监理工程师的任命通知承包人。总监理工程师更换时，应在调离14 天前通知承包人。总监理工程师短期离开施工场地的，应委派代表代行其职责，并通知承包人。</w:t>
      </w:r>
    </w:p>
    <w:p w14:paraId="535AA574">
      <w:pPr>
        <w:pStyle w:val="6"/>
        <w:spacing w:before="0" w:beforeAutospacing="0" w:after="0" w:afterAutospacing="0" w:line="360" w:lineRule="auto"/>
        <w:rPr>
          <w:rFonts w:hint="eastAsia"/>
        </w:rPr>
      </w:pPr>
      <w:r>
        <w:rPr>
          <w:rFonts w:hint="eastAsia"/>
        </w:rPr>
        <w:t>3.3 监理人员</w:t>
      </w:r>
    </w:p>
    <w:p w14:paraId="282E8966">
      <w:pPr>
        <w:spacing w:line="360" w:lineRule="auto"/>
        <w:ind w:firstLine="420" w:firstLineChars="200"/>
        <w:rPr>
          <w:rFonts w:hint="eastAsia" w:ascii="宋体" w:hAnsi="宋体"/>
          <w:szCs w:val="21"/>
        </w:rPr>
      </w:pPr>
      <w:r>
        <w:rPr>
          <w:rFonts w:hint="eastAsia" w:ascii="宋体" w:hAnsi="宋体"/>
          <w:szCs w:val="21"/>
        </w:rPr>
        <w:t>3.3.1 总监理工程师可以授权其他监理人员负责执行其指派的一项或多项监理工作。总监理工程师应将被授权监理人员的姓名及其授权范围通知承包人。被授权的监理人员在授权范围内发出的指示视为己得到总监理工程师的同意，与总监理工程师发出的指示具有同等效力。总监理工程师撤销某项授权时，应将撤销授权的决定及时通知承包人。</w:t>
      </w:r>
    </w:p>
    <w:p w14:paraId="14C5F464">
      <w:pPr>
        <w:spacing w:line="360" w:lineRule="auto"/>
        <w:ind w:firstLine="420" w:firstLineChars="200"/>
        <w:rPr>
          <w:rFonts w:hint="eastAsia" w:ascii="宋体" w:hAnsi="宋体"/>
          <w:szCs w:val="21"/>
        </w:rPr>
      </w:pPr>
      <w:r>
        <w:rPr>
          <w:rFonts w:hint="eastAsia" w:ascii="宋体" w:hAnsi="宋体"/>
          <w:szCs w:val="21"/>
        </w:rPr>
        <w:t>3.3.2 监理人员对承包人的任何工作、工程或其采用的材料和工程设备未在约定的或合理的期限内提出否定意见的，视为已获批准，但不影响监理人在以后拒绝该项工作、工程、材料或工程设备的权利。</w:t>
      </w:r>
    </w:p>
    <w:p w14:paraId="784D99DF">
      <w:pPr>
        <w:spacing w:line="360" w:lineRule="auto"/>
        <w:ind w:firstLine="420" w:firstLineChars="200"/>
        <w:rPr>
          <w:rFonts w:hint="eastAsia" w:ascii="宋体" w:hAnsi="宋体"/>
          <w:szCs w:val="21"/>
        </w:rPr>
      </w:pPr>
      <w:r>
        <w:rPr>
          <w:rFonts w:hint="eastAsia" w:ascii="宋体" w:hAnsi="宋体"/>
          <w:szCs w:val="21"/>
        </w:rPr>
        <w:t>3.3.3 承包人对总监理工程师授权的监理人员发出的指示有疑问的，可向总监理工程师提出书面异议，总监理工程师应在48小时内对该指示予以确认、更改或撤销。</w:t>
      </w:r>
    </w:p>
    <w:p w14:paraId="1FA15A1E">
      <w:pPr>
        <w:spacing w:line="360" w:lineRule="auto"/>
        <w:ind w:firstLine="420" w:firstLineChars="200"/>
        <w:rPr>
          <w:rFonts w:hint="eastAsia" w:ascii="宋体" w:hAnsi="宋体"/>
          <w:szCs w:val="21"/>
        </w:rPr>
      </w:pPr>
      <w:r>
        <w:rPr>
          <w:rFonts w:hint="eastAsia" w:ascii="宋体" w:hAnsi="宋体"/>
          <w:szCs w:val="21"/>
        </w:rPr>
        <w:t>3.3.4 除专用合同条款另有约定外，总监理工程师不应将第3.5 款约定应由总监理工程师作出确定的权力授权或委托给其他监理人员。</w:t>
      </w:r>
    </w:p>
    <w:p w14:paraId="740A2B17">
      <w:pPr>
        <w:pStyle w:val="6"/>
        <w:spacing w:before="0" w:beforeAutospacing="0" w:after="0" w:afterAutospacing="0" w:line="360" w:lineRule="auto"/>
        <w:rPr>
          <w:rFonts w:hint="eastAsia"/>
        </w:rPr>
      </w:pPr>
      <w:r>
        <w:rPr>
          <w:rFonts w:hint="eastAsia"/>
        </w:rPr>
        <w:t>3.4 监理人的指示</w:t>
      </w:r>
    </w:p>
    <w:p w14:paraId="5059F058">
      <w:pPr>
        <w:spacing w:line="360" w:lineRule="auto"/>
        <w:ind w:firstLine="420" w:firstLineChars="200"/>
        <w:rPr>
          <w:rFonts w:hint="eastAsia" w:ascii="宋体" w:hAnsi="宋体"/>
          <w:szCs w:val="21"/>
        </w:rPr>
      </w:pPr>
      <w:r>
        <w:rPr>
          <w:rFonts w:hint="eastAsia" w:ascii="宋体" w:hAnsi="宋体"/>
          <w:szCs w:val="21"/>
        </w:rPr>
        <w:t>3.4.1 监理人应按第3.1 款的约定向承包人发出指示，监理人的指示应盖有监理人授权的施工场地机构章，并由总监理工程师或总监理工程师按第3.3.1 项约定授权的监理人员签名。</w:t>
      </w:r>
    </w:p>
    <w:p w14:paraId="0DE78D5C">
      <w:pPr>
        <w:spacing w:line="360" w:lineRule="auto"/>
        <w:ind w:firstLine="420" w:firstLineChars="200"/>
        <w:rPr>
          <w:rFonts w:hint="eastAsia" w:ascii="宋体" w:hAnsi="宋体"/>
          <w:szCs w:val="21"/>
        </w:rPr>
      </w:pPr>
      <w:r>
        <w:rPr>
          <w:rFonts w:hint="eastAsia" w:ascii="宋体" w:hAnsi="宋体"/>
          <w:szCs w:val="21"/>
        </w:rPr>
        <w:t>3.4.2 承包人收到监理人按第3.4.1 项作出的指示后应遵照执行。指示构成变更的，应按第15条处理。</w:t>
      </w:r>
    </w:p>
    <w:p w14:paraId="563BE02D">
      <w:pPr>
        <w:spacing w:line="360" w:lineRule="auto"/>
        <w:ind w:firstLine="420" w:firstLineChars="200"/>
        <w:rPr>
          <w:rFonts w:hint="eastAsia" w:ascii="宋体" w:hAnsi="宋体"/>
          <w:szCs w:val="21"/>
        </w:rPr>
      </w:pPr>
      <w:r>
        <w:rPr>
          <w:rFonts w:hint="eastAsia" w:ascii="宋体" w:hAnsi="宋体"/>
          <w:szCs w:val="21"/>
        </w:rPr>
        <w:t>3.4.3 在紧急情况下，总监理工程师或被授权的监理人员可以当场签发临时书面指示，承包人应遵照执行。承包人应在收到上述临时书面指示后24小时内，向监理人发出书面确认函。监理人在收到书面确认函后24小时内未予答复的，该书面确认函应被视为监理人的正式指示。</w:t>
      </w:r>
    </w:p>
    <w:p w14:paraId="7A3189B2">
      <w:pPr>
        <w:spacing w:line="360" w:lineRule="auto"/>
        <w:ind w:firstLine="420" w:firstLineChars="200"/>
        <w:rPr>
          <w:rFonts w:ascii="宋体" w:hAnsi="宋体"/>
          <w:szCs w:val="21"/>
        </w:rPr>
      </w:pPr>
      <w:r>
        <w:rPr>
          <w:rFonts w:hint="eastAsia" w:ascii="宋体" w:hAnsi="宋体"/>
          <w:szCs w:val="21"/>
        </w:rPr>
        <w:t>3.4.4 除合同另有约定外，承包人只从总监理工程师或按第3.3.1 项被授权的监理人员处取得指示。</w:t>
      </w:r>
    </w:p>
    <w:p w14:paraId="5463C484">
      <w:pPr>
        <w:spacing w:line="360" w:lineRule="auto"/>
        <w:ind w:firstLine="420" w:firstLineChars="200"/>
        <w:rPr>
          <w:rFonts w:hint="eastAsia" w:ascii="宋体" w:hAnsi="宋体"/>
          <w:szCs w:val="21"/>
        </w:rPr>
      </w:pPr>
      <w:r>
        <w:rPr>
          <w:rFonts w:hint="eastAsia" w:ascii="宋体" w:hAnsi="宋体"/>
          <w:szCs w:val="21"/>
        </w:rPr>
        <w:t>3.4.5 由于监理人未能按合同约定发出指示、指示延误或指示错误而导致承包人费用增加和（或）工期延误的，由发包人承担赔偿责任。</w:t>
      </w:r>
    </w:p>
    <w:p w14:paraId="2636684F">
      <w:pPr>
        <w:pStyle w:val="6"/>
        <w:spacing w:before="0" w:beforeAutospacing="0" w:after="0" w:afterAutospacing="0" w:line="360" w:lineRule="auto"/>
        <w:rPr>
          <w:rFonts w:hint="eastAsia"/>
        </w:rPr>
      </w:pPr>
      <w:r>
        <w:rPr>
          <w:rFonts w:hint="eastAsia"/>
        </w:rPr>
        <w:t>3.5 商定或确定</w:t>
      </w:r>
    </w:p>
    <w:p w14:paraId="2497FE5B">
      <w:pPr>
        <w:spacing w:line="360" w:lineRule="auto"/>
        <w:ind w:firstLine="420" w:firstLineChars="200"/>
        <w:rPr>
          <w:rFonts w:hint="eastAsia" w:ascii="宋体" w:hAnsi="宋体"/>
          <w:szCs w:val="21"/>
        </w:rPr>
      </w:pPr>
      <w:r>
        <w:rPr>
          <w:rFonts w:hint="eastAsia" w:ascii="宋体" w:hAnsi="宋体"/>
          <w:szCs w:val="21"/>
        </w:rPr>
        <w:t>3.5.1 合同约定总监理工程师应按照本款对任何事项进行商定或确定时，总监理工程师应与合同当事人协商，尽量达成一致。不能达成一致的，总监理工程师应认真研究后审慎确定。</w:t>
      </w:r>
    </w:p>
    <w:p w14:paraId="196B703E">
      <w:pPr>
        <w:spacing w:line="360" w:lineRule="auto"/>
        <w:ind w:firstLine="420" w:firstLineChars="200"/>
        <w:rPr>
          <w:rFonts w:hint="eastAsia" w:ascii="宋体" w:hAnsi="宋体"/>
          <w:szCs w:val="21"/>
        </w:rPr>
      </w:pPr>
      <w:r>
        <w:rPr>
          <w:rFonts w:hint="eastAsia" w:ascii="宋体" w:hAnsi="宋体"/>
          <w:szCs w:val="21"/>
        </w:rPr>
        <w:t>3.5.2 总监理工程师应将商定或确定的事项通知合同当事人，并附详细依据。对总监理工程师的确定有异议的，构成争议，按照第24 条的约定处理。在争议解决前，双方应暂按总监理工程师的确定执行，按照第24 条的约定对总监理工程师的确定作出修改的，按修改后的结果执行。</w:t>
      </w:r>
    </w:p>
    <w:p w14:paraId="2D1E3911">
      <w:pPr>
        <w:pStyle w:val="5"/>
        <w:spacing w:before="0" w:after="0" w:line="360" w:lineRule="auto"/>
        <w:rPr>
          <w:rFonts w:hint="eastAsia" w:ascii="宋体" w:hAnsi="宋体"/>
        </w:rPr>
      </w:pPr>
      <w:bookmarkStart w:id="468" w:name="_Toc57795943"/>
      <w:bookmarkStart w:id="469" w:name="_Toc184635101"/>
      <w:bookmarkStart w:id="470" w:name="_Toc21598"/>
      <w:bookmarkStart w:id="471" w:name="_Toc20098"/>
      <w:bookmarkStart w:id="472" w:name="_Toc20761"/>
      <w:r>
        <w:rPr>
          <w:rFonts w:hint="eastAsia" w:ascii="宋体" w:hAnsi="宋体"/>
        </w:rPr>
        <w:t>4、承包人</w:t>
      </w:r>
      <w:bookmarkEnd w:id="468"/>
      <w:bookmarkEnd w:id="469"/>
      <w:bookmarkEnd w:id="470"/>
      <w:bookmarkEnd w:id="471"/>
      <w:bookmarkEnd w:id="472"/>
    </w:p>
    <w:p w14:paraId="21F7DCD3">
      <w:pPr>
        <w:pStyle w:val="6"/>
        <w:spacing w:before="0" w:beforeAutospacing="0" w:after="0" w:afterAutospacing="0" w:line="360" w:lineRule="auto"/>
        <w:rPr>
          <w:rFonts w:hint="eastAsia"/>
        </w:rPr>
      </w:pPr>
      <w:r>
        <w:rPr>
          <w:rFonts w:hint="eastAsia"/>
        </w:rPr>
        <w:t>4.1 承包人的一般义务</w:t>
      </w:r>
    </w:p>
    <w:p w14:paraId="4F9B59CB">
      <w:pPr>
        <w:spacing w:line="360" w:lineRule="auto"/>
        <w:ind w:firstLine="420" w:firstLineChars="200"/>
        <w:rPr>
          <w:rFonts w:hint="eastAsia" w:ascii="宋体" w:hAnsi="宋体"/>
          <w:szCs w:val="21"/>
        </w:rPr>
      </w:pPr>
      <w:r>
        <w:rPr>
          <w:rFonts w:hint="eastAsia" w:ascii="宋体" w:hAnsi="宋体"/>
          <w:szCs w:val="21"/>
        </w:rPr>
        <w:t>4.1.1 遵守法律</w:t>
      </w:r>
    </w:p>
    <w:p w14:paraId="1571C4A2">
      <w:pPr>
        <w:spacing w:line="360" w:lineRule="auto"/>
        <w:ind w:firstLine="420" w:firstLineChars="200"/>
        <w:rPr>
          <w:rFonts w:hint="eastAsia" w:ascii="宋体" w:hAnsi="宋体"/>
          <w:szCs w:val="21"/>
        </w:rPr>
      </w:pPr>
      <w:r>
        <w:rPr>
          <w:rFonts w:hint="eastAsia" w:ascii="宋体" w:hAnsi="宋体"/>
          <w:szCs w:val="21"/>
        </w:rPr>
        <w:t>承包人在履行合同过程中应遵守法律，并保证发包人免于承担因承包人违反法律而引起的任何责任。</w:t>
      </w:r>
    </w:p>
    <w:p w14:paraId="591149FD">
      <w:pPr>
        <w:spacing w:line="360" w:lineRule="auto"/>
        <w:ind w:firstLine="420" w:firstLineChars="200"/>
        <w:rPr>
          <w:rFonts w:hint="eastAsia" w:ascii="宋体" w:hAnsi="宋体"/>
          <w:szCs w:val="21"/>
        </w:rPr>
      </w:pPr>
      <w:r>
        <w:rPr>
          <w:rFonts w:hint="eastAsia" w:ascii="宋体" w:hAnsi="宋体"/>
          <w:szCs w:val="21"/>
        </w:rPr>
        <w:t>4.1.2 依法纳税</w:t>
      </w:r>
    </w:p>
    <w:p w14:paraId="75D3E7B6">
      <w:pPr>
        <w:spacing w:line="360" w:lineRule="auto"/>
        <w:ind w:firstLine="420" w:firstLineChars="200"/>
        <w:rPr>
          <w:rFonts w:hint="eastAsia" w:ascii="宋体" w:hAnsi="宋体"/>
          <w:szCs w:val="21"/>
        </w:rPr>
      </w:pPr>
      <w:r>
        <w:rPr>
          <w:rFonts w:hint="eastAsia" w:ascii="宋体" w:hAnsi="宋体"/>
          <w:szCs w:val="21"/>
        </w:rPr>
        <w:t>承包人应按有关法律规定纳税，应交纳的税金包括在合同价格内。</w:t>
      </w:r>
    </w:p>
    <w:p w14:paraId="1C7ADDFF">
      <w:pPr>
        <w:spacing w:line="360" w:lineRule="auto"/>
        <w:ind w:firstLine="420" w:firstLineChars="200"/>
        <w:rPr>
          <w:rFonts w:hint="eastAsia" w:ascii="宋体" w:hAnsi="宋体"/>
          <w:szCs w:val="21"/>
        </w:rPr>
      </w:pPr>
      <w:r>
        <w:rPr>
          <w:rFonts w:hint="eastAsia" w:ascii="宋体" w:hAnsi="宋体"/>
          <w:szCs w:val="21"/>
        </w:rPr>
        <w:t>4.1.3 完成各项承包工作</w:t>
      </w:r>
    </w:p>
    <w:p w14:paraId="108048A5">
      <w:pPr>
        <w:spacing w:line="360" w:lineRule="auto"/>
        <w:ind w:firstLine="420" w:firstLineChars="200"/>
        <w:rPr>
          <w:rFonts w:hint="eastAsia" w:ascii="宋体" w:hAnsi="宋体"/>
          <w:szCs w:val="21"/>
        </w:rPr>
      </w:pPr>
      <w:r>
        <w:rPr>
          <w:rFonts w:hint="eastAsia" w:ascii="宋体" w:hAnsi="宋体"/>
          <w:szCs w:val="21"/>
        </w:rPr>
        <w:t>承包人应按合同约定以及监理人根据第3.4 款作出的指示，实施、完成全部工程，并修补工程中的任何缺陷。除专用合同条款另有约定外，承包人应提供为完成合同工作所需的劳务、材料、施工设备、工程设备和其他物品，并按合同约定负责临时设施的设计、建造、运行、维护、管理和拆除。</w:t>
      </w:r>
    </w:p>
    <w:p w14:paraId="1932A13C">
      <w:pPr>
        <w:spacing w:line="360" w:lineRule="auto"/>
        <w:ind w:firstLine="420" w:firstLineChars="200"/>
        <w:rPr>
          <w:rFonts w:hint="eastAsia" w:ascii="宋体" w:hAnsi="宋体"/>
          <w:szCs w:val="21"/>
        </w:rPr>
      </w:pPr>
      <w:r>
        <w:rPr>
          <w:rFonts w:hint="eastAsia" w:ascii="宋体" w:hAnsi="宋体"/>
          <w:szCs w:val="21"/>
        </w:rPr>
        <w:t>4.1.4 对施工作业和施工方法的完备性负责</w:t>
      </w:r>
    </w:p>
    <w:p w14:paraId="14991B39">
      <w:pPr>
        <w:spacing w:line="360" w:lineRule="auto"/>
        <w:ind w:firstLine="420" w:firstLineChars="200"/>
        <w:rPr>
          <w:rFonts w:hint="eastAsia" w:ascii="宋体" w:hAnsi="宋体"/>
          <w:szCs w:val="21"/>
        </w:rPr>
      </w:pPr>
      <w:r>
        <w:rPr>
          <w:rFonts w:hint="eastAsia" w:ascii="宋体" w:hAnsi="宋体"/>
          <w:szCs w:val="21"/>
        </w:rPr>
        <w:t>承包人应按合同约定的工作内容和施工进度要求，编制施工组织设计和施工措施计划，并对所有施工作业和施工方法的完备性和安全可靠性负责。</w:t>
      </w:r>
    </w:p>
    <w:p w14:paraId="71EDC825">
      <w:pPr>
        <w:spacing w:line="360" w:lineRule="auto"/>
        <w:ind w:firstLine="420" w:firstLineChars="200"/>
        <w:rPr>
          <w:rFonts w:hint="eastAsia" w:ascii="宋体" w:hAnsi="宋体"/>
          <w:szCs w:val="21"/>
        </w:rPr>
      </w:pPr>
      <w:r>
        <w:rPr>
          <w:rFonts w:hint="eastAsia" w:ascii="宋体" w:hAnsi="宋体"/>
          <w:szCs w:val="21"/>
        </w:rPr>
        <w:t>4.1.5 保证工程施工和人员的安全</w:t>
      </w:r>
    </w:p>
    <w:p w14:paraId="5B21D4D1">
      <w:pPr>
        <w:spacing w:line="360" w:lineRule="auto"/>
        <w:ind w:firstLine="420" w:firstLineChars="200"/>
        <w:rPr>
          <w:rFonts w:hint="eastAsia" w:ascii="宋体" w:hAnsi="宋体"/>
          <w:szCs w:val="21"/>
        </w:rPr>
      </w:pPr>
      <w:r>
        <w:rPr>
          <w:rFonts w:hint="eastAsia" w:ascii="宋体" w:hAnsi="宋体"/>
          <w:szCs w:val="21"/>
        </w:rPr>
        <w:t>承包人应按第9.2 款约定采取施工安全措施，确保工程及其人员、材料、设备和设施的安全，防止因工程施工造成的人身伤害和财产损失。</w:t>
      </w:r>
    </w:p>
    <w:p w14:paraId="382C0653">
      <w:pPr>
        <w:spacing w:line="360" w:lineRule="auto"/>
        <w:ind w:firstLine="420" w:firstLineChars="200"/>
        <w:rPr>
          <w:rFonts w:hint="eastAsia" w:ascii="宋体" w:hAnsi="宋体"/>
          <w:szCs w:val="21"/>
        </w:rPr>
      </w:pPr>
      <w:r>
        <w:rPr>
          <w:rFonts w:hint="eastAsia" w:ascii="宋体" w:hAnsi="宋体"/>
          <w:szCs w:val="21"/>
        </w:rPr>
        <w:t>4.1.6 负责施工场地及其周边环境与生态的保护工作</w:t>
      </w:r>
    </w:p>
    <w:p w14:paraId="2F338F50">
      <w:pPr>
        <w:spacing w:line="360" w:lineRule="auto"/>
        <w:ind w:firstLine="420" w:firstLineChars="200"/>
        <w:rPr>
          <w:rFonts w:hint="eastAsia" w:ascii="宋体" w:hAnsi="宋体"/>
          <w:szCs w:val="21"/>
        </w:rPr>
      </w:pPr>
      <w:r>
        <w:rPr>
          <w:rFonts w:hint="eastAsia" w:ascii="宋体" w:hAnsi="宋体"/>
          <w:szCs w:val="21"/>
        </w:rPr>
        <w:t>承包人应按照第9.4 款约定负责施工场地及其周边环境与生态的保护工作。</w:t>
      </w:r>
    </w:p>
    <w:p w14:paraId="76B9CB20">
      <w:pPr>
        <w:spacing w:line="360" w:lineRule="auto"/>
        <w:ind w:firstLine="420" w:firstLineChars="200"/>
        <w:rPr>
          <w:rFonts w:hint="eastAsia" w:ascii="宋体" w:hAnsi="宋体"/>
          <w:szCs w:val="21"/>
        </w:rPr>
      </w:pPr>
      <w:r>
        <w:rPr>
          <w:rFonts w:hint="eastAsia" w:ascii="宋体" w:hAnsi="宋体"/>
          <w:szCs w:val="21"/>
        </w:rPr>
        <w:t>4.1.7 避免施工对公众与他人的利益造成损害</w:t>
      </w:r>
    </w:p>
    <w:p w14:paraId="35CD3997">
      <w:pPr>
        <w:spacing w:line="360" w:lineRule="auto"/>
        <w:ind w:firstLine="420" w:firstLineChars="200"/>
        <w:rPr>
          <w:rFonts w:ascii="宋体" w:hAnsi="宋体"/>
          <w:szCs w:val="21"/>
        </w:rPr>
      </w:pPr>
      <w:r>
        <w:rPr>
          <w:rFonts w:hint="eastAsia" w:ascii="宋体" w:hAnsi="宋体"/>
          <w:szCs w:val="21"/>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1F58111">
      <w:pPr>
        <w:spacing w:line="360" w:lineRule="auto"/>
        <w:ind w:firstLine="420" w:firstLineChars="200"/>
        <w:rPr>
          <w:rFonts w:hint="eastAsia" w:ascii="宋体" w:hAnsi="宋体"/>
          <w:szCs w:val="21"/>
        </w:rPr>
      </w:pPr>
      <w:r>
        <w:rPr>
          <w:rFonts w:hint="eastAsia" w:ascii="宋体" w:hAnsi="宋体"/>
          <w:szCs w:val="21"/>
        </w:rPr>
        <w:t>4.1.8 为他人提供方便</w:t>
      </w:r>
    </w:p>
    <w:p w14:paraId="6CB7A56A">
      <w:pPr>
        <w:spacing w:line="360" w:lineRule="auto"/>
        <w:ind w:firstLine="420" w:firstLineChars="200"/>
        <w:rPr>
          <w:rFonts w:hint="eastAsia" w:ascii="宋体" w:hAnsi="宋体"/>
          <w:szCs w:val="21"/>
        </w:rPr>
      </w:pPr>
      <w:r>
        <w:rPr>
          <w:rFonts w:hint="eastAsia" w:ascii="宋体" w:hAnsi="宋体"/>
          <w:szCs w:val="21"/>
        </w:rPr>
        <w:t>承包人应按监理人的指示为他人在施工场地或附近实施与工程有关的其他各项工作提供可能的条件。除合同另有约定外，提供有关条件的内容和可能发生的费用，由监理人按第3.5 款商定或确定。</w:t>
      </w:r>
    </w:p>
    <w:p w14:paraId="6AB99BF5">
      <w:pPr>
        <w:spacing w:line="360" w:lineRule="auto"/>
        <w:ind w:firstLine="420" w:firstLineChars="200"/>
        <w:rPr>
          <w:rFonts w:hint="eastAsia" w:ascii="宋体" w:hAnsi="宋体"/>
          <w:szCs w:val="21"/>
        </w:rPr>
      </w:pPr>
      <w:r>
        <w:rPr>
          <w:rFonts w:hint="eastAsia" w:ascii="宋体" w:hAnsi="宋体"/>
          <w:szCs w:val="21"/>
        </w:rPr>
        <w:t>4.1.9 工程的维护和照管</w:t>
      </w:r>
    </w:p>
    <w:p w14:paraId="5A8D5F67">
      <w:pPr>
        <w:spacing w:line="360" w:lineRule="auto"/>
        <w:ind w:firstLine="420" w:firstLineChars="200"/>
        <w:rPr>
          <w:rFonts w:hint="eastAsia" w:ascii="宋体" w:hAnsi="宋体"/>
          <w:szCs w:val="21"/>
        </w:rPr>
      </w:pPr>
      <w:r>
        <w:rPr>
          <w:rFonts w:hint="eastAsia" w:ascii="宋体" w:hAnsi="宋体"/>
          <w:szCs w:val="21"/>
        </w:rPr>
        <w:t>工程接收证书颁发前，承包人应负责照管和维护工程。工程接收证书颁发时尚有部分未竣工工程的，承包人还应负责该未竣工工程的照管和维护工作，直至竣工后移交给发包人为止。</w:t>
      </w:r>
    </w:p>
    <w:p w14:paraId="46DE8122">
      <w:pPr>
        <w:spacing w:line="360" w:lineRule="auto"/>
        <w:ind w:firstLine="420" w:firstLineChars="200"/>
        <w:rPr>
          <w:rFonts w:hint="eastAsia" w:ascii="宋体" w:hAnsi="宋体"/>
          <w:szCs w:val="21"/>
        </w:rPr>
      </w:pPr>
      <w:r>
        <w:rPr>
          <w:rFonts w:hint="eastAsia" w:ascii="宋体" w:hAnsi="宋体"/>
          <w:szCs w:val="21"/>
        </w:rPr>
        <w:t>4.1.10 其他义务</w:t>
      </w:r>
    </w:p>
    <w:p w14:paraId="0FE0B69C">
      <w:pPr>
        <w:spacing w:line="360" w:lineRule="auto"/>
        <w:ind w:firstLine="420" w:firstLineChars="200"/>
        <w:rPr>
          <w:rFonts w:hint="eastAsia" w:ascii="宋体" w:hAnsi="宋体"/>
          <w:szCs w:val="21"/>
        </w:rPr>
      </w:pPr>
      <w:r>
        <w:rPr>
          <w:rFonts w:hint="eastAsia" w:ascii="宋体" w:hAnsi="宋体"/>
          <w:szCs w:val="21"/>
        </w:rPr>
        <w:t>承包人应履行合同约定的其他义务。</w:t>
      </w:r>
    </w:p>
    <w:p w14:paraId="405D7F3F">
      <w:pPr>
        <w:pStyle w:val="6"/>
        <w:spacing w:before="0" w:beforeAutospacing="0" w:after="0" w:afterAutospacing="0" w:line="360" w:lineRule="auto"/>
        <w:rPr>
          <w:rFonts w:hint="eastAsia"/>
        </w:rPr>
      </w:pPr>
      <w:r>
        <w:rPr>
          <w:rFonts w:hint="eastAsia"/>
        </w:rPr>
        <w:t>4.2 履约保证金</w:t>
      </w:r>
    </w:p>
    <w:p w14:paraId="18E474B1">
      <w:pPr>
        <w:spacing w:line="360" w:lineRule="auto"/>
        <w:ind w:firstLine="420" w:firstLineChars="200"/>
        <w:rPr>
          <w:rFonts w:hint="eastAsia" w:ascii="宋体" w:hAnsi="宋体"/>
          <w:szCs w:val="21"/>
        </w:rPr>
      </w:pPr>
      <w:r>
        <w:rPr>
          <w:rFonts w:hint="eastAsia" w:ascii="宋体" w:hAnsi="宋体"/>
          <w:szCs w:val="21"/>
        </w:rPr>
        <w:t>承包人应保证其履约保证金在发包人颁发工程接收证书前一直有效。发包人应在工程接收证书颁发后28 天内把履约保证金退还给承包人。</w:t>
      </w:r>
    </w:p>
    <w:p w14:paraId="1869DBA6">
      <w:pPr>
        <w:pStyle w:val="6"/>
        <w:spacing w:before="0" w:beforeAutospacing="0" w:after="0" w:afterAutospacing="0" w:line="360" w:lineRule="auto"/>
        <w:rPr>
          <w:rFonts w:hint="eastAsia"/>
        </w:rPr>
      </w:pPr>
      <w:r>
        <w:rPr>
          <w:rFonts w:hint="eastAsia"/>
        </w:rPr>
        <w:t>4.3 分包</w:t>
      </w:r>
    </w:p>
    <w:p w14:paraId="103D9EE0">
      <w:pPr>
        <w:spacing w:line="360" w:lineRule="auto"/>
        <w:ind w:firstLine="420" w:firstLineChars="200"/>
        <w:rPr>
          <w:rFonts w:hint="eastAsia" w:ascii="宋体" w:hAnsi="宋体"/>
          <w:szCs w:val="21"/>
        </w:rPr>
      </w:pPr>
      <w:r>
        <w:rPr>
          <w:rFonts w:hint="eastAsia" w:ascii="宋体" w:hAnsi="宋体"/>
          <w:szCs w:val="21"/>
        </w:rPr>
        <w:t>4.3.1 承包人不得将其承包的全部工程转包给第三人，或将其承包的全部工程肢解后以分包的名义转包给第三人。</w:t>
      </w:r>
    </w:p>
    <w:p w14:paraId="68207FF7">
      <w:pPr>
        <w:spacing w:line="360" w:lineRule="auto"/>
        <w:ind w:firstLine="420" w:firstLineChars="200"/>
        <w:rPr>
          <w:rFonts w:hint="eastAsia" w:ascii="宋体" w:hAnsi="宋体"/>
          <w:szCs w:val="21"/>
        </w:rPr>
      </w:pPr>
      <w:r>
        <w:rPr>
          <w:rFonts w:hint="eastAsia" w:ascii="宋体" w:hAnsi="宋体"/>
          <w:szCs w:val="21"/>
        </w:rPr>
        <w:t>4.3.2 承包人不得将工程主体、关键性工作分包给第三人。除专用合同条款另有约定外，未经发包人同意，承包人不得将工程的其他部分或工作分包给第三人。</w:t>
      </w:r>
    </w:p>
    <w:p w14:paraId="51C08B34">
      <w:pPr>
        <w:spacing w:line="360" w:lineRule="auto"/>
        <w:ind w:firstLine="420" w:firstLineChars="200"/>
        <w:rPr>
          <w:rFonts w:hint="eastAsia" w:ascii="宋体" w:hAnsi="宋体"/>
          <w:szCs w:val="21"/>
        </w:rPr>
      </w:pPr>
      <w:r>
        <w:rPr>
          <w:rFonts w:hint="eastAsia" w:ascii="宋体" w:hAnsi="宋体"/>
          <w:szCs w:val="21"/>
        </w:rPr>
        <w:t>4.3.3 分包人的资格能力应与其分包工程的标准和规模相适应。</w:t>
      </w:r>
    </w:p>
    <w:p w14:paraId="734A5322">
      <w:pPr>
        <w:spacing w:line="360" w:lineRule="auto"/>
        <w:ind w:firstLine="420" w:firstLineChars="200"/>
        <w:rPr>
          <w:rFonts w:hint="eastAsia" w:ascii="宋体" w:hAnsi="宋体"/>
          <w:szCs w:val="21"/>
        </w:rPr>
      </w:pPr>
      <w:r>
        <w:rPr>
          <w:rFonts w:hint="eastAsia" w:ascii="宋体" w:hAnsi="宋体"/>
          <w:szCs w:val="21"/>
        </w:rPr>
        <w:t>4.3.4 按投标函附录约定分包工程的，承包人应向发包人和监理人提交分包合同副本。</w:t>
      </w:r>
    </w:p>
    <w:p w14:paraId="6A6E6238">
      <w:pPr>
        <w:spacing w:line="360" w:lineRule="auto"/>
        <w:ind w:firstLine="420" w:firstLineChars="200"/>
        <w:rPr>
          <w:rFonts w:hint="eastAsia" w:ascii="宋体" w:hAnsi="宋体"/>
          <w:szCs w:val="21"/>
        </w:rPr>
      </w:pPr>
      <w:r>
        <w:rPr>
          <w:rFonts w:hint="eastAsia" w:ascii="宋体" w:hAnsi="宋体"/>
          <w:szCs w:val="21"/>
        </w:rPr>
        <w:t>4.3.5 承包人应与分包人就分包工程向发包人承担连带责任。</w:t>
      </w:r>
    </w:p>
    <w:p w14:paraId="3553A128">
      <w:pPr>
        <w:pStyle w:val="6"/>
        <w:spacing w:before="0" w:beforeAutospacing="0" w:after="0" w:afterAutospacing="0" w:line="360" w:lineRule="auto"/>
        <w:rPr>
          <w:rFonts w:hint="eastAsia"/>
        </w:rPr>
      </w:pPr>
      <w:r>
        <w:rPr>
          <w:rFonts w:hint="eastAsia"/>
        </w:rPr>
        <w:t>4.4 联合体</w:t>
      </w:r>
    </w:p>
    <w:p w14:paraId="3ADC0266">
      <w:pPr>
        <w:spacing w:line="360" w:lineRule="auto"/>
        <w:ind w:firstLine="420" w:firstLineChars="200"/>
        <w:rPr>
          <w:rFonts w:hint="eastAsia" w:ascii="宋体" w:hAnsi="宋体"/>
          <w:szCs w:val="21"/>
        </w:rPr>
      </w:pPr>
      <w:r>
        <w:rPr>
          <w:rFonts w:hint="eastAsia" w:ascii="宋体" w:hAnsi="宋体"/>
          <w:szCs w:val="21"/>
        </w:rPr>
        <w:t>4.4.1 联合体各方应共同与发包人签订合同协议书。联合体各方应为履行合同承担连带责任。</w:t>
      </w:r>
    </w:p>
    <w:p w14:paraId="3B165072">
      <w:pPr>
        <w:spacing w:line="360" w:lineRule="auto"/>
        <w:ind w:firstLine="420" w:firstLineChars="200"/>
        <w:rPr>
          <w:rFonts w:hint="eastAsia" w:ascii="宋体" w:hAnsi="宋体"/>
          <w:szCs w:val="21"/>
        </w:rPr>
      </w:pPr>
      <w:r>
        <w:rPr>
          <w:rFonts w:hint="eastAsia" w:ascii="宋体" w:hAnsi="宋体"/>
          <w:szCs w:val="21"/>
        </w:rPr>
        <w:t>4.4.2 联合体协议经发包人确认后作为合同附件。在履行合同过程中，未经发包人同意，不得修改联合体协议。</w:t>
      </w:r>
    </w:p>
    <w:p w14:paraId="04B47B34">
      <w:pPr>
        <w:spacing w:line="360" w:lineRule="auto"/>
        <w:ind w:firstLine="420" w:firstLineChars="200"/>
        <w:rPr>
          <w:rFonts w:hint="eastAsia" w:ascii="宋体" w:hAnsi="宋体"/>
          <w:szCs w:val="21"/>
        </w:rPr>
      </w:pPr>
      <w:r>
        <w:rPr>
          <w:rFonts w:hint="eastAsia" w:ascii="宋体" w:hAnsi="宋体"/>
          <w:szCs w:val="21"/>
        </w:rPr>
        <w:t>4.4.3 联合体牵头人负责与发包人和监理人联系，并接受指示，负责组织联合体各成员全面履行合同。</w:t>
      </w:r>
    </w:p>
    <w:p w14:paraId="47AD38BE">
      <w:pPr>
        <w:pStyle w:val="6"/>
        <w:spacing w:before="0" w:beforeAutospacing="0" w:after="0" w:afterAutospacing="0" w:line="360" w:lineRule="auto"/>
        <w:rPr>
          <w:rFonts w:hint="eastAsia"/>
        </w:rPr>
      </w:pPr>
      <w:r>
        <w:rPr>
          <w:rFonts w:hint="eastAsia"/>
        </w:rPr>
        <w:t>4.5 承包人项目经理</w:t>
      </w:r>
    </w:p>
    <w:p w14:paraId="729CC848">
      <w:pPr>
        <w:spacing w:line="360" w:lineRule="auto"/>
        <w:ind w:firstLine="420" w:firstLineChars="200"/>
        <w:rPr>
          <w:rFonts w:hint="eastAsia" w:ascii="宋体" w:hAnsi="宋体"/>
          <w:szCs w:val="21"/>
        </w:rPr>
      </w:pPr>
      <w:r>
        <w:rPr>
          <w:rFonts w:hint="eastAsia" w:ascii="宋体" w:hAnsi="宋体"/>
          <w:szCs w:val="21"/>
        </w:rPr>
        <w:t>4.5.1 承包人应按合同约定指派项目经理，并在约定的期限内到职。承包人更换项目经理应事先征得发包人同意，并应在更换14天前通知发包人和监理人。承包人项目经理短期离开施工场地，应事先征得监理人同意，并委派代表代行其职责。</w:t>
      </w:r>
    </w:p>
    <w:p w14:paraId="086EB326">
      <w:pPr>
        <w:spacing w:line="360" w:lineRule="auto"/>
        <w:ind w:firstLine="420" w:firstLineChars="200"/>
        <w:rPr>
          <w:rFonts w:ascii="宋体" w:hAnsi="宋体"/>
          <w:szCs w:val="21"/>
        </w:rPr>
      </w:pPr>
      <w:r>
        <w:rPr>
          <w:rFonts w:hint="eastAsia" w:ascii="宋体" w:hAnsi="宋体"/>
          <w:szCs w:val="21"/>
        </w:rPr>
        <w:t>4.5.2 承包人项目经理应按合同约定以及监理人按第3 . 4 款作出的指示，负责组织合同工程的实施。在情况紧急且无法与监理人取得联系时，可采取保证工程和人员生命财产安令的紧急措施，并在采取措施后24小时内向监理人提交书面报告。</w:t>
      </w:r>
    </w:p>
    <w:p w14:paraId="3D05046D">
      <w:pPr>
        <w:spacing w:line="360" w:lineRule="auto"/>
        <w:ind w:firstLine="420" w:firstLineChars="200"/>
        <w:rPr>
          <w:rFonts w:hint="eastAsia" w:ascii="宋体" w:hAnsi="宋体"/>
          <w:szCs w:val="21"/>
        </w:rPr>
      </w:pPr>
      <w:r>
        <w:rPr>
          <w:rFonts w:hint="eastAsia" w:ascii="宋体" w:hAnsi="宋体"/>
          <w:szCs w:val="21"/>
        </w:rPr>
        <w:t>4.5.3 承包人为履行合同发出的一切函件均应盖有承包人授权的施工场地管理机构章，并由承包人项目经理或其授权代表签名。</w:t>
      </w:r>
    </w:p>
    <w:p w14:paraId="428E03A3">
      <w:pPr>
        <w:spacing w:line="360" w:lineRule="auto"/>
        <w:ind w:firstLine="420" w:firstLineChars="200"/>
        <w:rPr>
          <w:rFonts w:hint="eastAsia" w:ascii="宋体" w:hAnsi="宋体"/>
          <w:szCs w:val="21"/>
        </w:rPr>
      </w:pPr>
      <w:r>
        <w:rPr>
          <w:rFonts w:hint="eastAsia" w:ascii="宋体" w:hAnsi="宋体"/>
          <w:szCs w:val="21"/>
        </w:rPr>
        <w:t>4.5.4 承包人项目经理可以授权其下属人员履行其某项职责，但事先应将这些人员的姓名和授权范围通知监理人。</w:t>
      </w:r>
    </w:p>
    <w:p w14:paraId="0F7F62FC">
      <w:pPr>
        <w:pStyle w:val="6"/>
        <w:spacing w:before="0" w:beforeAutospacing="0" w:after="0" w:afterAutospacing="0" w:line="360" w:lineRule="auto"/>
        <w:rPr>
          <w:rFonts w:hint="eastAsia"/>
        </w:rPr>
      </w:pPr>
      <w:r>
        <w:rPr>
          <w:rFonts w:hint="eastAsia"/>
        </w:rPr>
        <w:t>4.6 承包人人员的管理</w:t>
      </w:r>
    </w:p>
    <w:p w14:paraId="2D3C9066">
      <w:pPr>
        <w:spacing w:line="360" w:lineRule="auto"/>
        <w:ind w:firstLine="420" w:firstLineChars="200"/>
        <w:rPr>
          <w:rFonts w:hint="eastAsia" w:ascii="宋体" w:hAnsi="宋体"/>
          <w:szCs w:val="21"/>
        </w:rPr>
      </w:pPr>
      <w:r>
        <w:rPr>
          <w:rFonts w:hint="eastAsia" w:ascii="宋体" w:hAnsi="宋体"/>
          <w:szCs w:val="21"/>
        </w:rPr>
        <w:t>4.6.1 承包人应在接到开工通知后28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14:paraId="09B0C7DA">
      <w:pPr>
        <w:spacing w:line="360" w:lineRule="auto"/>
        <w:ind w:firstLine="420" w:firstLineChars="200"/>
        <w:rPr>
          <w:rFonts w:hint="eastAsia" w:ascii="宋体" w:hAnsi="宋体"/>
          <w:szCs w:val="21"/>
        </w:rPr>
      </w:pPr>
      <w:r>
        <w:rPr>
          <w:rFonts w:hint="eastAsia" w:ascii="宋体" w:hAnsi="宋体"/>
          <w:szCs w:val="21"/>
        </w:rPr>
        <w:t>4.6.2 为完成合同约定的各项工作，承包人应向施工场地派遣或雇佣足够数量的下列人员：</w:t>
      </w:r>
    </w:p>
    <w:p w14:paraId="690718B4">
      <w:pPr>
        <w:spacing w:line="360" w:lineRule="auto"/>
        <w:ind w:firstLine="420" w:firstLineChars="200"/>
        <w:rPr>
          <w:rFonts w:hint="eastAsia" w:ascii="宋体" w:hAnsi="宋体"/>
          <w:szCs w:val="21"/>
        </w:rPr>
      </w:pPr>
      <w:r>
        <w:rPr>
          <w:rFonts w:hint="eastAsia" w:ascii="宋体" w:hAnsi="宋体"/>
          <w:szCs w:val="21"/>
        </w:rPr>
        <w:t>（1）具有相应资格的专业技工和合格的普工；</w:t>
      </w:r>
    </w:p>
    <w:p w14:paraId="7EEFB5DF">
      <w:pPr>
        <w:spacing w:line="360" w:lineRule="auto"/>
        <w:ind w:firstLine="420" w:firstLineChars="200"/>
        <w:rPr>
          <w:rFonts w:hint="eastAsia" w:ascii="宋体" w:hAnsi="宋体"/>
          <w:szCs w:val="21"/>
        </w:rPr>
      </w:pPr>
      <w:r>
        <w:rPr>
          <w:rFonts w:hint="eastAsia" w:ascii="宋体" w:hAnsi="宋体"/>
          <w:szCs w:val="21"/>
        </w:rPr>
        <w:t>（2）具有相应施工经验的技术人员；</w:t>
      </w:r>
    </w:p>
    <w:p w14:paraId="513BB5C0">
      <w:pPr>
        <w:spacing w:line="360" w:lineRule="auto"/>
        <w:ind w:firstLine="420" w:firstLineChars="200"/>
        <w:rPr>
          <w:rFonts w:hint="eastAsia" w:ascii="宋体" w:hAnsi="宋体"/>
          <w:szCs w:val="21"/>
        </w:rPr>
      </w:pPr>
      <w:r>
        <w:rPr>
          <w:rFonts w:hint="eastAsia" w:ascii="宋体" w:hAnsi="宋体"/>
          <w:szCs w:val="21"/>
        </w:rPr>
        <w:t>（3）具有相应岗位资格的各级管理人员。</w:t>
      </w:r>
    </w:p>
    <w:p w14:paraId="7AC5690A">
      <w:pPr>
        <w:spacing w:line="360" w:lineRule="auto"/>
        <w:ind w:firstLine="420" w:firstLineChars="200"/>
        <w:rPr>
          <w:rFonts w:hint="eastAsia" w:ascii="宋体" w:hAnsi="宋体"/>
          <w:szCs w:val="21"/>
        </w:rPr>
      </w:pPr>
      <w:r>
        <w:rPr>
          <w:rFonts w:hint="eastAsia" w:ascii="宋体" w:hAnsi="宋体"/>
          <w:szCs w:val="21"/>
        </w:rPr>
        <w:t>4.6.3 承包人安排在施工场地的主要管理人员和技术骨干应相对稳定。承包人更换主要管理人员和技术骨干时，应取得监理人的同意。</w:t>
      </w:r>
    </w:p>
    <w:p w14:paraId="322F85F1">
      <w:pPr>
        <w:spacing w:line="360" w:lineRule="auto"/>
        <w:ind w:firstLine="420" w:firstLineChars="200"/>
        <w:rPr>
          <w:rFonts w:hint="eastAsia" w:ascii="宋体" w:hAnsi="宋体"/>
          <w:szCs w:val="21"/>
        </w:rPr>
      </w:pPr>
      <w:r>
        <w:rPr>
          <w:rFonts w:hint="eastAsia" w:ascii="宋体" w:hAnsi="宋体"/>
          <w:szCs w:val="21"/>
        </w:rPr>
        <w:t>4.6.4 特殊岗位的工作人员均应持有相应的资格证明，监理人有权随时检查。监理人认为有必要时，可进行现场考核。</w:t>
      </w:r>
    </w:p>
    <w:p w14:paraId="3DF1ECD2">
      <w:pPr>
        <w:spacing w:line="360" w:lineRule="auto"/>
        <w:rPr>
          <w:rFonts w:hint="eastAsia" w:ascii="宋体" w:hAnsi="宋体"/>
          <w:b/>
          <w:bCs/>
          <w:sz w:val="24"/>
        </w:rPr>
      </w:pPr>
      <w:r>
        <w:rPr>
          <w:rFonts w:hint="eastAsia" w:ascii="宋体" w:hAnsi="宋体"/>
          <w:b/>
          <w:bCs/>
          <w:sz w:val="24"/>
        </w:rPr>
        <w:t>4.7 撤换承包人项目经理和其他人员</w:t>
      </w:r>
    </w:p>
    <w:p w14:paraId="2D5407A3">
      <w:pPr>
        <w:spacing w:line="360" w:lineRule="auto"/>
        <w:ind w:firstLine="420" w:firstLineChars="200"/>
        <w:rPr>
          <w:rFonts w:hint="eastAsia" w:ascii="宋体" w:hAnsi="宋体"/>
          <w:szCs w:val="21"/>
        </w:rPr>
      </w:pPr>
      <w:r>
        <w:rPr>
          <w:rFonts w:hint="eastAsia" w:ascii="宋体" w:hAnsi="宋体"/>
          <w:szCs w:val="21"/>
        </w:rPr>
        <w:t>承包人应对其项目经理和其他人员进行有效管理。监理人要求撤换不能胜任本职工作、行为不端或玩忽职守的承包人项目经理和其他人员的，承包人应予以撤换。</w:t>
      </w:r>
    </w:p>
    <w:p w14:paraId="708A4E88">
      <w:pPr>
        <w:spacing w:line="360" w:lineRule="auto"/>
        <w:rPr>
          <w:rFonts w:hint="eastAsia" w:ascii="宋体" w:hAnsi="宋体"/>
          <w:b/>
          <w:bCs/>
          <w:sz w:val="24"/>
        </w:rPr>
      </w:pPr>
      <w:r>
        <w:rPr>
          <w:rFonts w:hint="eastAsia" w:ascii="宋体" w:hAnsi="宋体"/>
          <w:b/>
          <w:bCs/>
          <w:sz w:val="24"/>
        </w:rPr>
        <w:t>4.8 保障承包人人员的合法权益</w:t>
      </w:r>
    </w:p>
    <w:p w14:paraId="5B0E9383">
      <w:pPr>
        <w:spacing w:line="360" w:lineRule="auto"/>
        <w:ind w:firstLine="420" w:firstLineChars="200"/>
        <w:rPr>
          <w:rFonts w:hint="eastAsia" w:ascii="宋体" w:hAnsi="宋体"/>
          <w:szCs w:val="21"/>
        </w:rPr>
      </w:pPr>
      <w:r>
        <w:rPr>
          <w:rFonts w:hint="eastAsia" w:ascii="宋体" w:hAnsi="宋体"/>
          <w:szCs w:val="21"/>
        </w:rPr>
        <w:t>4.8.1 承包人应与其雇佣的人员签订劳动合同，并按时发放工资。</w:t>
      </w:r>
    </w:p>
    <w:p w14:paraId="4B8C2513">
      <w:pPr>
        <w:spacing w:line="360" w:lineRule="auto"/>
        <w:ind w:firstLine="420" w:firstLineChars="200"/>
        <w:rPr>
          <w:rFonts w:hint="eastAsia" w:ascii="宋体" w:hAnsi="宋体"/>
          <w:szCs w:val="21"/>
        </w:rPr>
      </w:pPr>
      <w:r>
        <w:rPr>
          <w:rFonts w:hint="eastAsia" w:ascii="宋体" w:hAnsi="宋体"/>
          <w:szCs w:val="21"/>
        </w:rPr>
        <w:t>4.8.2 承包人应按劳动法的规定安排工作时间，保证其雇佣人员享有休息和休假的权利。因工程施工的特殊需要占用休假日或延长工作时间的，应不超过法律规定的限度，并按法律规定给予补休或付酬。</w:t>
      </w:r>
    </w:p>
    <w:p w14:paraId="6C0DBD04">
      <w:pPr>
        <w:spacing w:line="360" w:lineRule="auto"/>
        <w:ind w:firstLine="420" w:firstLineChars="200"/>
        <w:rPr>
          <w:rFonts w:hint="eastAsia" w:ascii="宋体" w:hAnsi="宋体"/>
          <w:szCs w:val="21"/>
        </w:rPr>
      </w:pPr>
      <w:r>
        <w:rPr>
          <w:rFonts w:hint="eastAsia" w:ascii="宋体" w:hAnsi="宋体"/>
          <w:szCs w:val="21"/>
        </w:rPr>
        <w:t>4.8.3 承包人应为其雇佣人员提供必要的食宿条件，以及符合环境保护和卫生要求的生活环境，在远离城镇的施工场地，还应配备必要的伤病防治和急救的医务人员与医疗设施。</w:t>
      </w:r>
    </w:p>
    <w:p w14:paraId="61EF96B5">
      <w:pPr>
        <w:spacing w:line="360" w:lineRule="auto"/>
        <w:ind w:firstLine="420" w:firstLineChars="200"/>
        <w:rPr>
          <w:rFonts w:hint="eastAsia" w:ascii="宋体" w:hAnsi="宋体"/>
          <w:szCs w:val="21"/>
        </w:rPr>
      </w:pPr>
      <w:r>
        <w:rPr>
          <w:rFonts w:hint="eastAsia" w:ascii="宋体" w:hAnsi="宋体"/>
          <w:szCs w:val="21"/>
        </w:rPr>
        <w:t>4.8.4 承包人应按国家有关劳动保护的规定，采取有效的防止粉尘、降低噪声、控制有害气体和保障高温、高寒、高空作业安全等劳动保护措施。其雇佣人员在施工中受到伤害的，承包人应立即采取有效措施进行抢救和治疗。</w:t>
      </w:r>
    </w:p>
    <w:p w14:paraId="27A00087">
      <w:pPr>
        <w:spacing w:line="360" w:lineRule="auto"/>
        <w:ind w:firstLine="420" w:firstLineChars="200"/>
        <w:rPr>
          <w:rFonts w:hint="eastAsia" w:ascii="宋体" w:hAnsi="宋体"/>
          <w:szCs w:val="21"/>
        </w:rPr>
      </w:pPr>
      <w:r>
        <w:rPr>
          <w:rFonts w:hint="eastAsia" w:ascii="宋体" w:hAnsi="宋体"/>
          <w:szCs w:val="21"/>
        </w:rPr>
        <w:t>4.8.5 承包人应按有关法律规定和合同约定，为其雇佣人员办理保险。</w:t>
      </w:r>
    </w:p>
    <w:p w14:paraId="73FB24CC">
      <w:pPr>
        <w:spacing w:line="360" w:lineRule="auto"/>
        <w:ind w:firstLine="420" w:firstLineChars="200"/>
        <w:rPr>
          <w:rFonts w:ascii="宋体" w:hAnsi="宋体"/>
          <w:szCs w:val="21"/>
        </w:rPr>
      </w:pPr>
      <w:r>
        <w:rPr>
          <w:rFonts w:hint="eastAsia" w:ascii="宋体" w:hAnsi="宋体"/>
          <w:szCs w:val="21"/>
        </w:rPr>
        <w:t>4.8.6 承包人应负责处理其雇佣人员因工伤亡事故的善后事宜。</w:t>
      </w:r>
    </w:p>
    <w:p w14:paraId="643364B5">
      <w:pPr>
        <w:pStyle w:val="6"/>
        <w:spacing w:before="0" w:beforeAutospacing="0" w:after="0" w:afterAutospacing="0" w:line="360" w:lineRule="auto"/>
        <w:rPr>
          <w:rFonts w:hint="eastAsia"/>
        </w:rPr>
      </w:pPr>
      <w:r>
        <w:rPr>
          <w:rFonts w:hint="eastAsia"/>
        </w:rPr>
        <w:t>4.9 工程价款应专款专用</w:t>
      </w:r>
    </w:p>
    <w:p w14:paraId="5C3ADC16">
      <w:pPr>
        <w:spacing w:line="360" w:lineRule="auto"/>
        <w:ind w:firstLine="420" w:firstLineChars="200"/>
        <w:rPr>
          <w:rFonts w:hint="eastAsia" w:ascii="宋体" w:hAnsi="宋体"/>
          <w:szCs w:val="21"/>
        </w:rPr>
      </w:pPr>
      <w:r>
        <w:rPr>
          <w:rFonts w:hint="eastAsia" w:ascii="宋体" w:hAnsi="宋体"/>
          <w:szCs w:val="21"/>
        </w:rPr>
        <w:t>发包人按合同约定支付给承包人的各项价款应专用于合同工程。</w:t>
      </w:r>
    </w:p>
    <w:p w14:paraId="77D82305">
      <w:pPr>
        <w:pStyle w:val="6"/>
        <w:spacing w:before="0" w:beforeAutospacing="0" w:after="0" w:afterAutospacing="0" w:line="360" w:lineRule="auto"/>
        <w:rPr>
          <w:rFonts w:hint="eastAsia"/>
        </w:rPr>
      </w:pPr>
      <w:r>
        <w:rPr>
          <w:rFonts w:hint="eastAsia"/>
        </w:rPr>
        <w:t>4.10 承包人现场查勘</w:t>
      </w:r>
    </w:p>
    <w:p w14:paraId="1915CC8B">
      <w:pPr>
        <w:spacing w:line="360" w:lineRule="auto"/>
        <w:ind w:firstLine="420" w:firstLineChars="200"/>
        <w:rPr>
          <w:rFonts w:hint="eastAsia" w:ascii="宋体" w:hAnsi="宋体"/>
          <w:szCs w:val="21"/>
        </w:rPr>
      </w:pPr>
      <w:r>
        <w:rPr>
          <w:rFonts w:hint="eastAsia" w:ascii="宋体" w:hAnsi="宋体"/>
          <w:szCs w:val="21"/>
        </w:rPr>
        <w:t>4.10.1 发包人应将其持有的现场地质勘探资料、水文气象资料提供给承包人，并对其准确性负责。但承包人应对其阅读上述有关资料后所作出的解释和推断负责。</w:t>
      </w:r>
    </w:p>
    <w:p w14:paraId="554B3B32">
      <w:pPr>
        <w:spacing w:line="360" w:lineRule="auto"/>
        <w:ind w:firstLine="420" w:firstLineChars="200"/>
        <w:rPr>
          <w:rFonts w:hint="eastAsia" w:ascii="宋体" w:hAnsi="宋体"/>
          <w:szCs w:val="21"/>
        </w:rPr>
      </w:pPr>
      <w:r>
        <w:rPr>
          <w:rFonts w:hint="eastAsia" w:ascii="宋体" w:hAnsi="宋体"/>
          <w:szCs w:val="21"/>
        </w:rPr>
        <w:t>4.10.2 承包人应对施工场地和周围环境进行查勘，并收集有关地质、水文、气象条件、交通条件、风俗习惯以及其他为完成合同工作有关的当地资料。在全部合同工作中，应视为承包人己充分估计了应承担的责任和风险。</w:t>
      </w:r>
    </w:p>
    <w:p w14:paraId="3E7B4F69">
      <w:pPr>
        <w:pStyle w:val="6"/>
        <w:spacing w:before="0" w:beforeAutospacing="0" w:after="0" w:afterAutospacing="0" w:line="360" w:lineRule="auto"/>
        <w:rPr>
          <w:rFonts w:hint="eastAsia"/>
        </w:rPr>
      </w:pPr>
      <w:r>
        <w:rPr>
          <w:rFonts w:hint="eastAsia"/>
        </w:rPr>
        <w:t>4.11 不利物质条件</w:t>
      </w:r>
    </w:p>
    <w:p w14:paraId="79467B60">
      <w:pPr>
        <w:spacing w:line="360" w:lineRule="auto"/>
        <w:ind w:firstLine="420" w:firstLineChars="200"/>
        <w:rPr>
          <w:rFonts w:hint="eastAsia" w:ascii="宋体" w:hAnsi="宋体"/>
          <w:szCs w:val="21"/>
        </w:rPr>
      </w:pPr>
      <w:r>
        <w:rPr>
          <w:rFonts w:hint="eastAsia" w:ascii="宋体" w:hAnsi="宋体"/>
          <w:szCs w:val="21"/>
        </w:rPr>
        <w:t>4.11.1 不利物质条件，除专用合同条款另有约定外，是指承包人在施工场地遇到的不可预见的自然物质条件、非自然的物质障碍和污染物，包括地下和水文条件，但不包括气候条件。</w:t>
      </w:r>
    </w:p>
    <w:p w14:paraId="21DBCFA3">
      <w:pPr>
        <w:spacing w:line="360" w:lineRule="auto"/>
        <w:ind w:firstLine="420" w:firstLineChars="200"/>
        <w:rPr>
          <w:rFonts w:hint="eastAsia" w:ascii="宋体" w:hAnsi="宋体"/>
          <w:szCs w:val="21"/>
        </w:rPr>
      </w:pPr>
      <w:r>
        <w:rPr>
          <w:rFonts w:hint="eastAsia" w:ascii="宋体" w:hAnsi="宋体"/>
          <w:szCs w:val="21"/>
        </w:rPr>
        <w:t>4.11.2 承包人遇到不利物质条件时，应采取适应不利物质条件的合理措施继续施工，并及时通知监理人。监理人应当及时发出指示，指示构成变更的，按第巧条约定办理。监理人没有发出指示的，承包人因采取合理措施而增加的费用和（或）工期延误，由发包人承担。</w:t>
      </w:r>
    </w:p>
    <w:p w14:paraId="7400DC38">
      <w:pPr>
        <w:pStyle w:val="5"/>
        <w:spacing w:before="0" w:after="0" w:line="360" w:lineRule="auto"/>
        <w:rPr>
          <w:rFonts w:hint="eastAsia" w:ascii="宋体" w:hAnsi="宋体"/>
        </w:rPr>
      </w:pPr>
      <w:bookmarkStart w:id="473" w:name="_Toc10976"/>
      <w:bookmarkStart w:id="474" w:name="_Toc184635102"/>
      <w:bookmarkStart w:id="475" w:name="_Toc57795944"/>
      <w:bookmarkStart w:id="476" w:name="_Toc27370"/>
      <w:bookmarkStart w:id="477" w:name="_Toc13677"/>
      <w:r>
        <w:rPr>
          <w:rFonts w:hint="eastAsia" w:ascii="宋体" w:hAnsi="宋体"/>
        </w:rPr>
        <w:t>5、材料和工程设备</w:t>
      </w:r>
      <w:bookmarkEnd w:id="473"/>
      <w:bookmarkEnd w:id="474"/>
      <w:bookmarkEnd w:id="475"/>
      <w:bookmarkEnd w:id="476"/>
      <w:bookmarkEnd w:id="477"/>
    </w:p>
    <w:p w14:paraId="34834C48">
      <w:pPr>
        <w:spacing w:line="360" w:lineRule="auto"/>
        <w:rPr>
          <w:rFonts w:hint="eastAsia" w:ascii="宋体" w:hAnsi="宋体"/>
          <w:b/>
          <w:bCs/>
          <w:szCs w:val="28"/>
        </w:rPr>
      </w:pPr>
      <w:r>
        <w:rPr>
          <w:rFonts w:hint="eastAsia" w:ascii="宋体" w:hAnsi="宋体"/>
          <w:b/>
          <w:bCs/>
          <w:szCs w:val="28"/>
        </w:rPr>
        <w:t>5.1 承包人提供的材料和工程设备</w:t>
      </w:r>
    </w:p>
    <w:p w14:paraId="5FD26BFC">
      <w:pPr>
        <w:spacing w:line="360" w:lineRule="auto"/>
        <w:ind w:firstLine="420" w:firstLineChars="200"/>
        <w:rPr>
          <w:rFonts w:hint="eastAsia" w:ascii="宋体" w:hAnsi="宋体"/>
          <w:szCs w:val="21"/>
        </w:rPr>
      </w:pPr>
      <w:r>
        <w:rPr>
          <w:rFonts w:hint="eastAsia" w:ascii="宋体" w:hAnsi="宋体"/>
          <w:szCs w:val="21"/>
        </w:rPr>
        <w:t>5.1.1 除专用合同条款另有约定外，承包人提供的材料和工程设备均由承包人负责采购、运输和保管。承包人应对其采购的材料和工程设备负责。</w:t>
      </w:r>
    </w:p>
    <w:p w14:paraId="34C47892">
      <w:pPr>
        <w:spacing w:line="360" w:lineRule="auto"/>
        <w:ind w:firstLine="420" w:firstLineChars="200"/>
        <w:rPr>
          <w:rFonts w:hint="eastAsia" w:ascii="宋体" w:hAnsi="宋体"/>
          <w:szCs w:val="21"/>
        </w:rPr>
      </w:pPr>
      <w:r>
        <w:rPr>
          <w:rFonts w:hint="eastAsia" w:ascii="宋体" w:hAnsi="宋体"/>
          <w:szCs w:val="21"/>
        </w:rPr>
        <w:t>5.1.2 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14:paraId="6BD0B449">
      <w:pPr>
        <w:spacing w:line="360" w:lineRule="auto"/>
        <w:ind w:firstLine="420" w:firstLineChars="200"/>
        <w:rPr>
          <w:rFonts w:hint="eastAsia" w:ascii="宋体" w:hAnsi="宋体"/>
          <w:szCs w:val="21"/>
        </w:rPr>
      </w:pPr>
      <w:r>
        <w:rPr>
          <w:rFonts w:hint="eastAsia" w:ascii="宋体" w:hAnsi="宋体"/>
          <w:szCs w:val="21"/>
        </w:rPr>
        <w:t>5.1.3 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14:paraId="760260AA">
      <w:pPr>
        <w:pStyle w:val="6"/>
        <w:spacing w:before="0" w:beforeAutospacing="0" w:after="0" w:afterAutospacing="0" w:line="360" w:lineRule="auto"/>
        <w:rPr>
          <w:rFonts w:hint="eastAsia"/>
        </w:rPr>
      </w:pPr>
      <w:r>
        <w:rPr>
          <w:rFonts w:hint="eastAsia"/>
        </w:rPr>
        <w:t>5.2 发包人提供的材料和工程设备</w:t>
      </w:r>
    </w:p>
    <w:p w14:paraId="180A0E67">
      <w:pPr>
        <w:spacing w:line="360" w:lineRule="auto"/>
        <w:ind w:firstLine="420" w:firstLineChars="200"/>
        <w:rPr>
          <w:rFonts w:hint="eastAsia" w:ascii="宋体" w:hAnsi="宋体"/>
          <w:szCs w:val="21"/>
        </w:rPr>
      </w:pPr>
      <w:r>
        <w:rPr>
          <w:rFonts w:hint="eastAsia" w:ascii="宋体" w:hAnsi="宋体"/>
          <w:szCs w:val="21"/>
        </w:rPr>
        <w:t>5.2.1 发包人提供的材料和工程设备，应在专用合同条款中写明材料和工程设备的名称、规格、数量、价格、交货方式、交货地点和计划交货日期等。</w:t>
      </w:r>
    </w:p>
    <w:p w14:paraId="1BFD0779">
      <w:pPr>
        <w:spacing w:line="360" w:lineRule="auto"/>
        <w:ind w:firstLine="420" w:firstLineChars="200"/>
        <w:rPr>
          <w:rFonts w:hint="eastAsia" w:ascii="宋体" w:hAnsi="宋体"/>
          <w:szCs w:val="21"/>
        </w:rPr>
      </w:pPr>
      <w:r>
        <w:rPr>
          <w:rFonts w:hint="eastAsia" w:ascii="宋体" w:hAnsi="宋体"/>
          <w:szCs w:val="21"/>
        </w:rPr>
        <w:t>5.2.2 承包人应根据合同进度计划的安排，向监理人报送要求发包人交货的日期计划。发包人应按照监理人与合同双方当事人商定的交货日期，向承包人提交材料和工程设备。5 . 2 . 3 发包人应在材料和工程设备到货7 天前通知承包人，承包人应会同监理人在约定的时间内，赴交货地点共同进行验收。除专用合同条款另有约定外，发包人提供的材料和工程设备验收后，由承包人负责接收、运输和保管。</w:t>
      </w:r>
    </w:p>
    <w:p w14:paraId="46186088">
      <w:pPr>
        <w:spacing w:line="360" w:lineRule="auto"/>
        <w:ind w:firstLine="420" w:firstLineChars="200"/>
        <w:rPr>
          <w:rFonts w:hint="eastAsia" w:ascii="宋体" w:hAnsi="宋体"/>
          <w:szCs w:val="21"/>
        </w:rPr>
      </w:pPr>
      <w:r>
        <w:rPr>
          <w:rFonts w:hint="eastAsia" w:ascii="宋体" w:hAnsi="宋体"/>
          <w:szCs w:val="21"/>
        </w:rPr>
        <w:t>5.2.4 发包人要求向承包人提前交货的，承包人不得拒绝，但发包人应承担承包人由此增加的费用。</w:t>
      </w:r>
    </w:p>
    <w:p w14:paraId="64B3F647">
      <w:pPr>
        <w:spacing w:line="360" w:lineRule="auto"/>
        <w:ind w:firstLine="420" w:firstLineChars="200"/>
        <w:rPr>
          <w:rFonts w:hint="eastAsia" w:ascii="宋体" w:hAnsi="宋体"/>
          <w:szCs w:val="21"/>
        </w:rPr>
      </w:pPr>
      <w:r>
        <w:rPr>
          <w:rFonts w:hint="eastAsia" w:ascii="宋体" w:hAnsi="宋体"/>
          <w:szCs w:val="21"/>
        </w:rPr>
        <w:t>5.2.5 承包人要求更改交货日期或地点的，应事先报请监理人批准。由于承包人要求更改交货时间或地点所增加的费用和（或）工期延误由承包人承担。</w:t>
      </w:r>
    </w:p>
    <w:p w14:paraId="55A5C2F3">
      <w:pPr>
        <w:spacing w:line="360" w:lineRule="auto"/>
        <w:ind w:firstLine="420" w:firstLineChars="200"/>
        <w:rPr>
          <w:rFonts w:hint="eastAsia" w:ascii="宋体" w:hAnsi="宋体"/>
          <w:szCs w:val="21"/>
        </w:rPr>
      </w:pPr>
      <w:r>
        <w:rPr>
          <w:rFonts w:hint="eastAsia" w:ascii="宋体" w:hAnsi="宋体"/>
          <w:szCs w:val="21"/>
        </w:rPr>
        <w:t>5.2.6 发包人提供的材料和工程设备的规格、数量或质量不符合合同要求，或由于发包人原因发生交货日期延误及交货地点变更等情况的，发包人应承担由此增加的费用和（或）工期延误，并向承包人支付合理利润。</w:t>
      </w:r>
    </w:p>
    <w:p w14:paraId="395B1C6D">
      <w:pPr>
        <w:spacing w:line="360" w:lineRule="auto"/>
        <w:rPr>
          <w:rFonts w:hint="eastAsia" w:ascii="宋体" w:hAnsi="宋体"/>
          <w:b/>
          <w:bCs/>
          <w:sz w:val="24"/>
        </w:rPr>
      </w:pPr>
      <w:r>
        <w:rPr>
          <w:rFonts w:hint="eastAsia" w:ascii="宋体" w:hAnsi="宋体"/>
          <w:b/>
          <w:bCs/>
          <w:sz w:val="24"/>
        </w:rPr>
        <w:t>5.3 材料和工程设备专用于合同工程</w:t>
      </w:r>
    </w:p>
    <w:p w14:paraId="11EC4F80">
      <w:pPr>
        <w:spacing w:line="360" w:lineRule="auto"/>
        <w:ind w:firstLine="420" w:firstLineChars="200"/>
        <w:rPr>
          <w:rFonts w:hint="eastAsia" w:ascii="宋体" w:hAnsi="宋体"/>
          <w:szCs w:val="21"/>
        </w:rPr>
      </w:pPr>
      <w:r>
        <w:rPr>
          <w:rFonts w:hint="eastAsia" w:ascii="宋体" w:hAnsi="宋体"/>
          <w:szCs w:val="21"/>
        </w:rPr>
        <w:t>5.3.1 运入施工场地的材料、工程设备，包括备品备件、安装专用工器具与随机资料，必须专用于合同工程，未经监理人同意，承包人不得运出施工场地或挪作他用。</w:t>
      </w:r>
    </w:p>
    <w:p w14:paraId="11C305F8">
      <w:pPr>
        <w:spacing w:line="360" w:lineRule="auto"/>
        <w:ind w:firstLine="420" w:firstLineChars="200"/>
        <w:rPr>
          <w:rFonts w:hint="eastAsia" w:ascii="宋体" w:hAnsi="宋体"/>
          <w:szCs w:val="21"/>
        </w:rPr>
      </w:pPr>
      <w:r>
        <w:rPr>
          <w:rFonts w:hint="eastAsia" w:ascii="宋体" w:hAnsi="宋体"/>
          <w:szCs w:val="21"/>
        </w:rPr>
        <w:t>5.3.2 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14:paraId="3A8436B7">
      <w:pPr>
        <w:spacing w:line="360" w:lineRule="auto"/>
        <w:rPr>
          <w:rFonts w:hint="eastAsia" w:ascii="宋体" w:hAnsi="宋体"/>
          <w:b/>
          <w:bCs/>
          <w:szCs w:val="28"/>
        </w:rPr>
      </w:pPr>
      <w:r>
        <w:rPr>
          <w:rFonts w:hint="eastAsia" w:ascii="宋体" w:hAnsi="宋体"/>
          <w:b/>
          <w:bCs/>
          <w:szCs w:val="28"/>
        </w:rPr>
        <w:t>5.4 禁止使用不合格的材料和工程设备</w:t>
      </w:r>
    </w:p>
    <w:p w14:paraId="3243E601">
      <w:pPr>
        <w:spacing w:line="360" w:lineRule="auto"/>
        <w:ind w:firstLine="420" w:firstLineChars="200"/>
        <w:rPr>
          <w:rFonts w:hint="eastAsia" w:ascii="宋体" w:hAnsi="宋体"/>
          <w:szCs w:val="21"/>
        </w:rPr>
      </w:pPr>
      <w:r>
        <w:rPr>
          <w:rFonts w:hint="eastAsia" w:ascii="宋体" w:hAnsi="宋体"/>
          <w:szCs w:val="21"/>
        </w:rPr>
        <w:t>5.4.1 监理人有权拒绝承包人提供的不合格材料或工程设备，并要求承包人立即进行更换。监理人应在更换后再次进行检查和检验，由此增加的费用和（或）工期延误由承包人承担。</w:t>
      </w:r>
    </w:p>
    <w:p w14:paraId="3B3C7E12">
      <w:pPr>
        <w:spacing w:line="360" w:lineRule="auto"/>
        <w:ind w:firstLine="420" w:firstLineChars="200"/>
        <w:rPr>
          <w:rFonts w:hint="eastAsia" w:ascii="宋体" w:hAnsi="宋体"/>
          <w:szCs w:val="21"/>
        </w:rPr>
      </w:pPr>
      <w:r>
        <w:rPr>
          <w:rFonts w:hint="eastAsia" w:ascii="宋体" w:hAnsi="宋体"/>
          <w:szCs w:val="21"/>
        </w:rPr>
        <w:t>5.4.2 监理人发现承包人使用了不合格的材料和工程设备，应即时发出指示要求承包人立即改正，并禁止在工程中继续使用不合格的材料和工程设备。</w:t>
      </w:r>
    </w:p>
    <w:p w14:paraId="571B919C">
      <w:pPr>
        <w:spacing w:line="360" w:lineRule="auto"/>
        <w:ind w:firstLine="420" w:firstLineChars="200"/>
        <w:rPr>
          <w:rFonts w:hint="eastAsia" w:ascii="宋体" w:hAnsi="宋体"/>
          <w:szCs w:val="21"/>
        </w:rPr>
      </w:pPr>
      <w:r>
        <w:rPr>
          <w:rFonts w:hint="eastAsia" w:ascii="宋体" w:hAnsi="宋体"/>
          <w:szCs w:val="21"/>
        </w:rPr>
        <w:t>5.4.3 发包人提供的材料或工程设备不符合合同要求的，承包人有权拒绝，并可要求发包人更换，由此增加的费用和（或）工期延误由发包人承担。</w:t>
      </w:r>
    </w:p>
    <w:p w14:paraId="0D3E12B6">
      <w:pPr>
        <w:pStyle w:val="5"/>
        <w:spacing w:before="0" w:after="0" w:line="360" w:lineRule="auto"/>
        <w:rPr>
          <w:rFonts w:hint="eastAsia" w:ascii="宋体" w:hAnsi="宋体"/>
        </w:rPr>
      </w:pPr>
      <w:bookmarkStart w:id="478" w:name="_Toc11493"/>
      <w:bookmarkStart w:id="479" w:name="_Toc57795945"/>
      <w:bookmarkStart w:id="480" w:name="_Toc32183"/>
      <w:bookmarkStart w:id="481" w:name="_Toc184635103"/>
      <w:bookmarkStart w:id="482" w:name="_Toc17791"/>
      <w:r>
        <w:rPr>
          <w:rFonts w:hint="eastAsia" w:ascii="宋体" w:hAnsi="宋体"/>
        </w:rPr>
        <w:t>6、施工设备和临时设施</w:t>
      </w:r>
      <w:bookmarkEnd w:id="478"/>
      <w:bookmarkEnd w:id="479"/>
      <w:bookmarkEnd w:id="480"/>
      <w:bookmarkEnd w:id="481"/>
      <w:bookmarkEnd w:id="482"/>
    </w:p>
    <w:p w14:paraId="69D8B6C3">
      <w:pPr>
        <w:pStyle w:val="6"/>
        <w:spacing w:before="0" w:beforeAutospacing="0" w:after="0" w:afterAutospacing="0" w:line="360" w:lineRule="auto"/>
        <w:rPr>
          <w:rFonts w:hint="eastAsia"/>
          <w:szCs w:val="21"/>
        </w:rPr>
      </w:pPr>
      <w:r>
        <w:rPr>
          <w:rFonts w:hint="eastAsia"/>
          <w:szCs w:val="21"/>
        </w:rPr>
        <w:t>6.1 承包人提供的施工设备和临时设施</w:t>
      </w:r>
    </w:p>
    <w:p w14:paraId="701B6B5B">
      <w:pPr>
        <w:spacing w:line="360" w:lineRule="auto"/>
        <w:ind w:firstLine="420" w:firstLineChars="200"/>
        <w:rPr>
          <w:rFonts w:hint="eastAsia" w:ascii="宋体" w:hAnsi="宋体"/>
          <w:szCs w:val="21"/>
        </w:rPr>
      </w:pPr>
      <w:r>
        <w:rPr>
          <w:rFonts w:hint="eastAsia" w:ascii="宋体" w:hAnsi="宋体"/>
          <w:szCs w:val="21"/>
        </w:rPr>
        <w:t>6.1.1 承包人应按合同进度计划的要求，及时配置施工设备和修建临时设施。进入施工场地的承包人设备需经监理人核查后才能投入使用。承包人更换合同约定的承包人设备的，应报监理人批准。</w:t>
      </w:r>
    </w:p>
    <w:p w14:paraId="37B68024">
      <w:pPr>
        <w:spacing w:line="360" w:lineRule="auto"/>
        <w:ind w:firstLine="420" w:firstLineChars="200"/>
        <w:rPr>
          <w:rFonts w:hint="eastAsia" w:ascii="宋体" w:hAnsi="宋体"/>
          <w:szCs w:val="21"/>
        </w:rPr>
      </w:pPr>
      <w:r>
        <w:rPr>
          <w:rFonts w:hint="eastAsia" w:ascii="宋体" w:hAnsi="宋体"/>
          <w:szCs w:val="21"/>
        </w:rPr>
        <w:t>6.1.2 除专用合同条款另有约定外，承包人应自行承担修建临时设施的费用，需要临时占地的，应由发包人办理申请手续并承担相应费用。</w:t>
      </w:r>
    </w:p>
    <w:p w14:paraId="5B718B31">
      <w:pPr>
        <w:pStyle w:val="6"/>
        <w:spacing w:before="0" w:beforeAutospacing="0" w:after="0" w:afterAutospacing="0" w:line="360" w:lineRule="auto"/>
        <w:rPr>
          <w:rFonts w:hint="eastAsia"/>
        </w:rPr>
      </w:pPr>
      <w:r>
        <w:rPr>
          <w:rFonts w:hint="eastAsia"/>
        </w:rPr>
        <w:t>6.2 发包人提供的施工设备和临时设施</w:t>
      </w:r>
    </w:p>
    <w:p w14:paraId="5241A531">
      <w:pPr>
        <w:spacing w:line="360" w:lineRule="auto"/>
        <w:ind w:firstLine="420" w:firstLineChars="200"/>
        <w:rPr>
          <w:rFonts w:hint="eastAsia" w:ascii="宋体" w:hAnsi="宋体"/>
          <w:szCs w:val="21"/>
        </w:rPr>
      </w:pPr>
      <w:r>
        <w:rPr>
          <w:rFonts w:hint="eastAsia" w:ascii="宋体" w:hAnsi="宋体"/>
          <w:szCs w:val="21"/>
        </w:rPr>
        <w:t>发包人提供的施工设备或临时设施在专用合同条款中约定。</w:t>
      </w:r>
    </w:p>
    <w:p w14:paraId="37A10E7C">
      <w:pPr>
        <w:pStyle w:val="6"/>
        <w:spacing w:before="0" w:beforeAutospacing="0" w:after="0" w:afterAutospacing="0" w:line="360" w:lineRule="auto"/>
        <w:rPr>
          <w:rFonts w:hint="eastAsia"/>
        </w:rPr>
      </w:pPr>
      <w:r>
        <w:rPr>
          <w:rFonts w:hint="eastAsia"/>
        </w:rPr>
        <w:t>6.3 要求承包人增加或更换施工设备</w:t>
      </w:r>
    </w:p>
    <w:p w14:paraId="1280681D">
      <w:pPr>
        <w:spacing w:line="360" w:lineRule="auto"/>
        <w:ind w:firstLine="420" w:firstLineChars="200"/>
        <w:rPr>
          <w:rFonts w:ascii="宋体" w:hAnsi="宋体"/>
          <w:szCs w:val="21"/>
        </w:rPr>
      </w:pPr>
      <w:r>
        <w:rPr>
          <w:rFonts w:hint="eastAsia" w:ascii="宋体" w:hAnsi="宋体"/>
          <w:szCs w:val="21"/>
        </w:rPr>
        <w:t>承包人使用的施工设备不能满足合同进度计划和（或）质量要求时，监理人有权要求承包人增加或更换施工设备，承包人应及时增加或更换，由此增加的费用和（或）工期延误由承包人承担。</w:t>
      </w:r>
    </w:p>
    <w:p w14:paraId="27C30BC5">
      <w:pPr>
        <w:pStyle w:val="6"/>
        <w:spacing w:before="0" w:beforeAutospacing="0" w:after="0" w:afterAutospacing="0" w:line="360" w:lineRule="auto"/>
        <w:rPr>
          <w:rFonts w:hint="eastAsia"/>
        </w:rPr>
      </w:pPr>
      <w:r>
        <w:rPr>
          <w:rFonts w:hint="eastAsia"/>
        </w:rPr>
        <w:t>6.4 施工设备和临时设施专用于合同工程</w:t>
      </w:r>
    </w:p>
    <w:p w14:paraId="66703C30">
      <w:pPr>
        <w:spacing w:line="360" w:lineRule="auto"/>
        <w:ind w:firstLine="420" w:firstLineChars="200"/>
        <w:rPr>
          <w:rFonts w:hint="eastAsia" w:ascii="宋体" w:hAnsi="宋体"/>
          <w:szCs w:val="21"/>
        </w:rPr>
      </w:pPr>
      <w:r>
        <w:rPr>
          <w:rFonts w:hint="eastAsia" w:ascii="宋体" w:hAnsi="宋体"/>
          <w:szCs w:val="21"/>
        </w:rPr>
        <w:t>6.4.1 除合同另有约定外，运入施工场地的所有施工设备以及在施工场地建设的临时设施应专用于合同工程。未经监理人同意，不得将上述施工设备和临时设施中的任何部分运出施工场地或挪作他用。</w:t>
      </w:r>
    </w:p>
    <w:p w14:paraId="3F446788">
      <w:pPr>
        <w:spacing w:line="360" w:lineRule="auto"/>
        <w:ind w:firstLine="420" w:firstLineChars="200"/>
        <w:rPr>
          <w:rFonts w:hint="eastAsia" w:ascii="宋体" w:hAnsi="宋体"/>
          <w:szCs w:val="21"/>
        </w:rPr>
      </w:pPr>
      <w:r>
        <w:rPr>
          <w:rFonts w:hint="eastAsia" w:ascii="宋体" w:hAnsi="宋体"/>
          <w:szCs w:val="21"/>
        </w:rPr>
        <w:t>6.4.2 经监理人同意，承包人可根据合同进度计划撤走闲置的施工设备。</w:t>
      </w:r>
    </w:p>
    <w:p w14:paraId="02C253C0">
      <w:pPr>
        <w:pStyle w:val="5"/>
        <w:spacing w:before="0" w:after="0" w:line="360" w:lineRule="auto"/>
        <w:rPr>
          <w:rFonts w:hint="eastAsia" w:ascii="宋体" w:hAnsi="宋体"/>
        </w:rPr>
      </w:pPr>
      <w:bookmarkStart w:id="483" w:name="_Toc20646"/>
      <w:bookmarkStart w:id="484" w:name="_Toc57795946"/>
      <w:bookmarkStart w:id="485" w:name="_Toc18500"/>
      <w:bookmarkStart w:id="486" w:name="_Toc184635104"/>
      <w:bookmarkStart w:id="487" w:name="_Toc16116"/>
      <w:r>
        <w:rPr>
          <w:rFonts w:hint="eastAsia" w:ascii="宋体" w:hAnsi="宋体"/>
        </w:rPr>
        <w:t>7、交通运输</w:t>
      </w:r>
      <w:bookmarkEnd w:id="483"/>
      <w:bookmarkEnd w:id="484"/>
      <w:bookmarkEnd w:id="485"/>
      <w:bookmarkEnd w:id="486"/>
      <w:bookmarkEnd w:id="487"/>
    </w:p>
    <w:p w14:paraId="6E817342">
      <w:pPr>
        <w:pStyle w:val="6"/>
        <w:spacing w:before="0" w:beforeAutospacing="0" w:after="0" w:afterAutospacing="0" w:line="360" w:lineRule="auto"/>
        <w:rPr>
          <w:rFonts w:hint="eastAsia"/>
        </w:rPr>
      </w:pPr>
      <w:r>
        <w:rPr>
          <w:rFonts w:hint="eastAsia"/>
        </w:rPr>
        <w:t>7.1 道路通行权和场外设施</w:t>
      </w:r>
    </w:p>
    <w:p w14:paraId="4B701A7A">
      <w:pPr>
        <w:spacing w:line="360" w:lineRule="auto"/>
        <w:ind w:firstLine="420" w:firstLineChars="200"/>
        <w:rPr>
          <w:rFonts w:hint="eastAsia" w:ascii="宋体" w:hAnsi="宋体"/>
          <w:szCs w:val="21"/>
        </w:rPr>
      </w:pPr>
      <w:r>
        <w:rPr>
          <w:rFonts w:hint="eastAsia" w:ascii="宋体" w:hAnsi="宋体"/>
          <w:szCs w:val="21"/>
        </w:rPr>
        <w:t>除专用合同条款另有约定外，发包人应根据合同工程的施工需要，负责办理取得出入施工场地的专用和临时道路的通行权，以及取得为工程建设所需修建场外设施的权利，并承担有关费用。承包人应协助发包人办理上述手续。</w:t>
      </w:r>
    </w:p>
    <w:p w14:paraId="25410CF4">
      <w:pPr>
        <w:pStyle w:val="6"/>
        <w:spacing w:before="0" w:beforeAutospacing="0" w:after="0" w:afterAutospacing="0" w:line="360" w:lineRule="auto"/>
        <w:rPr>
          <w:rFonts w:hint="eastAsia"/>
        </w:rPr>
      </w:pPr>
      <w:r>
        <w:rPr>
          <w:rFonts w:hint="eastAsia"/>
        </w:rPr>
        <w:t>7.2 场内施工道路</w:t>
      </w:r>
    </w:p>
    <w:p w14:paraId="4D1D02FD">
      <w:pPr>
        <w:spacing w:line="360" w:lineRule="auto"/>
        <w:ind w:firstLine="420" w:firstLineChars="200"/>
        <w:rPr>
          <w:rFonts w:hint="eastAsia" w:ascii="宋体" w:hAnsi="宋体"/>
          <w:szCs w:val="21"/>
        </w:rPr>
      </w:pPr>
      <w:r>
        <w:rPr>
          <w:rFonts w:hint="eastAsia" w:ascii="宋体" w:hAnsi="宋体"/>
          <w:szCs w:val="21"/>
        </w:rPr>
        <w:t>7.2.1 除专用合同条款另有约定外，承包人应负责修建、维修、养护和管理施工所需的临时道路和交通设施，包括维修、养护和管理发包人提供的道路和交通设施，并承担相应费用。</w:t>
      </w:r>
    </w:p>
    <w:p w14:paraId="60982EE4">
      <w:pPr>
        <w:spacing w:line="360" w:lineRule="auto"/>
        <w:ind w:firstLine="420" w:firstLineChars="200"/>
        <w:rPr>
          <w:rFonts w:hint="eastAsia" w:ascii="宋体" w:hAnsi="宋体"/>
          <w:szCs w:val="21"/>
        </w:rPr>
      </w:pPr>
      <w:r>
        <w:rPr>
          <w:rFonts w:hint="eastAsia" w:ascii="宋体" w:hAnsi="宋体"/>
          <w:szCs w:val="21"/>
        </w:rPr>
        <w:t>7.2.2 除专用合同条款另有约定外，承包人修建的临时道路和交通设施应免费提供发包人和监理人使用。</w:t>
      </w:r>
    </w:p>
    <w:p w14:paraId="17931B90">
      <w:pPr>
        <w:pStyle w:val="6"/>
        <w:spacing w:before="0" w:beforeAutospacing="0" w:after="0" w:afterAutospacing="0" w:line="360" w:lineRule="auto"/>
        <w:rPr>
          <w:rFonts w:hint="eastAsia"/>
        </w:rPr>
      </w:pPr>
      <w:r>
        <w:rPr>
          <w:rFonts w:hint="eastAsia"/>
        </w:rPr>
        <w:t>7.3 场外交通</w:t>
      </w:r>
    </w:p>
    <w:p w14:paraId="26EC3123">
      <w:pPr>
        <w:spacing w:line="360" w:lineRule="auto"/>
        <w:ind w:firstLine="420" w:firstLineChars="200"/>
        <w:rPr>
          <w:rFonts w:hint="eastAsia" w:ascii="宋体" w:hAnsi="宋体"/>
          <w:szCs w:val="21"/>
        </w:rPr>
      </w:pPr>
      <w:r>
        <w:rPr>
          <w:rFonts w:hint="eastAsia" w:ascii="宋体" w:hAnsi="宋体"/>
          <w:szCs w:val="21"/>
        </w:rPr>
        <w:t>7.3.1 承包人车辆外出行驶所需的场外公共道路的通行费、养路费和税款等由承包人承担。</w:t>
      </w:r>
    </w:p>
    <w:p w14:paraId="5D9EBA27">
      <w:pPr>
        <w:spacing w:line="360" w:lineRule="auto"/>
        <w:ind w:firstLine="420" w:firstLineChars="200"/>
        <w:rPr>
          <w:rFonts w:hint="eastAsia" w:ascii="宋体" w:hAnsi="宋体"/>
          <w:szCs w:val="21"/>
        </w:rPr>
      </w:pPr>
      <w:r>
        <w:rPr>
          <w:rFonts w:hint="eastAsia" w:ascii="宋体" w:hAnsi="宋体"/>
          <w:szCs w:val="21"/>
        </w:rPr>
        <w:t>7.3.2 承包人应遵守有关交通法规，严格按照道路和桥梁的限制荷重安全行驶，并服从交通管理部门的检查和监督。</w:t>
      </w:r>
    </w:p>
    <w:p w14:paraId="057A37F9">
      <w:pPr>
        <w:pStyle w:val="6"/>
        <w:spacing w:before="0" w:beforeAutospacing="0" w:after="0" w:afterAutospacing="0" w:line="360" w:lineRule="auto"/>
        <w:rPr>
          <w:rFonts w:hint="eastAsia"/>
        </w:rPr>
      </w:pPr>
      <w:r>
        <w:rPr>
          <w:rFonts w:hint="eastAsia"/>
        </w:rPr>
        <w:t>7.4 超大件和超重件的运输</w:t>
      </w:r>
    </w:p>
    <w:p w14:paraId="24B46FAF">
      <w:pPr>
        <w:spacing w:line="360" w:lineRule="auto"/>
        <w:ind w:firstLine="420" w:firstLineChars="200"/>
        <w:rPr>
          <w:rFonts w:hint="eastAsia" w:ascii="宋体" w:hAnsi="宋体"/>
          <w:szCs w:val="21"/>
        </w:rPr>
      </w:pPr>
      <w:r>
        <w:rPr>
          <w:rFonts w:hint="eastAsia" w:ascii="宋体" w:hAnsi="宋体"/>
          <w:szCs w:val="21"/>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80ADF66">
      <w:pPr>
        <w:pStyle w:val="6"/>
        <w:spacing w:before="0" w:beforeAutospacing="0" w:after="0" w:afterAutospacing="0" w:line="360" w:lineRule="auto"/>
        <w:rPr>
          <w:rFonts w:hint="eastAsia"/>
        </w:rPr>
      </w:pPr>
      <w:r>
        <w:rPr>
          <w:rFonts w:hint="eastAsia"/>
        </w:rPr>
        <w:t>7.5 道路和桥梁的损坏责任</w:t>
      </w:r>
    </w:p>
    <w:p w14:paraId="6EF449E1">
      <w:pPr>
        <w:spacing w:line="360" w:lineRule="auto"/>
        <w:ind w:firstLine="420" w:firstLineChars="200"/>
        <w:rPr>
          <w:rFonts w:hint="eastAsia" w:ascii="宋体" w:hAnsi="宋体"/>
          <w:szCs w:val="21"/>
        </w:rPr>
      </w:pPr>
      <w:r>
        <w:rPr>
          <w:rFonts w:hint="eastAsia" w:ascii="宋体" w:hAnsi="宋体"/>
          <w:szCs w:val="21"/>
        </w:rPr>
        <w:t>因承包人运输造成施工场地内外公共道路和桥梁损坏的，由承包人承担修复损坏的全部费用和可能引起的赔偿。</w:t>
      </w:r>
    </w:p>
    <w:p w14:paraId="76BFDBDA">
      <w:pPr>
        <w:pStyle w:val="6"/>
        <w:spacing w:before="0" w:beforeAutospacing="0" w:after="0" w:afterAutospacing="0" w:line="360" w:lineRule="auto"/>
        <w:rPr>
          <w:rFonts w:hint="eastAsia"/>
        </w:rPr>
      </w:pPr>
      <w:r>
        <w:rPr>
          <w:rFonts w:hint="eastAsia"/>
        </w:rPr>
        <w:t>7.6 水路和航空运输</w:t>
      </w:r>
    </w:p>
    <w:p w14:paraId="48B3EA47">
      <w:pPr>
        <w:spacing w:line="360" w:lineRule="auto"/>
        <w:ind w:firstLine="420" w:firstLineChars="200"/>
        <w:rPr>
          <w:rFonts w:ascii="宋体" w:hAnsi="宋体"/>
          <w:szCs w:val="21"/>
        </w:rPr>
      </w:pPr>
      <w:r>
        <w:rPr>
          <w:rFonts w:hint="eastAsia" w:ascii="宋体" w:hAnsi="宋体"/>
          <w:szCs w:val="21"/>
        </w:rPr>
        <w:t>本条上述各款的内容适用于水路运输和航空运输，其中“道路”一词的涵义包括河道、航线、船闸、机场、码头、堤防以及水路或航空运输中其他相似结构物；“车辆”一词的涯义包括船舶和飞机等。</w:t>
      </w:r>
    </w:p>
    <w:p w14:paraId="2A7CB049">
      <w:pPr>
        <w:pStyle w:val="5"/>
        <w:spacing w:before="0" w:after="0" w:line="360" w:lineRule="auto"/>
        <w:rPr>
          <w:rFonts w:hint="eastAsia" w:ascii="宋体" w:hAnsi="宋体"/>
        </w:rPr>
      </w:pPr>
      <w:bookmarkStart w:id="488" w:name="_Toc11747"/>
      <w:bookmarkStart w:id="489" w:name="_Toc218"/>
      <w:bookmarkStart w:id="490" w:name="_Toc57795947"/>
      <w:bookmarkStart w:id="491" w:name="_Toc11172"/>
      <w:bookmarkStart w:id="492" w:name="_Toc184635105"/>
      <w:r>
        <w:rPr>
          <w:rFonts w:hint="eastAsia" w:ascii="宋体" w:hAnsi="宋体"/>
        </w:rPr>
        <w:t>8、测量放线</w:t>
      </w:r>
      <w:bookmarkEnd w:id="488"/>
      <w:bookmarkEnd w:id="489"/>
      <w:bookmarkEnd w:id="490"/>
      <w:bookmarkEnd w:id="491"/>
      <w:bookmarkEnd w:id="492"/>
    </w:p>
    <w:p w14:paraId="3F4DCC70">
      <w:pPr>
        <w:pStyle w:val="6"/>
        <w:spacing w:before="0" w:beforeAutospacing="0" w:after="0" w:afterAutospacing="0" w:line="360" w:lineRule="auto"/>
        <w:rPr>
          <w:rFonts w:hint="eastAsia"/>
        </w:rPr>
      </w:pPr>
      <w:r>
        <w:rPr>
          <w:rFonts w:hint="eastAsia"/>
        </w:rPr>
        <w:t>8.1 施工控制网</w:t>
      </w:r>
    </w:p>
    <w:p w14:paraId="7B35ED4E">
      <w:pPr>
        <w:spacing w:line="360" w:lineRule="auto"/>
        <w:ind w:firstLine="420" w:firstLineChars="200"/>
        <w:rPr>
          <w:rFonts w:hint="eastAsia" w:ascii="宋体" w:hAnsi="宋体"/>
          <w:szCs w:val="21"/>
        </w:rPr>
      </w:pPr>
      <w:r>
        <w:rPr>
          <w:rFonts w:hint="eastAsia" w:ascii="宋体" w:hAnsi="宋体"/>
          <w:szCs w:val="21"/>
        </w:rPr>
        <w:t>8.1.1 发包人应在专用合同条款约定的期限内，通过监理人向承包人提供测量基准点、基准线和水准点及其书面资料。除专用合同条款另有约定外，承包人应根据国家测绘基准、测绘系统和工程测量技术规范，按上述基准点（线）以及合同工程精度要求，测设施工控制网，并在专用合同条款约定的期限内，将施工控制网资料报送监理人审批。</w:t>
      </w:r>
    </w:p>
    <w:p w14:paraId="2E232133">
      <w:pPr>
        <w:spacing w:line="360" w:lineRule="auto"/>
        <w:ind w:firstLine="420" w:firstLineChars="200"/>
        <w:rPr>
          <w:rFonts w:hint="eastAsia" w:ascii="宋体" w:hAnsi="宋体"/>
          <w:szCs w:val="21"/>
        </w:rPr>
      </w:pPr>
      <w:r>
        <w:rPr>
          <w:rFonts w:hint="eastAsia" w:ascii="宋体" w:hAnsi="宋体"/>
          <w:szCs w:val="21"/>
        </w:rPr>
        <w:t>8.1.2 承包人应负责管理施工控制网点。施工控制网点丢失或损坏的，承包人应及时修复。承包人应承担施工控制网点的管理与修复费用，并在工程竣工后将施工控制网点移交发包人。</w:t>
      </w:r>
    </w:p>
    <w:p w14:paraId="610BB9DE">
      <w:pPr>
        <w:pStyle w:val="6"/>
        <w:spacing w:before="0" w:beforeAutospacing="0" w:after="0" w:afterAutospacing="0" w:line="360" w:lineRule="auto"/>
        <w:rPr>
          <w:rFonts w:hint="eastAsia"/>
        </w:rPr>
      </w:pPr>
      <w:r>
        <w:rPr>
          <w:rFonts w:hint="eastAsia"/>
        </w:rPr>
        <w:t>8.2 施工测量</w:t>
      </w:r>
    </w:p>
    <w:p w14:paraId="2649BF6F">
      <w:pPr>
        <w:spacing w:line="360" w:lineRule="auto"/>
        <w:ind w:firstLine="420" w:firstLineChars="200"/>
        <w:rPr>
          <w:rFonts w:hint="eastAsia" w:ascii="宋体" w:hAnsi="宋体"/>
          <w:szCs w:val="21"/>
        </w:rPr>
      </w:pPr>
      <w:r>
        <w:rPr>
          <w:rFonts w:hint="eastAsia" w:ascii="宋体" w:hAnsi="宋体"/>
          <w:szCs w:val="21"/>
        </w:rPr>
        <w:t>8.2.1 承包人应负责施工过程中的全部施工测量放线工作，并配置合格的人员、仪器、设备和其他物品。</w:t>
      </w:r>
    </w:p>
    <w:p w14:paraId="79556EEA">
      <w:pPr>
        <w:spacing w:line="360" w:lineRule="auto"/>
        <w:ind w:firstLine="420" w:firstLineChars="200"/>
        <w:rPr>
          <w:rFonts w:hint="eastAsia" w:ascii="宋体" w:hAnsi="宋体"/>
          <w:szCs w:val="21"/>
        </w:rPr>
      </w:pPr>
      <w:r>
        <w:rPr>
          <w:rFonts w:hint="eastAsia" w:ascii="宋体" w:hAnsi="宋体"/>
          <w:szCs w:val="21"/>
        </w:rPr>
        <w:t>8.2.2 监理人可以指示承包人进行抽样复测，当复测中发现错误或出现超过合同约定的误差时，承包人应按监理人指示进行修正或补测，并承担相应的复测费用。</w:t>
      </w:r>
    </w:p>
    <w:p w14:paraId="08D8BCD8">
      <w:pPr>
        <w:pStyle w:val="6"/>
        <w:spacing w:before="0" w:beforeAutospacing="0" w:after="0" w:afterAutospacing="0" w:line="360" w:lineRule="auto"/>
        <w:rPr>
          <w:rFonts w:hint="eastAsia"/>
        </w:rPr>
      </w:pPr>
      <w:r>
        <w:rPr>
          <w:rFonts w:hint="eastAsia"/>
        </w:rPr>
        <w:t>8.3 基准资料错误的责任</w:t>
      </w:r>
    </w:p>
    <w:p w14:paraId="4CDD38D4">
      <w:pPr>
        <w:spacing w:line="360" w:lineRule="auto"/>
        <w:ind w:firstLine="420" w:firstLineChars="200"/>
        <w:rPr>
          <w:rFonts w:hint="eastAsia" w:ascii="宋体" w:hAnsi="宋体"/>
          <w:szCs w:val="21"/>
        </w:rPr>
      </w:pPr>
      <w:r>
        <w:rPr>
          <w:rFonts w:hint="eastAsia" w:ascii="宋体" w:hAnsi="宋体"/>
          <w:szCs w:val="21"/>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14:paraId="6F5349C3">
      <w:pPr>
        <w:pStyle w:val="6"/>
        <w:spacing w:before="0" w:beforeAutospacing="0" w:after="0" w:afterAutospacing="0" w:line="360" w:lineRule="auto"/>
        <w:rPr>
          <w:rFonts w:hint="eastAsia"/>
        </w:rPr>
      </w:pPr>
      <w:r>
        <w:rPr>
          <w:rFonts w:hint="eastAsia"/>
        </w:rPr>
        <w:t>8.4 监理人使用施工控制网</w:t>
      </w:r>
    </w:p>
    <w:p w14:paraId="0C9D25FF">
      <w:pPr>
        <w:spacing w:line="360" w:lineRule="auto"/>
        <w:ind w:firstLine="420" w:firstLineChars="200"/>
        <w:rPr>
          <w:rFonts w:hint="eastAsia" w:ascii="宋体" w:hAnsi="宋体"/>
          <w:szCs w:val="21"/>
        </w:rPr>
      </w:pPr>
      <w:r>
        <w:rPr>
          <w:rFonts w:hint="eastAsia" w:ascii="宋体" w:hAnsi="宋体"/>
          <w:szCs w:val="21"/>
        </w:rPr>
        <w:t>监理人需要使用施工控制网的，承包人应提供必要的协助，发包人不再为此支付费用。</w:t>
      </w:r>
    </w:p>
    <w:p w14:paraId="1B638FB6">
      <w:pPr>
        <w:pStyle w:val="5"/>
        <w:spacing w:before="0" w:after="0" w:line="360" w:lineRule="auto"/>
        <w:rPr>
          <w:rFonts w:hint="eastAsia" w:ascii="宋体" w:hAnsi="宋体"/>
        </w:rPr>
      </w:pPr>
      <w:bookmarkStart w:id="493" w:name="_Toc184635106"/>
      <w:bookmarkStart w:id="494" w:name="_Toc26998"/>
      <w:bookmarkStart w:id="495" w:name="_Toc57795948"/>
      <w:bookmarkStart w:id="496" w:name="_Toc27414"/>
      <w:bookmarkStart w:id="497" w:name="_Toc22967"/>
      <w:r>
        <w:rPr>
          <w:rFonts w:hint="eastAsia" w:ascii="宋体" w:hAnsi="宋体"/>
        </w:rPr>
        <w:t>9、施工安全、治安保卫和环境保护</w:t>
      </w:r>
      <w:bookmarkEnd w:id="493"/>
      <w:bookmarkEnd w:id="494"/>
      <w:bookmarkEnd w:id="495"/>
      <w:bookmarkEnd w:id="496"/>
      <w:bookmarkEnd w:id="497"/>
    </w:p>
    <w:p w14:paraId="3D943F4B">
      <w:pPr>
        <w:pStyle w:val="6"/>
        <w:spacing w:before="0" w:beforeAutospacing="0" w:after="0" w:afterAutospacing="0" w:line="360" w:lineRule="auto"/>
        <w:rPr>
          <w:rFonts w:hint="eastAsia"/>
        </w:rPr>
      </w:pPr>
      <w:r>
        <w:rPr>
          <w:rFonts w:hint="eastAsia"/>
        </w:rPr>
        <w:t>9.1 发包人的施工安全责任</w:t>
      </w:r>
    </w:p>
    <w:p w14:paraId="471AB2B0">
      <w:pPr>
        <w:spacing w:line="360" w:lineRule="auto"/>
        <w:ind w:firstLine="420" w:firstLineChars="200"/>
        <w:rPr>
          <w:rFonts w:hint="eastAsia" w:ascii="宋体" w:hAnsi="宋体"/>
          <w:szCs w:val="21"/>
        </w:rPr>
      </w:pPr>
      <w:r>
        <w:rPr>
          <w:rFonts w:hint="eastAsia" w:ascii="宋体" w:hAnsi="宋体"/>
          <w:szCs w:val="21"/>
        </w:rPr>
        <w:t>9.1.1 发包人应按合同约定履行安全职责，授权监理人按合同约定的安全工作内容监督、检查承包人安全工作的实施，组织承包人和有关单位进行安全检查。</w:t>
      </w:r>
    </w:p>
    <w:p w14:paraId="099CD8E9">
      <w:pPr>
        <w:spacing w:line="360" w:lineRule="auto"/>
        <w:ind w:firstLine="420" w:firstLineChars="200"/>
        <w:rPr>
          <w:rFonts w:hint="eastAsia" w:ascii="宋体" w:hAnsi="宋体"/>
          <w:szCs w:val="21"/>
        </w:rPr>
      </w:pPr>
      <w:r>
        <w:rPr>
          <w:rFonts w:hint="eastAsia" w:ascii="宋体" w:hAnsi="宋体"/>
          <w:szCs w:val="21"/>
        </w:rPr>
        <w:t>9.1.2 发包人应对其现场机构雇佣的全部人员的工伤事故承担责任，但由于承包人原因造成发包人人员工伤的，应由承包人承担责任。</w:t>
      </w:r>
    </w:p>
    <w:p w14:paraId="126B1D09">
      <w:pPr>
        <w:spacing w:line="360" w:lineRule="auto"/>
        <w:ind w:firstLine="420" w:firstLineChars="200"/>
        <w:rPr>
          <w:rFonts w:hint="eastAsia" w:ascii="宋体" w:hAnsi="宋体"/>
          <w:szCs w:val="21"/>
        </w:rPr>
      </w:pPr>
      <w:r>
        <w:rPr>
          <w:rFonts w:hint="eastAsia" w:ascii="宋体" w:hAnsi="宋体"/>
          <w:szCs w:val="21"/>
        </w:rPr>
        <w:t>9.1.3 发包人应负责赔偿以下各种情况造成的第三者人身伤亡和财产损失：</w:t>
      </w:r>
    </w:p>
    <w:p w14:paraId="563E68BF">
      <w:pPr>
        <w:spacing w:line="360" w:lineRule="auto"/>
        <w:ind w:firstLine="420" w:firstLineChars="200"/>
        <w:rPr>
          <w:rFonts w:hint="eastAsia" w:ascii="宋体" w:hAnsi="宋体"/>
          <w:szCs w:val="21"/>
        </w:rPr>
      </w:pPr>
      <w:r>
        <w:rPr>
          <w:rFonts w:hint="eastAsia" w:ascii="宋体" w:hAnsi="宋体"/>
          <w:szCs w:val="21"/>
        </w:rPr>
        <w:t>（l）工程或工程的任何部分对土地的占用所造成的第三者财产损失；</w:t>
      </w:r>
    </w:p>
    <w:p w14:paraId="5B044A23">
      <w:pPr>
        <w:spacing w:line="360" w:lineRule="auto"/>
        <w:ind w:firstLine="420" w:firstLineChars="200"/>
        <w:rPr>
          <w:rFonts w:hint="eastAsia" w:ascii="宋体" w:hAnsi="宋体"/>
          <w:szCs w:val="21"/>
        </w:rPr>
      </w:pPr>
      <w:r>
        <w:rPr>
          <w:rFonts w:hint="eastAsia" w:ascii="宋体" w:hAnsi="宋体"/>
          <w:szCs w:val="21"/>
        </w:rPr>
        <w:t>（2）由于发包人原因在施工场地及其毗邻地带造成的第三者人身伤亡和财产损失。</w:t>
      </w:r>
    </w:p>
    <w:p w14:paraId="4CE398E6">
      <w:pPr>
        <w:pStyle w:val="6"/>
        <w:spacing w:before="0" w:beforeAutospacing="0" w:after="0" w:afterAutospacing="0" w:line="360" w:lineRule="auto"/>
        <w:rPr>
          <w:rFonts w:hint="eastAsia"/>
        </w:rPr>
      </w:pPr>
      <w:r>
        <w:rPr>
          <w:rFonts w:hint="eastAsia"/>
        </w:rPr>
        <w:t>9.2 承包人的施工安全责任</w:t>
      </w:r>
    </w:p>
    <w:p w14:paraId="3C1F0C69">
      <w:pPr>
        <w:spacing w:line="360" w:lineRule="auto"/>
        <w:ind w:firstLine="420" w:firstLineChars="200"/>
        <w:rPr>
          <w:rFonts w:hint="eastAsia" w:ascii="宋体" w:hAnsi="宋体"/>
          <w:szCs w:val="21"/>
        </w:rPr>
      </w:pPr>
      <w:r>
        <w:rPr>
          <w:rFonts w:hint="eastAsia" w:ascii="宋体" w:hAnsi="宋体"/>
          <w:szCs w:val="21"/>
        </w:rPr>
        <w:t>9.2.1 承包人应按合同约定履行安全职责，执行监理人有关安全工作的指示，并在专用合同条款约定的期限内，按合同约定的安全工作内容，编制施工安全措施计划报送监理人审批。</w:t>
      </w:r>
    </w:p>
    <w:p w14:paraId="74C73BCD">
      <w:pPr>
        <w:spacing w:line="360" w:lineRule="auto"/>
        <w:ind w:firstLine="420" w:firstLineChars="200"/>
        <w:rPr>
          <w:rFonts w:hint="eastAsia" w:ascii="宋体" w:hAnsi="宋体"/>
          <w:szCs w:val="21"/>
        </w:rPr>
      </w:pPr>
      <w:r>
        <w:rPr>
          <w:rFonts w:hint="eastAsia" w:ascii="宋体" w:hAnsi="宋体"/>
          <w:szCs w:val="21"/>
        </w:rPr>
        <w:t>9.2.2 承包人应加强施工作业安全管理，特别应加强易燃、易爆材料、火工器材、有毒与腐蚀性材料和其他危险品的管理，以及对爆破作业和地下工程施工等危险作业的管理。</w:t>
      </w:r>
    </w:p>
    <w:p w14:paraId="541AE76D">
      <w:pPr>
        <w:spacing w:line="360" w:lineRule="auto"/>
        <w:ind w:firstLine="420" w:firstLineChars="200"/>
        <w:rPr>
          <w:rFonts w:hint="eastAsia" w:ascii="宋体" w:hAnsi="宋体"/>
          <w:szCs w:val="21"/>
        </w:rPr>
      </w:pPr>
      <w:r>
        <w:rPr>
          <w:rFonts w:hint="eastAsia" w:ascii="宋体" w:hAnsi="宋体"/>
          <w:szCs w:val="21"/>
        </w:rPr>
        <w:t>9.2.3 承包人应严格按照国家安全标准制定施工安全操作规程，配备必要的安全生产和劳动保护设施，加强对承包人人员的安全教育，并发放安全工作手册和劳动保护用具。</w:t>
      </w:r>
    </w:p>
    <w:p w14:paraId="1271C3FA">
      <w:pPr>
        <w:spacing w:line="360" w:lineRule="auto"/>
        <w:ind w:firstLine="420" w:firstLineChars="200"/>
        <w:rPr>
          <w:rFonts w:hint="eastAsia" w:ascii="宋体" w:hAnsi="宋体"/>
          <w:szCs w:val="21"/>
        </w:rPr>
      </w:pPr>
      <w:r>
        <w:rPr>
          <w:rFonts w:hint="eastAsia" w:ascii="宋体" w:hAnsi="宋体"/>
          <w:szCs w:val="21"/>
        </w:rPr>
        <w:t>9.2.4 承包人应按监理人的指示制定应对灾害的紧急预案，报送监理人审批。承包人还应按预案做好安全检查，配置必要的救助物资和器材，切实保护好有关人员的人身和财产安全。</w:t>
      </w:r>
    </w:p>
    <w:p w14:paraId="5822F0DD">
      <w:pPr>
        <w:spacing w:line="360" w:lineRule="auto"/>
        <w:ind w:firstLine="420" w:firstLineChars="200"/>
        <w:rPr>
          <w:rFonts w:hint="eastAsia" w:ascii="宋体" w:hAnsi="宋体"/>
          <w:szCs w:val="21"/>
        </w:rPr>
      </w:pPr>
      <w:r>
        <w:rPr>
          <w:rFonts w:hint="eastAsia" w:ascii="宋体" w:hAnsi="宋体"/>
          <w:szCs w:val="21"/>
        </w:rPr>
        <w:t>9.2.5 合同约定的安全作业环境及安全施工措施所需费用应遵守有关规定，并包括在相关工作的合同价格中。因采取合同未约定的安全作业环境及安全施工措施增加的费用，由监理人按第3.5 款商定或确定。</w:t>
      </w:r>
    </w:p>
    <w:p w14:paraId="57940EEE">
      <w:pPr>
        <w:spacing w:line="360" w:lineRule="auto"/>
        <w:ind w:firstLine="420" w:firstLineChars="200"/>
        <w:rPr>
          <w:rFonts w:hint="eastAsia" w:ascii="宋体" w:hAnsi="宋体"/>
          <w:szCs w:val="21"/>
        </w:rPr>
      </w:pPr>
      <w:r>
        <w:rPr>
          <w:rFonts w:hint="eastAsia" w:ascii="宋体" w:hAnsi="宋体"/>
          <w:szCs w:val="21"/>
        </w:rPr>
        <w:t>9.2.6 承包人应对其履行合同所雇佣的全部人员，包括分包人人员的工伤事故承担责任，但由于发包人原因造成承包人人员工伤事故的，应由发包人承担责任。</w:t>
      </w:r>
    </w:p>
    <w:p w14:paraId="53E8B79E">
      <w:pPr>
        <w:spacing w:line="360" w:lineRule="auto"/>
        <w:ind w:firstLine="420" w:firstLineChars="200"/>
        <w:rPr>
          <w:rFonts w:hint="eastAsia" w:ascii="宋体" w:hAnsi="宋体"/>
          <w:szCs w:val="21"/>
        </w:rPr>
      </w:pPr>
      <w:r>
        <w:rPr>
          <w:rFonts w:hint="eastAsia" w:ascii="宋体" w:hAnsi="宋体"/>
          <w:szCs w:val="21"/>
        </w:rPr>
        <w:t>9.2.7 由于承包人原因在施工场地内及其毗邻地带造成的第三者人员伤亡和财产损失，由承包人负责赔偿。</w:t>
      </w:r>
    </w:p>
    <w:p w14:paraId="5B31B9C7">
      <w:pPr>
        <w:pStyle w:val="6"/>
        <w:spacing w:before="0" w:beforeAutospacing="0" w:after="0" w:afterAutospacing="0" w:line="360" w:lineRule="auto"/>
        <w:rPr>
          <w:rFonts w:hint="eastAsia"/>
        </w:rPr>
      </w:pPr>
      <w:r>
        <w:rPr>
          <w:rFonts w:hint="eastAsia"/>
        </w:rPr>
        <w:t>9.3 治安保卫</w:t>
      </w:r>
    </w:p>
    <w:p w14:paraId="609D7CCB">
      <w:pPr>
        <w:spacing w:line="360" w:lineRule="auto"/>
        <w:ind w:firstLine="420" w:firstLineChars="200"/>
        <w:rPr>
          <w:rFonts w:hint="eastAsia" w:ascii="宋体" w:hAnsi="宋体"/>
          <w:szCs w:val="21"/>
        </w:rPr>
      </w:pPr>
      <w:r>
        <w:rPr>
          <w:rFonts w:hint="eastAsia" w:ascii="宋体" w:hAnsi="宋体"/>
          <w:szCs w:val="21"/>
        </w:rPr>
        <w:t>9.3.1 除合同另有约定外，发包人应与当地公安部门协商，在现场建立治安管理机构或联防组织，统一管理施工场地的治安保卫事项，履行合同工程的治安保卫职责。</w:t>
      </w:r>
    </w:p>
    <w:p w14:paraId="3043285A">
      <w:pPr>
        <w:spacing w:line="360" w:lineRule="auto"/>
        <w:ind w:firstLine="420" w:firstLineChars="200"/>
        <w:rPr>
          <w:rFonts w:hint="eastAsia" w:ascii="宋体" w:hAnsi="宋体"/>
          <w:szCs w:val="21"/>
        </w:rPr>
      </w:pPr>
      <w:r>
        <w:rPr>
          <w:rFonts w:hint="eastAsia" w:ascii="宋体" w:hAnsi="宋体"/>
          <w:szCs w:val="21"/>
        </w:rPr>
        <w:t>9.3.2 发包人和承包人除应协助现场治安管理机构或联防组织维护施工场地的社会治安外，还应做好包括生活区在内的各自管辖区的治安保卫工作。</w:t>
      </w:r>
    </w:p>
    <w:p w14:paraId="51067F51">
      <w:pPr>
        <w:spacing w:line="360" w:lineRule="auto"/>
        <w:ind w:firstLine="420" w:firstLineChars="200"/>
        <w:rPr>
          <w:rFonts w:hint="eastAsia" w:ascii="宋体" w:hAnsi="宋体"/>
          <w:szCs w:val="21"/>
        </w:rPr>
      </w:pPr>
      <w:r>
        <w:rPr>
          <w:rFonts w:hint="eastAsia" w:ascii="宋体" w:hAnsi="宋体"/>
          <w:szCs w:val="21"/>
        </w:rPr>
        <w:t>9.3.3 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14:paraId="43B3FABF">
      <w:pPr>
        <w:pStyle w:val="6"/>
        <w:spacing w:before="0" w:beforeAutospacing="0" w:after="0" w:afterAutospacing="0" w:line="360" w:lineRule="auto"/>
        <w:rPr>
          <w:rFonts w:hint="eastAsia"/>
        </w:rPr>
      </w:pPr>
      <w:r>
        <w:rPr>
          <w:rFonts w:hint="eastAsia"/>
        </w:rPr>
        <w:t>9.4 环境保护</w:t>
      </w:r>
    </w:p>
    <w:p w14:paraId="639F4C2F">
      <w:pPr>
        <w:spacing w:line="360" w:lineRule="auto"/>
        <w:ind w:firstLine="420" w:firstLineChars="200"/>
        <w:rPr>
          <w:rFonts w:hint="eastAsia" w:ascii="宋体" w:hAnsi="宋体"/>
          <w:szCs w:val="21"/>
        </w:rPr>
      </w:pPr>
      <w:r>
        <w:rPr>
          <w:rFonts w:hint="eastAsia" w:ascii="宋体" w:hAnsi="宋体"/>
          <w:szCs w:val="21"/>
        </w:rPr>
        <w:t>9.4.1 承包人在施工过程中，应遵守有关环境保护的法律，履行合同约定的环境保护义务，并对违反法律和合同约定义务所造成的环境破坏、人身伤害和财产损失负责。</w:t>
      </w:r>
    </w:p>
    <w:p w14:paraId="32506958">
      <w:pPr>
        <w:spacing w:line="360" w:lineRule="auto"/>
        <w:ind w:firstLine="420" w:firstLineChars="200"/>
        <w:rPr>
          <w:rFonts w:hint="eastAsia" w:ascii="宋体" w:hAnsi="宋体"/>
          <w:szCs w:val="21"/>
        </w:rPr>
      </w:pPr>
      <w:r>
        <w:rPr>
          <w:rFonts w:hint="eastAsia" w:ascii="宋体" w:hAnsi="宋体"/>
          <w:szCs w:val="21"/>
        </w:rPr>
        <w:t>9.4.2 承包人应按合同约定的环保工作内容，编制施工环保措施计划，报送监理人审批。</w:t>
      </w:r>
    </w:p>
    <w:p w14:paraId="1DA3B246">
      <w:pPr>
        <w:spacing w:line="360" w:lineRule="auto"/>
        <w:ind w:firstLine="420" w:firstLineChars="200"/>
        <w:rPr>
          <w:rFonts w:hint="eastAsia" w:ascii="宋体" w:hAnsi="宋体"/>
          <w:szCs w:val="21"/>
        </w:rPr>
      </w:pPr>
      <w:r>
        <w:rPr>
          <w:rFonts w:hint="eastAsia" w:ascii="宋体" w:hAnsi="宋体"/>
          <w:szCs w:val="21"/>
        </w:rPr>
        <w:t>9.4.3 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14:paraId="1D39647C">
      <w:pPr>
        <w:spacing w:line="360" w:lineRule="auto"/>
        <w:ind w:firstLine="420" w:firstLineChars="200"/>
        <w:rPr>
          <w:rFonts w:hint="eastAsia" w:ascii="宋体" w:hAnsi="宋体"/>
          <w:szCs w:val="21"/>
        </w:rPr>
      </w:pPr>
      <w:r>
        <w:rPr>
          <w:rFonts w:hint="eastAsia" w:ascii="宋体" w:hAnsi="宋体"/>
          <w:szCs w:val="21"/>
        </w:rPr>
        <w:t>9.4.4 承包人应按合同约定采取有效措施，对施工开挖的边坡及时进行支护，维护排水设施，并进行水土保护，避免因施工造成的地质灾害。</w:t>
      </w:r>
    </w:p>
    <w:p w14:paraId="7B512501">
      <w:pPr>
        <w:spacing w:line="360" w:lineRule="auto"/>
        <w:ind w:firstLine="420" w:firstLineChars="200"/>
        <w:rPr>
          <w:rFonts w:hint="eastAsia" w:ascii="宋体" w:hAnsi="宋体"/>
          <w:szCs w:val="21"/>
        </w:rPr>
      </w:pPr>
      <w:r>
        <w:rPr>
          <w:rFonts w:hint="eastAsia" w:ascii="宋体" w:hAnsi="宋体"/>
          <w:szCs w:val="21"/>
        </w:rPr>
        <w:t>9.4.5 承包人应按国家饮用水管理标准定期对饮用水源进行监测，防止施工活动污染饮用水源。</w:t>
      </w:r>
    </w:p>
    <w:p w14:paraId="573D8674">
      <w:pPr>
        <w:spacing w:line="360" w:lineRule="auto"/>
        <w:ind w:firstLine="420" w:firstLineChars="200"/>
        <w:rPr>
          <w:rFonts w:hint="eastAsia" w:ascii="宋体" w:hAnsi="宋体"/>
          <w:szCs w:val="21"/>
        </w:rPr>
      </w:pPr>
      <w:r>
        <w:rPr>
          <w:rFonts w:hint="eastAsia" w:ascii="宋体" w:hAnsi="宋体"/>
          <w:szCs w:val="21"/>
        </w:rPr>
        <w:t>9.4.6 承包人应按合同约定，加强对噪声、粉尘、废气、废水和废油的控制，努力降低噪声，控制粉尘和废气浓度，做好废水和废油的治理和排放。</w:t>
      </w:r>
    </w:p>
    <w:p w14:paraId="2613A521">
      <w:pPr>
        <w:pStyle w:val="6"/>
        <w:spacing w:before="0" w:beforeAutospacing="0" w:after="0" w:afterAutospacing="0" w:line="360" w:lineRule="auto"/>
        <w:rPr>
          <w:rFonts w:hint="eastAsia"/>
        </w:rPr>
      </w:pPr>
      <w:r>
        <w:rPr>
          <w:rFonts w:hint="eastAsia"/>
        </w:rPr>
        <w:t>9.5 事故处理</w:t>
      </w:r>
    </w:p>
    <w:p w14:paraId="7ECDA9B5">
      <w:pPr>
        <w:spacing w:line="360" w:lineRule="auto"/>
        <w:ind w:firstLine="420" w:firstLineChars="200"/>
        <w:rPr>
          <w:rFonts w:hint="eastAsia" w:ascii="宋体" w:hAnsi="宋体"/>
          <w:szCs w:val="21"/>
        </w:rPr>
      </w:pPr>
      <w:r>
        <w:rPr>
          <w:rFonts w:hint="eastAsia" w:ascii="宋体" w:hAnsi="宋体"/>
          <w:szCs w:val="21"/>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782C6D68">
      <w:pPr>
        <w:pStyle w:val="5"/>
        <w:spacing w:before="0" w:after="0" w:line="360" w:lineRule="auto"/>
        <w:rPr>
          <w:rFonts w:hint="eastAsia" w:ascii="宋体" w:hAnsi="宋体"/>
        </w:rPr>
      </w:pPr>
      <w:bookmarkStart w:id="498" w:name="_Toc30343"/>
      <w:bookmarkStart w:id="499" w:name="_Toc57795949"/>
      <w:bookmarkStart w:id="500" w:name="_Toc11351"/>
      <w:bookmarkStart w:id="501" w:name="_Toc184635107"/>
      <w:bookmarkStart w:id="502" w:name="_Toc8968"/>
      <w:r>
        <w:rPr>
          <w:rFonts w:hint="eastAsia" w:ascii="宋体" w:hAnsi="宋体"/>
        </w:rPr>
        <w:t>10、进度计划</w:t>
      </w:r>
      <w:bookmarkEnd w:id="498"/>
      <w:bookmarkEnd w:id="499"/>
      <w:bookmarkEnd w:id="500"/>
      <w:bookmarkEnd w:id="501"/>
      <w:bookmarkEnd w:id="502"/>
    </w:p>
    <w:p w14:paraId="1389C074">
      <w:pPr>
        <w:pStyle w:val="6"/>
        <w:spacing w:before="0" w:beforeAutospacing="0" w:after="0" w:afterAutospacing="0" w:line="360" w:lineRule="auto"/>
        <w:rPr>
          <w:rFonts w:hint="eastAsia"/>
        </w:rPr>
      </w:pPr>
      <w:r>
        <w:rPr>
          <w:rFonts w:hint="eastAsia"/>
        </w:rPr>
        <w:t>10.1 合同进度计划</w:t>
      </w:r>
    </w:p>
    <w:p w14:paraId="53DDC148">
      <w:pPr>
        <w:spacing w:line="360" w:lineRule="auto"/>
        <w:ind w:firstLine="420" w:firstLineChars="200"/>
        <w:rPr>
          <w:rFonts w:hint="eastAsia" w:ascii="宋体" w:hAnsi="宋体"/>
          <w:szCs w:val="21"/>
        </w:rPr>
      </w:pPr>
      <w:r>
        <w:rPr>
          <w:rFonts w:hint="eastAsia" w:ascii="宋体" w:hAnsi="宋体"/>
          <w:szCs w:val="21"/>
        </w:rPr>
        <w:t>承包人应按专用合同条款约定的内容和期限，编制详细的施工进度计划和施工方案说明报送监理人。监理人应在专用合同条款约定的期限内批复或提出修改意见，否则该进度计划视为己得到批准。经监理人批准的施工进度计划称合同进度计划，是控制合同工程进度的依据。承包人还应根据合同进度计划，编制更为详细的分阶段或分项进度计划，报监理人审批。</w:t>
      </w:r>
    </w:p>
    <w:p w14:paraId="23B8C7ED">
      <w:pPr>
        <w:pStyle w:val="6"/>
        <w:spacing w:before="0" w:beforeAutospacing="0" w:after="0" w:afterAutospacing="0" w:line="360" w:lineRule="auto"/>
        <w:rPr>
          <w:rFonts w:hint="eastAsia"/>
        </w:rPr>
      </w:pPr>
      <w:r>
        <w:rPr>
          <w:rFonts w:hint="eastAsia"/>
        </w:rPr>
        <w:t>10.2 合同进度计划的修订</w:t>
      </w:r>
    </w:p>
    <w:p w14:paraId="4FF532B8">
      <w:pPr>
        <w:spacing w:line="360" w:lineRule="auto"/>
        <w:ind w:firstLine="420" w:firstLineChars="200"/>
        <w:rPr>
          <w:rFonts w:hint="eastAsia" w:ascii="宋体" w:hAnsi="宋体"/>
          <w:szCs w:val="21"/>
        </w:rPr>
      </w:pPr>
      <w:r>
        <w:rPr>
          <w:rFonts w:hint="eastAsia" w:ascii="宋体" w:hAnsi="宋体"/>
          <w:szCs w:val="21"/>
        </w:rPr>
        <w:t>不论何种原因造成工程的实际进度与第10.1 款的合同进度计划不符时，承包人可以在专用合同条款约定的期限内向监理人提交修订合同进度计划的申请报告，并附有关措施和相关资料，报监理人审批；监理人也可以直接向承包人作出修订合同进度计划的指示，承包人应按该指示修订合同进度计划，报监理人审批。监理人应在专用合同条款约定的期限内批复。监理人在批复前应获得发包人同意。</w:t>
      </w:r>
    </w:p>
    <w:p w14:paraId="7905192D">
      <w:pPr>
        <w:pStyle w:val="5"/>
        <w:spacing w:before="0" w:after="0" w:line="360" w:lineRule="auto"/>
        <w:rPr>
          <w:rFonts w:hint="eastAsia" w:ascii="宋体" w:hAnsi="宋体"/>
        </w:rPr>
      </w:pPr>
      <w:bookmarkStart w:id="503" w:name="_Toc17698"/>
      <w:bookmarkStart w:id="504" w:name="_Toc184635108"/>
      <w:bookmarkStart w:id="505" w:name="_Toc57795950"/>
      <w:bookmarkStart w:id="506" w:name="_Toc29924"/>
      <w:bookmarkStart w:id="507" w:name="_Toc23143"/>
      <w:r>
        <w:rPr>
          <w:rFonts w:hint="eastAsia" w:ascii="宋体" w:hAnsi="宋体"/>
        </w:rPr>
        <w:t>11、开工和竣工</w:t>
      </w:r>
      <w:bookmarkEnd w:id="503"/>
      <w:bookmarkEnd w:id="504"/>
      <w:bookmarkEnd w:id="505"/>
      <w:bookmarkEnd w:id="506"/>
      <w:bookmarkEnd w:id="507"/>
    </w:p>
    <w:p w14:paraId="5B37B74E">
      <w:pPr>
        <w:pStyle w:val="6"/>
        <w:spacing w:before="0" w:beforeAutospacing="0" w:after="0" w:afterAutospacing="0" w:line="360" w:lineRule="auto"/>
        <w:rPr>
          <w:rFonts w:hint="eastAsia"/>
        </w:rPr>
      </w:pPr>
      <w:r>
        <w:rPr>
          <w:rFonts w:hint="eastAsia"/>
        </w:rPr>
        <w:t>11.1 开工</w:t>
      </w:r>
    </w:p>
    <w:p w14:paraId="26259130">
      <w:pPr>
        <w:spacing w:line="360" w:lineRule="auto"/>
        <w:ind w:firstLine="420" w:firstLineChars="200"/>
        <w:rPr>
          <w:rFonts w:hint="eastAsia" w:ascii="宋体" w:hAnsi="宋体"/>
          <w:szCs w:val="21"/>
        </w:rPr>
      </w:pPr>
      <w:r>
        <w:rPr>
          <w:rFonts w:hint="eastAsia" w:ascii="宋体" w:hAnsi="宋体"/>
          <w:szCs w:val="21"/>
        </w:rPr>
        <w:t>11.1.1 监理人应在开工日期7 天前向承包人发出开工通知。监理人在发出开工通知前应获得发包人同意。工期自监理人发出的开工通知中载明的开工日期起计算。承包人应在开工日期后尽快施工。</w:t>
      </w:r>
    </w:p>
    <w:p w14:paraId="588B40C4">
      <w:pPr>
        <w:spacing w:line="360" w:lineRule="auto"/>
        <w:ind w:firstLine="420" w:firstLineChars="200"/>
        <w:rPr>
          <w:rFonts w:hint="eastAsia" w:ascii="宋体" w:hAnsi="宋体"/>
          <w:szCs w:val="21"/>
        </w:rPr>
      </w:pPr>
      <w:r>
        <w:rPr>
          <w:rFonts w:hint="eastAsia" w:ascii="宋体" w:hAnsi="宋体"/>
          <w:szCs w:val="21"/>
        </w:rPr>
        <w:t>11.1.2 承包人应按第10.1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14:paraId="5999BC15">
      <w:pPr>
        <w:pStyle w:val="6"/>
        <w:spacing w:before="0" w:beforeAutospacing="0" w:after="0" w:afterAutospacing="0" w:line="360" w:lineRule="auto"/>
        <w:rPr>
          <w:rFonts w:hint="eastAsia"/>
        </w:rPr>
      </w:pPr>
      <w:r>
        <w:rPr>
          <w:rFonts w:hint="eastAsia"/>
        </w:rPr>
        <w:t>11.2 竣工</w:t>
      </w:r>
    </w:p>
    <w:p w14:paraId="25E68C01">
      <w:pPr>
        <w:spacing w:line="360" w:lineRule="auto"/>
        <w:ind w:firstLine="420" w:firstLineChars="200"/>
        <w:rPr>
          <w:rFonts w:hint="eastAsia" w:ascii="宋体" w:hAnsi="宋体"/>
          <w:szCs w:val="21"/>
        </w:rPr>
      </w:pPr>
      <w:r>
        <w:rPr>
          <w:rFonts w:hint="eastAsia" w:ascii="宋体" w:hAnsi="宋体"/>
          <w:szCs w:val="21"/>
        </w:rPr>
        <w:t>承包人应在第1.1.4.3 目约定的期限内完成合同工程。实际竣工日期在接收证书中写明。</w:t>
      </w:r>
    </w:p>
    <w:p w14:paraId="7F972110">
      <w:pPr>
        <w:pStyle w:val="6"/>
        <w:spacing w:before="0" w:beforeAutospacing="0" w:after="0" w:afterAutospacing="0" w:line="360" w:lineRule="auto"/>
        <w:rPr>
          <w:rFonts w:hint="eastAsia"/>
        </w:rPr>
      </w:pPr>
      <w:r>
        <w:rPr>
          <w:rFonts w:hint="eastAsia"/>
        </w:rPr>
        <w:t>11.3 发包人的工期延误</w:t>
      </w:r>
    </w:p>
    <w:p w14:paraId="2D57D377">
      <w:pPr>
        <w:spacing w:line="360" w:lineRule="auto"/>
        <w:ind w:firstLine="420" w:firstLineChars="200"/>
        <w:rPr>
          <w:rFonts w:hint="eastAsia" w:ascii="宋体" w:hAnsi="宋体"/>
          <w:szCs w:val="21"/>
        </w:rPr>
      </w:pPr>
      <w:r>
        <w:rPr>
          <w:rFonts w:hint="eastAsia" w:ascii="宋体" w:hAnsi="宋体"/>
          <w:szCs w:val="21"/>
        </w:rPr>
        <w:t>在履行合同过程中，由于发包人的下列原因造成工期延误的，承包人有权要求发包人延长工期和（或）增加费用，并支付合理利润。需要修订合同进度计划的，按照第10.2 款的约定办理。</w:t>
      </w:r>
    </w:p>
    <w:p w14:paraId="639FB085">
      <w:pPr>
        <w:spacing w:line="360" w:lineRule="auto"/>
        <w:ind w:firstLine="420" w:firstLineChars="200"/>
        <w:rPr>
          <w:rFonts w:hint="eastAsia" w:ascii="宋体" w:hAnsi="宋体"/>
          <w:szCs w:val="21"/>
        </w:rPr>
      </w:pPr>
      <w:r>
        <w:rPr>
          <w:rFonts w:hint="eastAsia" w:ascii="宋体" w:hAnsi="宋体"/>
          <w:szCs w:val="21"/>
        </w:rPr>
        <w:t>（l）增加合同工作内容；</w:t>
      </w:r>
    </w:p>
    <w:p w14:paraId="70E480DE">
      <w:pPr>
        <w:spacing w:line="360" w:lineRule="auto"/>
        <w:ind w:firstLine="420" w:firstLineChars="200"/>
        <w:rPr>
          <w:rFonts w:hint="eastAsia" w:ascii="宋体" w:hAnsi="宋体"/>
          <w:szCs w:val="21"/>
        </w:rPr>
      </w:pPr>
      <w:r>
        <w:rPr>
          <w:rFonts w:hint="eastAsia" w:ascii="宋体" w:hAnsi="宋体"/>
          <w:szCs w:val="21"/>
        </w:rPr>
        <w:t>（2）改变合同中任何一项工作的质量要求或其他特性；</w:t>
      </w:r>
    </w:p>
    <w:p w14:paraId="47F7D3C7">
      <w:pPr>
        <w:spacing w:line="360" w:lineRule="auto"/>
        <w:ind w:firstLine="420" w:firstLineChars="200"/>
        <w:rPr>
          <w:rFonts w:hint="eastAsia" w:ascii="宋体" w:hAnsi="宋体"/>
          <w:szCs w:val="21"/>
        </w:rPr>
      </w:pPr>
      <w:r>
        <w:rPr>
          <w:rFonts w:hint="eastAsia" w:ascii="宋体" w:hAnsi="宋体"/>
          <w:szCs w:val="21"/>
        </w:rPr>
        <w:t>（3）发包人迟延提供材料、工程设备或变更交货地点的；</w:t>
      </w:r>
    </w:p>
    <w:p w14:paraId="42FC18C9">
      <w:pPr>
        <w:spacing w:line="360" w:lineRule="auto"/>
        <w:ind w:firstLine="420" w:firstLineChars="200"/>
        <w:rPr>
          <w:rFonts w:hint="eastAsia" w:ascii="宋体" w:hAnsi="宋体"/>
          <w:szCs w:val="21"/>
        </w:rPr>
      </w:pPr>
      <w:r>
        <w:rPr>
          <w:rFonts w:hint="eastAsia" w:ascii="宋体" w:hAnsi="宋体"/>
          <w:szCs w:val="21"/>
        </w:rPr>
        <w:t>（4）因发包人原因导致的暂停施工；</w:t>
      </w:r>
    </w:p>
    <w:p w14:paraId="389BEBDD">
      <w:pPr>
        <w:spacing w:line="360" w:lineRule="auto"/>
        <w:ind w:firstLine="420" w:firstLineChars="200"/>
        <w:rPr>
          <w:rFonts w:hint="eastAsia" w:ascii="宋体" w:hAnsi="宋体"/>
          <w:szCs w:val="21"/>
        </w:rPr>
      </w:pPr>
      <w:r>
        <w:rPr>
          <w:rFonts w:hint="eastAsia" w:ascii="宋体" w:hAnsi="宋体"/>
          <w:szCs w:val="21"/>
        </w:rPr>
        <w:t>（5）提供图纸延误；</w:t>
      </w:r>
    </w:p>
    <w:p w14:paraId="3DDDB3CE">
      <w:pPr>
        <w:spacing w:line="360" w:lineRule="auto"/>
        <w:ind w:firstLine="420" w:firstLineChars="200"/>
        <w:rPr>
          <w:rFonts w:hint="eastAsia" w:ascii="宋体" w:hAnsi="宋体"/>
          <w:szCs w:val="21"/>
        </w:rPr>
      </w:pPr>
      <w:r>
        <w:rPr>
          <w:rFonts w:hint="eastAsia" w:ascii="宋体" w:hAnsi="宋体"/>
          <w:szCs w:val="21"/>
        </w:rPr>
        <w:t>（6）未按合同约定及时支付预付款、进度款；</w:t>
      </w:r>
    </w:p>
    <w:p w14:paraId="67AA7C94">
      <w:pPr>
        <w:spacing w:line="360" w:lineRule="auto"/>
        <w:ind w:firstLine="420" w:firstLineChars="200"/>
        <w:rPr>
          <w:rFonts w:hint="eastAsia" w:ascii="宋体" w:hAnsi="宋体"/>
          <w:szCs w:val="21"/>
        </w:rPr>
      </w:pPr>
      <w:r>
        <w:rPr>
          <w:rFonts w:hint="eastAsia" w:ascii="宋体" w:hAnsi="宋体"/>
          <w:szCs w:val="21"/>
        </w:rPr>
        <w:t>（7）发包人造成工期延误的其他原因。</w:t>
      </w:r>
    </w:p>
    <w:p w14:paraId="6B3BB13E">
      <w:pPr>
        <w:pStyle w:val="6"/>
        <w:spacing w:before="0" w:beforeAutospacing="0" w:after="0" w:afterAutospacing="0" w:line="360" w:lineRule="auto"/>
        <w:rPr>
          <w:rFonts w:hint="eastAsia"/>
        </w:rPr>
      </w:pPr>
      <w:r>
        <w:rPr>
          <w:rFonts w:hint="eastAsia"/>
        </w:rPr>
        <w:t>11.4 异常恶劣的气候条件</w:t>
      </w:r>
    </w:p>
    <w:p w14:paraId="7DEBF7CB">
      <w:pPr>
        <w:spacing w:line="360" w:lineRule="auto"/>
        <w:ind w:firstLine="420" w:firstLineChars="200"/>
        <w:rPr>
          <w:rFonts w:hint="eastAsia" w:ascii="宋体" w:hAnsi="宋体"/>
          <w:szCs w:val="21"/>
        </w:rPr>
      </w:pPr>
      <w:r>
        <w:rPr>
          <w:rFonts w:hint="eastAsia" w:ascii="宋体" w:hAnsi="宋体"/>
          <w:szCs w:val="21"/>
        </w:rPr>
        <w:t>由于出现专用合同条款规定的异常恶劣气候的条件导致工期延误的，承包人有权要求发包人延长工期。</w:t>
      </w:r>
    </w:p>
    <w:p w14:paraId="51D71F67">
      <w:pPr>
        <w:pStyle w:val="6"/>
        <w:spacing w:before="0" w:beforeAutospacing="0" w:after="0" w:afterAutospacing="0" w:line="360" w:lineRule="auto"/>
        <w:rPr>
          <w:rFonts w:hint="eastAsia"/>
        </w:rPr>
      </w:pPr>
      <w:r>
        <w:rPr>
          <w:rFonts w:hint="eastAsia"/>
        </w:rPr>
        <w:t>11.5 承包人的工期延误</w:t>
      </w:r>
    </w:p>
    <w:p w14:paraId="12261438">
      <w:pPr>
        <w:spacing w:line="360" w:lineRule="auto"/>
        <w:ind w:firstLine="420" w:firstLineChars="200"/>
        <w:rPr>
          <w:rFonts w:hint="eastAsia" w:ascii="宋体" w:hAnsi="宋体"/>
          <w:szCs w:val="21"/>
        </w:rPr>
      </w:pPr>
      <w:r>
        <w:rPr>
          <w:rFonts w:hint="eastAsia" w:ascii="宋体" w:hAnsi="宋体"/>
          <w:szCs w:val="21"/>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14:paraId="4F6C4BF4">
      <w:pPr>
        <w:pStyle w:val="6"/>
        <w:spacing w:before="0" w:beforeAutospacing="0" w:after="0" w:afterAutospacing="0" w:line="360" w:lineRule="auto"/>
        <w:rPr>
          <w:rFonts w:hint="eastAsia"/>
        </w:rPr>
      </w:pPr>
      <w:r>
        <w:rPr>
          <w:rFonts w:hint="eastAsia"/>
        </w:rPr>
        <w:t>11.6 工期提前</w:t>
      </w:r>
    </w:p>
    <w:p w14:paraId="0029A2AE">
      <w:pPr>
        <w:spacing w:line="360" w:lineRule="auto"/>
        <w:ind w:firstLine="420" w:firstLineChars="200"/>
        <w:rPr>
          <w:rFonts w:hint="eastAsia" w:ascii="宋体" w:hAnsi="宋体"/>
          <w:szCs w:val="21"/>
        </w:rPr>
      </w:pPr>
      <w:r>
        <w:rPr>
          <w:rFonts w:hint="eastAsia" w:ascii="宋体" w:hAnsi="宋体"/>
          <w:szCs w:val="21"/>
        </w:rPr>
        <w:t>发包人要求承包人提前竣工，或承包人提出提前竣工的建议能够给发包人带来效益的，应由监理人与承包人共同协商采取加快工程进度的措施和修订合同进度计划。发包人应承担承包人由此增加的费用，并向承包人支付专用合同条款约定的相应奖金。</w:t>
      </w:r>
    </w:p>
    <w:p w14:paraId="5C9902F0">
      <w:pPr>
        <w:pStyle w:val="5"/>
        <w:spacing w:before="0" w:after="0" w:line="360" w:lineRule="auto"/>
        <w:rPr>
          <w:rFonts w:hint="eastAsia" w:ascii="宋体" w:hAnsi="宋体"/>
        </w:rPr>
      </w:pPr>
      <w:bookmarkStart w:id="508" w:name="_Toc6234"/>
      <w:bookmarkStart w:id="509" w:name="_Toc4233"/>
      <w:bookmarkStart w:id="510" w:name="_Toc57795951"/>
      <w:bookmarkStart w:id="511" w:name="_Toc184635109"/>
      <w:bookmarkStart w:id="512" w:name="_Toc4542"/>
      <w:r>
        <w:rPr>
          <w:rFonts w:hint="eastAsia" w:ascii="宋体" w:hAnsi="宋体"/>
        </w:rPr>
        <w:t>12、暂停施工</w:t>
      </w:r>
      <w:bookmarkEnd w:id="508"/>
      <w:bookmarkEnd w:id="509"/>
      <w:bookmarkEnd w:id="510"/>
      <w:bookmarkEnd w:id="511"/>
      <w:bookmarkEnd w:id="512"/>
    </w:p>
    <w:p w14:paraId="41D74E40">
      <w:pPr>
        <w:pStyle w:val="6"/>
        <w:spacing w:before="0" w:beforeAutospacing="0" w:after="0" w:afterAutospacing="0" w:line="360" w:lineRule="auto"/>
        <w:rPr>
          <w:rFonts w:hint="eastAsia"/>
        </w:rPr>
      </w:pPr>
      <w:r>
        <w:rPr>
          <w:rFonts w:hint="eastAsia"/>
        </w:rPr>
        <w:t>12.1 承包人暂停施工的责任</w:t>
      </w:r>
    </w:p>
    <w:p w14:paraId="6831C9A8">
      <w:pPr>
        <w:spacing w:line="360" w:lineRule="auto"/>
        <w:ind w:firstLine="420" w:firstLineChars="200"/>
        <w:rPr>
          <w:rFonts w:hint="eastAsia" w:ascii="宋体" w:hAnsi="宋体"/>
          <w:szCs w:val="21"/>
        </w:rPr>
      </w:pPr>
      <w:r>
        <w:rPr>
          <w:rFonts w:hint="eastAsia" w:ascii="宋体" w:hAnsi="宋体"/>
          <w:szCs w:val="21"/>
        </w:rPr>
        <w:t>因下列暂停施工增加的费用和（或）工期延误由承包人承担：</w:t>
      </w:r>
    </w:p>
    <w:p w14:paraId="729D21C5">
      <w:pPr>
        <w:spacing w:line="360" w:lineRule="auto"/>
        <w:ind w:firstLine="420" w:firstLineChars="200"/>
        <w:rPr>
          <w:rFonts w:hint="eastAsia" w:ascii="宋体" w:hAnsi="宋体"/>
          <w:szCs w:val="21"/>
        </w:rPr>
      </w:pPr>
      <w:r>
        <w:rPr>
          <w:rFonts w:hint="eastAsia" w:ascii="宋体" w:hAnsi="宋体"/>
          <w:szCs w:val="21"/>
        </w:rPr>
        <w:t>（1）承包人违约引起的暂停施工；</w:t>
      </w:r>
    </w:p>
    <w:p w14:paraId="5C093A48">
      <w:pPr>
        <w:spacing w:line="360" w:lineRule="auto"/>
        <w:ind w:firstLine="420" w:firstLineChars="200"/>
        <w:rPr>
          <w:rFonts w:hint="eastAsia" w:ascii="宋体" w:hAnsi="宋体"/>
          <w:szCs w:val="21"/>
        </w:rPr>
      </w:pPr>
      <w:r>
        <w:rPr>
          <w:rFonts w:hint="eastAsia" w:ascii="宋体" w:hAnsi="宋体"/>
          <w:szCs w:val="21"/>
        </w:rPr>
        <w:t>（2）由于承包人原因为工程合理施工和安全保障所必需的暂停施工；</w:t>
      </w:r>
    </w:p>
    <w:p w14:paraId="797CB231">
      <w:pPr>
        <w:spacing w:line="360" w:lineRule="auto"/>
        <w:ind w:firstLine="420" w:firstLineChars="200"/>
        <w:rPr>
          <w:rFonts w:hint="eastAsia" w:ascii="宋体" w:hAnsi="宋体"/>
          <w:szCs w:val="21"/>
        </w:rPr>
      </w:pPr>
      <w:r>
        <w:rPr>
          <w:rFonts w:hint="eastAsia" w:ascii="宋体" w:hAnsi="宋体"/>
          <w:szCs w:val="21"/>
        </w:rPr>
        <w:t>（3）承包人擅自暂停施工；</w:t>
      </w:r>
    </w:p>
    <w:p w14:paraId="375B3F84">
      <w:pPr>
        <w:spacing w:line="360" w:lineRule="auto"/>
        <w:ind w:firstLine="420" w:firstLineChars="200"/>
        <w:rPr>
          <w:rFonts w:hint="eastAsia" w:ascii="宋体" w:hAnsi="宋体"/>
          <w:szCs w:val="21"/>
        </w:rPr>
      </w:pPr>
      <w:r>
        <w:rPr>
          <w:rFonts w:hint="eastAsia" w:ascii="宋体" w:hAnsi="宋体"/>
          <w:szCs w:val="21"/>
        </w:rPr>
        <w:t>（4）承包人其他原因引起的暂停施工；</w:t>
      </w:r>
    </w:p>
    <w:p w14:paraId="61085910">
      <w:pPr>
        <w:spacing w:line="360" w:lineRule="auto"/>
        <w:ind w:firstLine="420" w:firstLineChars="200"/>
        <w:rPr>
          <w:rFonts w:hint="eastAsia" w:ascii="宋体" w:hAnsi="宋体"/>
          <w:szCs w:val="21"/>
        </w:rPr>
      </w:pPr>
      <w:r>
        <w:rPr>
          <w:rFonts w:hint="eastAsia" w:ascii="宋体" w:hAnsi="宋体"/>
          <w:szCs w:val="21"/>
        </w:rPr>
        <w:t>（5）专用合同条款约定由承包人承担的其他暂停施工。</w:t>
      </w:r>
    </w:p>
    <w:p w14:paraId="08FD525D">
      <w:pPr>
        <w:pStyle w:val="6"/>
        <w:spacing w:before="0" w:beforeAutospacing="0" w:after="0" w:afterAutospacing="0" w:line="360" w:lineRule="auto"/>
        <w:rPr>
          <w:rFonts w:hint="eastAsia"/>
        </w:rPr>
      </w:pPr>
      <w:r>
        <w:rPr>
          <w:rFonts w:hint="eastAsia"/>
        </w:rPr>
        <w:t>12.2 发包人暂停施工的责任</w:t>
      </w:r>
    </w:p>
    <w:p w14:paraId="0EB7071F">
      <w:pPr>
        <w:spacing w:line="360" w:lineRule="auto"/>
        <w:ind w:firstLine="420" w:firstLineChars="200"/>
        <w:rPr>
          <w:rFonts w:hint="eastAsia" w:ascii="宋体" w:hAnsi="宋体"/>
          <w:szCs w:val="21"/>
        </w:rPr>
      </w:pPr>
      <w:r>
        <w:rPr>
          <w:rFonts w:hint="eastAsia" w:ascii="宋体" w:hAnsi="宋体"/>
          <w:szCs w:val="21"/>
        </w:rPr>
        <w:t>由于发包人原因引起的暂停施工造成工期延误的，承包人有权要求发包人延长工期和（或）增加费用，并支付合理利润。</w:t>
      </w:r>
    </w:p>
    <w:p w14:paraId="34D6E492">
      <w:pPr>
        <w:pStyle w:val="6"/>
        <w:spacing w:before="0" w:beforeAutospacing="0" w:after="0" w:afterAutospacing="0" w:line="360" w:lineRule="auto"/>
        <w:rPr>
          <w:rFonts w:hint="eastAsia"/>
        </w:rPr>
      </w:pPr>
      <w:r>
        <w:rPr>
          <w:rFonts w:hint="eastAsia"/>
        </w:rPr>
        <w:t>12.3 监理人暂停施工指示</w:t>
      </w:r>
    </w:p>
    <w:p w14:paraId="1B7827DE">
      <w:pPr>
        <w:spacing w:line="360" w:lineRule="auto"/>
        <w:ind w:firstLine="420" w:firstLineChars="200"/>
        <w:rPr>
          <w:rFonts w:hint="eastAsia" w:ascii="宋体" w:hAnsi="宋体"/>
          <w:szCs w:val="21"/>
        </w:rPr>
      </w:pPr>
      <w:r>
        <w:rPr>
          <w:rFonts w:hint="eastAsia" w:ascii="宋体" w:hAnsi="宋体"/>
          <w:szCs w:val="21"/>
        </w:rPr>
        <w:t>12.3.1 监理人认为有必要时，可向承包人作出暂停施工的指示，承包人应按监理人指示暂停施工。不论由于何种原因引起的暂停施工，暂停施工期间承包人应负责妥善保护工程并提供安全保障。</w:t>
      </w:r>
    </w:p>
    <w:p w14:paraId="22FBFDCA">
      <w:pPr>
        <w:spacing w:line="360" w:lineRule="auto"/>
        <w:ind w:firstLine="420" w:firstLineChars="200"/>
        <w:rPr>
          <w:rFonts w:hint="eastAsia" w:ascii="宋体" w:hAnsi="宋体"/>
          <w:szCs w:val="21"/>
        </w:rPr>
      </w:pPr>
      <w:r>
        <w:rPr>
          <w:rFonts w:hint="eastAsia" w:ascii="宋体" w:hAnsi="宋体"/>
          <w:szCs w:val="21"/>
        </w:rPr>
        <w:t>12.3.2 由于发包人的原因发生暂停施工的紧急情况，且监理人未及时下达暂停施工指示的，承包人可先暂停施工，并及时向监理人提出暂停施工的书面请求。监理人应在接到书面请求后的24小时内予以答复，逾期未答复的，视为同意承包人的暂停施工请求。</w:t>
      </w:r>
    </w:p>
    <w:p w14:paraId="042A17A1">
      <w:pPr>
        <w:pStyle w:val="6"/>
        <w:spacing w:before="0" w:beforeAutospacing="0" w:after="0" w:afterAutospacing="0" w:line="360" w:lineRule="auto"/>
        <w:rPr>
          <w:rFonts w:hint="eastAsia"/>
        </w:rPr>
      </w:pPr>
      <w:r>
        <w:rPr>
          <w:rFonts w:hint="eastAsia"/>
        </w:rPr>
        <w:t>12.4 暂停施工后的复工</w:t>
      </w:r>
    </w:p>
    <w:p w14:paraId="43DE04D6">
      <w:pPr>
        <w:spacing w:line="360" w:lineRule="auto"/>
        <w:ind w:firstLine="420" w:firstLineChars="200"/>
        <w:rPr>
          <w:rFonts w:hint="eastAsia" w:ascii="宋体" w:hAnsi="宋体"/>
          <w:szCs w:val="21"/>
        </w:rPr>
      </w:pPr>
      <w:r>
        <w:rPr>
          <w:rFonts w:hint="eastAsia" w:ascii="宋体" w:hAnsi="宋体"/>
          <w:szCs w:val="21"/>
        </w:rPr>
        <w:t>12.4.1 暂停施工后，监理人应与发包人和承包人协商，采取有效措施积极消除暂停施工的影响。当工程具备复工条件时，监理人应立即向承包人发出复工通知。承包人收到复工通知后，应在监理人指定的期限内复工。</w:t>
      </w:r>
    </w:p>
    <w:p w14:paraId="0A721F5C">
      <w:pPr>
        <w:spacing w:line="360" w:lineRule="auto"/>
        <w:ind w:firstLine="420" w:firstLineChars="200"/>
        <w:rPr>
          <w:rFonts w:hint="eastAsia" w:ascii="宋体" w:hAnsi="宋体"/>
          <w:szCs w:val="21"/>
        </w:rPr>
      </w:pPr>
      <w:r>
        <w:rPr>
          <w:rFonts w:hint="eastAsia" w:ascii="宋体" w:hAnsi="宋体"/>
          <w:szCs w:val="21"/>
        </w:rPr>
        <w:t>12.4.2 承包人无故拖延和拒绝复工的，由此增加的费用和工期延误由承包人承担；因发包人原因无法按时复工的，承包人有权要求发包人延长工期和（或）增加费用，并支付合理利润。</w:t>
      </w:r>
    </w:p>
    <w:p w14:paraId="7055618A">
      <w:pPr>
        <w:pStyle w:val="6"/>
        <w:spacing w:before="0" w:beforeAutospacing="0" w:after="0" w:afterAutospacing="0" w:line="360" w:lineRule="auto"/>
        <w:rPr>
          <w:rFonts w:hint="eastAsia"/>
        </w:rPr>
      </w:pPr>
      <w:r>
        <w:rPr>
          <w:rFonts w:hint="eastAsia"/>
        </w:rPr>
        <w:t>12.5 暂停施工持续56 天以上</w:t>
      </w:r>
    </w:p>
    <w:p w14:paraId="00A67A72">
      <w:pPr>
        <w:spacing w:line="360" w:lineRule="auto"/>
        <w:ind w:firstLine="420" w:firstLineChars="200"/>
        <w:rPr>
          <w:rFonts w:hint="eastAsia" w:ascii="宋体" w:hAnsi="宋体"/>
          <w:szCs w:val="21"/>
        </w:rPr>
      </w:pPr>
      <w:r>
        <w:rPr>
          <w:rFonts w:hint="eastAsia" w:ascii="宋体" w:hAnsi="宋体"/>
          <w:szCs w:val="21"/>
        </w:rPr>
        <w:t>12.5.1 监理人发出暂停施工指示后56 天内未向承包人发出复工通知，除了该项停工属于第12.1 款的情况外，承包人可向监理人提交书面通知，要求监理人在收到书面通知后28天内准许已暂停施工的工程或其中一部分工程继续施工。如监理人逾期不予批准，则承包人可以通知监理人，将工程受影响的部分视为按第15.1（l）项的可取消工作。如暂停施工影响到整个工程，可视为发包人违约，应按第22.2 款的规定办理。</w:t>
      </w:r>
    </w:p>
    <w:p w14:paraId="71F2DA17">
      <w:pPr>
        <w:spacing w:line="360" w:lineRule="auto"/>
        <w:ind w:firstLine="420" w:firstLineChars="200"/>
        <w:rPr>
          <w:rFonts w:hint="eastAsia" w:ascii="宋体" w:hAnsi="宋体"/>
          <w:szCs w:val="21"/>
        </w:rPr>
      </w:pPr>
      <w:r>
        <w:rPr>
          <w:rFonts w:hint="eastAsia" w:ascii="宋体" w:hAnsi="宋体"/>
          <w:szCs w:val="21"/>
        </w:rPr>
        <w:t>12.5.2 由于承包人责任引起的暂停施工，如承包人在收到监理人暂停施工指示后56 天内不认真采取有效的复工措施，造成工期延误，可视为承包人违约，应按第22.1 款的规定办理。</w:t>
      </w:r>
    </w:p>
    <w:p w14:paraId="4031EFF9">
      <w:pPr>
        <w:pStyle w:val="5"/>
        <w:spacing w:before="0" w:after="0" w:line="360" w:lineRule="auto"/>
        <w:rPr>
          <w:rFonts w:hint="eastAsia" w:ascii="宋体" w:hAnsi="宋体"/>
        </w:rPr>
      </w:pPr>
      <w:bookmarkStart w:id="513" w:name="_Toc57795952"/>
      <w:bookmarkStart w:id="514" w:name="_Toc16457"/>
      <w:bookmarkStart w:id="515" w:name="_Toc17760"/>
      <w:bookmarkStart w:id="516" w:name="_Toc184635110"/>
      <w:bookmarkStart w:id="517" w:name="_Toc22225"/>
      <w:r>
        <w:rPr>
          <w:rFonts w:hint="eastAsia" w:ascii="宋体" w:hAnsi="宋体"/>
        </w:rPr>
        <w:t>13、工程质量</w:t>
      </w:r>
      <w:bookmarkEnd w:id="513"/>
      <w:bookmarkEnd w:id="514"/>
      <w:bookmarkEnd w:id="515"/>
      <w:bookmarkEnd w:id="516"/>
      <w:bookmarkEnd w:id="517"/>
    </w:p>
    <w:p w14:paraId="37F70BFA">
      <w:pPr>
        <w:pStyle w:val="6"/>
        <w:spacing w:before="0" w:beforeAutospacing="0" w:after="0" w:afterAutospacing="0" w:line="360" w:lineRule="auto"/>
        <w:rPr>
          <w:rFonts w:hint="eastAsia"/>
        </w:rPr>
      </w:pPr>
      <w:r>
        <w:rPr>
          <w:rFonts w:hint="eastAsia"/>
        </w:rPr>
        <w:t>13.1 工程质量要求</w:t>
      </w:r>
    </w:p>
    <w:p w14:paraId="12146FBF">
      <w:pPr>
        <w:spacing w:line="360" w:lineRule="auto"/>
        <w:ind w:firstLine="420" w:firstLineChars="200"/>
        <w:rPr>
          <w:rFonts w:hint="eastAsia" w:ascii="宋体" w:hAnsi="宋体"/>
          <w:szCs w:val="21"/>
        </w:rPr>
      </w:pPr>
      <w:r>
        <w:rPr>
          <w:rFonts w:hint="eastAsia" w:ascii="宋体" w:hAnsi="宋体"/>
          <w:szCs w:val="21"/>
        </w:rPr>
        <w:t>13.1.1 工程质量验收按合同约定验收标准执行。</w:t>
      </w:r>
    </w:p>
    <w:p w14:paraId="72297C8C">
      <w:pPr>
        <w:spacing w:line="360" w:lineRule="auto"/>
        <w:ind w:firstLine="420" w:firstLineChars="200"/>
        <w:rPr>
          <w:rFonts w:hint="eastAsia" w:ascii="宋体" w:hAnsi="宋体"/>
          <w:szCs w:val="21"/>
        </w:rPr>
      </w:pPr>
      <w:r>
        <w:rPr>
          <w:rFonts w:hint="eastAsia" w:ascii="宋体" w:hAnsi="宋体"/>
          <w:szCs w:val="21"/>
        </w:rPr>
        <w:t>13.1.2 因承包人原因造成工程质量达不到合同约定验收标准的，监理人有权要求承包人返工直至符合合同要求为止，由此造成的费用增加和（或）工期延误由承包人承担。</w:t>
      </w:r>
    </w:p>
    <w:p w14:paraId="75CB2510">
      <w:pPr>
        <w:spacing w:line="360" w:lineRule="auto"/>
        <w:ind w:firstLine="420" w:firstLineChars="200"/>
        <w:rPr>
          <w:rFonts w:hint="eastAsia" w:ascii="宋体" w:hAnsi="宋体"/>
          <w:szCs w:val="21"/>
        </w:rPr>
      </w:pPr>
      <w:r>
        <w:rPr>
          <w:rFonts w:hint="eastAsia" w:ascii="宋体" w:hAnsi="宋体"/>
          <w:szCs w:val="21"/>
        </w:rPr>
        <w:t>13.1.3 因发包人原因造成工程质量达不到合同约定验收标准的，发包人应承担由于承包人返工造成的费用增加和（或）工期延误，并支付承包人合理利润。</w:t>
      </w:r>
    </w:p>
    <w:p w14:paraId="3FD7EA89">
      <w:pPr>
        <w:pStyle w:val="6"/>
        <w:spacing w:before="0" w:beforeAutospacing="0" w:after="0" w:afterAutospacing="0" w:line="360" w:lineRule="auto"/>
        <w:rPr>
          <w:rFonts w:hint="eastAsia"/>
        </w:rPr>
      </w:pPr>
      <w:r>
        <w:rPr>
          <w:rFonts w:hint="eastAsia"/>
        </w:rPr>
        <w:t>13.2 承包人的质量管理</w:t>
      </w:r>
    </w:p>
    <w:p w14:paraId="578EF7EA">
      <w:pPr>
        <w:spacing w:line="360" w:lineRule="auto"/>
        <w:ind w:firstLine="420" w:firstLineChars="200"/>
        <w:rPr>
          <w:rFonts w:hint="eastAsia" w:ascii="宋体" w:hAnsi="宋体"/>
          <w:szCs w:val="21"/>
        </w:rPr>
      </w:pPr>
      <w:r>
        <w:rPr>
          <w:rFonts w:hint="eastAsia" w:ascii="宋体" w:hAnsi="宋体"/>
          <w:szCs w:val="21"/>
        </w:rPr>
        <w:t>13.2.1 承包人应在施工场地设置专门的质量检查机构，配备专职质量检查人员，建立完善的质量检查制度。承包人应在合同约定的期限内，提交工程质量保证措施文件，包括质量检查机构的组织和岗位责任、质检人员的组成、质量检查程序和实施细则等，报送监理人审批。</w:t>
      </w:r>
    </w:p>
    <w:p w14:paraId="5F899130">
      <w:pPr>
        <w:spacing w:line="360" w:lineRule="auto"/>
        <w:ind w:firstLine="420" w:firstLineChars="200"/>
        <w:rPr>
          <w:rFonts w:ascii="宋体" w:hAnsi="宋体"/>
          <w:szCs w:val="21"/>
        </w:rPr>
      </w:pPr>
      <w:r>
        <w:rPr>
          <w:rFonts w:hint="eastAsia" w:ascii="宋体" w:hAnsi="宋体"/>
          <w:szCs w:val="21"/>
        </w:rPr>
        <w:t>13.2.2 承包人应加强对施工人员的质量教育和技术培训，定期考核施工人员的劳动技能，严格执行规范和操作规程。</w:t>
      </w:r>
    </w:p>
    <w:p w14:paraId="039F0929">
      <w:pPr>
        <w:pStyle w:val="6"/>
        <w:spacing w:before="0" w:beforeAutospacing="0" w:after="0" w:afterAutospacing="0" w:line="360" w:lineRule="auto"/>
        <w:rPr>
          <w:rFonts w:hint="eastAsia"/>
        </w:rPr>
      </w:pPr>
      <w:r>
        <w:rPr>
          <w:rFonts w:hint="eastAsia"/>
        </w:rPr>
        <w:t>13.3 承包人的质量检查</w:t>
      </w:r>
    </w:p>
    <w:p w14:paraId="3A665C50">
      <w:pPr>
        <w:spacing w:line="360" w:lineRule="auto"/>
        <w:ind w:firstLine="420" w:firstLineChars="200"/>
        <w:rPr>
          <w:rFonts w:hint="eastAsia" w:ascii="宋体" w:hAnsi="宋体"/>
          <w:szCs w:val="21"/>
        </w:rPr>
      </w:pPr>
      <w:r>
        <w:rPr>
          <w:rFonts w:hint="eastAsia" w:ascii="宋体" w:hAnsi="宋体"/>
          <w:szCs w:val="21"/>
        </w:rPr>
        <w:t>承包人应按合同约定对材料、工程设备以及工程的所有部位及其施工工艺进行全过程的质量检查和检验，并</w:t>
      </w:r>
      <w:r>
        <w:rPr>
          <w:rFonts w:hint="eastAsia" w:ascii="宋体" w:hAnsi="宋体"/>
          <w:szCs w:val="21"/>
          <w:lang w:eastAsia="zh-CN"/>
        </w:rPr>
        <w:t>做详细记录</w:t>
      </w:r>
      <w:r>
        <w:rPr>
          <w:rFonts w:hint="eastAsia" w:ascii="宋体" w:hAnsi="宋体"/>
          <w:szCs w:val="21"/>
        </w:rPr>
        <w:t>，编制工程质量报表，报送监理人审查。</w:t>
      </w:r>
    </w:p>
    <w:p w14:paraId="3CE3644A">
      <w:pPr>
        <w:pStyle w:val="6"/>
        <w:spacing w:before="0" w:beforeAutospacing="0" w:after="0" w:afterAutospacing="0" w:line="360" w:lineRule="auto"/>
        <w:rPr>
          <w:rFonts w:hint="eastAsia"/>
        </w:rPr>
      </w:pPr>
      <w:r>
        <w:rPr>
          <w:rFonts w:hint="eastAsia"/>
        </w:rPr>
        <w:t>13.4 监理人的质量检查</w:t>
      </w:r>
    </w:p>
    <w:p w14:paraId="0FCFA0AC">
      <w:pPr>
        <w:spacing w:line="360" w:lineRule="auto"/>
        <w:ind w:firstLine="420" w:firstLineChars="200"/>
        <w:rPr>
          <w:rFonts w:hint="eastAsia" w:ascii="宋体" w:hAnsi="宋体"/>
          <w:szCs w:val="21"/>
        </w:rPr>
      </w:pPr>
      <w:r>
        <w:rPr>
          <w:rFonts w:hint="eastAsia" w:ascii="宋体" w:hAnsi="宋体"/>
          <w:szCs w:val="21"/>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14:paraId="54736876">
      <w:pPr>
        <w:pStyle w:val="6"/>
        <w:spacing w:before="0" w:beforeAutospacing="0" w:after="0" w:afterAutospacing="0" w:line="360" w:lineRule="auto"/>
        <w:rPr>
          <w:rFonts w:hint="eastAsia"/>
        </w:rPr>
      </w:pPr>
      <w:r>
        <w:rPr>
          <w:rFonts w:hint="eastAsia"/>
        </w:rPr>
        <w:t>13.5 工程隐蔽部位覆盖前的检查</w:t>
      </w:r>
    </w:p>
    <w:p w14:paraId="4CE32AD1">
      <w:pPr>
        <w:spacing w:line="360" w:lineRule="auto"/>
        <w:ind w:firstLine="420" w:firstLineChars="200"/>
        <w:rPr>
          <w:rFonts w:hint="eastAsia" w:ascii="宋体" w:hAnsi="宋体"/>
        </w:rPr>
      </w:pPr>
      <w:r>
        <w:rPr>
          <w:rFonts w:hint="eastAsia" w:ascii="宋体" w:hAnsi="宋体"/>
        </w:rPr>
        <w:t>13.5.1 通知监理人检查</w:t>
      </w:r>
    </w:p>
    <w:p w14:paraId="59BEA99B">
      <w:pPr>
        <w:spacing w:line="360" w:lineRule="auto"/>
        <w:ind w:firstLine="420" w:firstLineChars="200"/>
        <w:rPr>
          <w:rFonts w:hint="eastAsia" w:ascii="宋体" w:hAnsi="宋体"/>
          <w:szCs w:val="21"/>
        </w:rPr>
      </w:pPr>
      <w:r>
        <w:rPr>
          <w:rFonts w:hint="eastAsia" w:ascii="宋体" w:hAnsi="宋体"/>
          <w:szCs w:val="21"/>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名后，承包人才能进行覆盖。监理人检查确认质量不合格的，承包人应在监理人指示的时间内修整返工后，由监理人重新检查。</w:t>
      </w:r>
    </w:p>
    <w:p w14:paraId="08AFE5BA">
      <w:pPr>
        <w:spacing w:line="360" w:lineRule="auto"/>
        <w:ind w:firstLine="420" w:firstLineChars="200"/>
        <w:rPr>
          <w:rFonts w:hint="eastAsia" w:ascii="宋体" w:hAnsi="宋体"/>
          <w:szCs w:val="21"/>
        </w:rPr>
      </w:pPr>
      <w:r>
        <w:rPr>
          <w:rFonts w:hint="eastAsia" w:ascii="宋体" w:hAnsi="宋体"/>
          <w:szCs w:val="21"/>
        </w:rPr>
        <w:t>13.5.2 监理人未到场检查</w:t>
      </w:r>
    </w:p>
    <w:p w14:paraId="05235A67">
      <w:pPr>
        <w:spacing w:line="360" w:lineRule="auto"/>
        <w:ind w:firstLine="420" w:firstLineChars="200"/>
        <w:rPr>
          <w:rFonts w:hint="eastAsia" w:ascii="宋体" w:hAnsi="宋体"/>
          <w:szCs w:val="21"/>
        </w:rPr>
      </w:pPr>
      <w:r>
        <w:rPr>
          <w:rFonts w:hint="eastAsia" w:ascii="宋体" w:hAnsi="宋体"/>
          <w:szCs w:val="21"/>
        </w:rPr>
        <w:t>监理人未按第13.5.l 项约定的时间进行检查的，除监理人另有指示外，承包人可自行完成覆盖工作，并作相应记录报送监理人，监理人应签名确认。监理人事后对检查记录有疑问的，可按第13.5.3 项的约定重新检查。</w:t>
      </w:r>
    </w:p>
    <w:p w14:paraId="7D038B9E">
      <w:pPr>
        <w:spacing w:line="360" w:lineRule="auto"/>
        <w:ind w:firstLine="420" w:firstLineChars="200"/>
        <w:rPr>
          <w:rFonts w:hint="eastAsia" w:ascii="宋体" w:hAnsi="宋体"/>
          <w:szCs w:val="21"/>
        </w:rPr>
      </w:pPr>
      <w:r>
        <w:rPr>
          <w:rFonts w:hint="eastAsia" w:ascii="宋体" w:hAnsi="宋体"/>
          <w:szCs w:val="21"/>
        </w:rPr>
        <w:t>13.5.3 监理人重新检查</w:t>
      </w:r>
    </w:p>
    <w:p w14:paraId="3D67A930">
      <w:pPr>
        <w:spacing w:line="360" w:lineRule="auto"/>
        <w:ind w:firstLine="420" w:firstLineChars="200"/>
        <w:rPr>
          <w:rFonts w:hint="eastAsia" w:ascii="宋体" w:hAnsi="宋体"/>
          <w:szCs w:val="21"/>
        </w:rPr>
      </w:pPr>
      <w:r>
        <w:rPr>
          <w:rFonts w:hint="eastAsia" w:ascii="宋体" w:hAnsi="宋体"/>
          <w:szCs w:val="21"/>
        </w:rPr>
        <w:t>承包人按第13.5.1 项或第13.5.2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14:paraId="0AE74285">
      <w:pPr>
        <w:spacing w:line="360" w:lineRule="auto"/>
        <w:ind w:firstLine="420" w:firstLineChars="200"/>
        <w:rPr>
          <w:rFonts w:hint="eastAsia" w:ascii="宋体" w:hAnsi="宋体"/>
          <w:szCs w:val="21"/>
        </w:rPr>
      </w:pPr>
      <w:r>
        <w:rPr>
          <w:rFonts w:hint="eastAsia" w:ascii="宋体" w:hAnsi="宋体"/>
          <w:szCs w:val="21"/>
        </w:rPr>
        <w:t>13.5.4 承包人私自覆盖</w:t>
      </w:r>
    </w:p>
    <w:p w14:paraId="035CD1C5">
      <w:pPr>
        <w:spacing w:line="360" w:lineRule="auto"/>
        <w:ind w:firstLine="420" w:firstLineChars="200"/>
        <w:rPr>
          <w:rFonts w:hint="eastAsia" w:ascii="宋体" w:hAnsi="宋体"/>
          <w:szCs w:val="21"/>
        </w:rPr>
      </w:pPr>
      <w:r>
        <w:rPr>
          <w:rFonts w:hint="eastAsia" w:ascii="宋体" w:hAnsi="宋体"/>
          <w:szCs w:val="21"/>
        </w:rPr>
        <w:t>承包人未通知监理人到场检查，私自将工程隐蔽部位覆盖的，监理人有权指示承包人钻孔探测或揭开检查，由此增加的费用和（或）工期延误由承包人承担。</w:t>
      </w:r>
    </w:p>
    <w:p w14:paraId="54533FE6">
      <w:pPr>
        <w:pStyle w:val="6"/>
        <w:spacing w:before="0" w:beforeAutospacing="0" w:after="0" w:afterAutospacing="0" w:line="360" w:lineRule="auto"/>
        <w:rPr>
          <w:rFonts w:hint="eastAsia"/>
        </w:rPr>
      </w:pPr>
      <w:r>
        <w:rPr>
          <w:rFonts w:hint="eastAsia"/>
        </w:rPr>
        <w:t>13.6 清除不合格工程</w:t>
      </w:r>
    </w:p>
    <w:p w14:paraId="06B07B66">
      <w:pPr>
        <w:spacing w:line="360" w:lineRule="auto"/>
        <w:ind w:firstLine="420" w:firstLineChars="200"/>
        <w:rPr>
          <w:rFonts w:hint="eastAsia" w:ascii="宋体" w:hAnsi="宋体"/>
          <w:szCs w:val="21"/>
        </w:rPr>
      </w:pPr>
      <w:r>
        <w:rPr>
          <w:rFonts w:hint="eastAsia" w:ascii="宋体" w:hAnsi="宋体"/>
          <w:szCs w:val="21"/>
        </w:rPr>
        <w:t>13.6.1 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14:paraId="296FDAEF">
      <w:pPr>
        <w:spacing w:line="360" w:lineRule="auto"/>
        <w:ind w:firstLine="420" w:firstLineChars="200"/>
        <w:rPr>
          <w:rFonts w:ascii="宋体" w:hAnsi="宋体"/>
          <w:szCs w:val="21"/>
        </w:rPr>
      </w:pPr>
      <w:r>
        <w:rPr>
          <w:rFonts w:hint="eastAsia" w:ascii="宋体" w:hAnsi="宋体"/>
          <w:szCs w:val="21"/>
        </w:rPr>
        <w:t>13.6.2 由于发包人提供的材料或工程设备不合格造成的工程不合格，需要承包人采取措施补救的，发包人应承担由此增加的费用和（或）工期延误，并支付承包人合理利润。</w:t>
      </w:r>
    </w:p>
    <w:p w14:paraId="77659923">
      <w:pPr>
        <w:pStyle w:val="5"/>
        <w:spacing w:before="0" w:after="0" w:line="360" w:lineRule="auto"/>
        <w:rPr>
          <w:rFonts w:hint="eastAsia" w:ascii="宋体" w:hAnsi="宋体"/>
        </w:rPr>
      </w:pPr>
      <w:bookmarkStart w:id="518" w:name="_Toc1957"/>
      <w:bookmarkStart w:id="519" w:name="_Toc4511"/>
      <w:bookmarkStart w:id="520" w:name="_Toc57795953"/>
      <w:bookmarkStart w:id="521" w:name="_Toc184635111"/>
      <w:bookmarkStart w:id="522" w:name="_Toc728"/>
      <w:r>
        <w:rPr>
          <w:rFonts w:hint="eastAsia" w:ascii="宋体" w:hAnsi="宋体"/>
        </w:rPr>
        <w:t>14、试验和检验</w:t>
      </w:r>
      <w:bookmarkEnd w:id="518"/>
      <w:bookmarkEnd w:id="519"/>
      <w:bookmarkEnd w:id="520"/>
      <w:bookmarkEnd w:id="521"/>
      <w:bookmarkEnd w:id="522"/>
    </w:p>
    <w:p w14:paraId="15ED3A9C">
      <w:pPr>
        <w:pStyle w:val="6"/>
        <w:spacing w:before="0" w:beforeAutospacing="0" w:after="0" w:afterAutospacing="0" w:line="360" w:lineRule="auto"/>
        <w:rPr>
          <w:rFonts w:hint="eastAsia"/>
        </w:rPr>
      </w:pPr>
      <w:r>
        <w:rPr>
          <w:rFonts w:hint="eastAsia"/>
        </w:rPr>
        <w:t>14.1 材料、工程设备和工程的试验和检验</w:t>
      </w:r>
    </w:p>
    <w:p w14:paraId="068790B9">
      <w:pPr>
        <w:spacing w:line="360" w:lineRule="auto"/>
        <w:ind w:firstLine="420" w:firstLineChars="200"/>
        <w:rPr>
          <w:rFonts w:hint="eastAsia" w:ascii="宋体" w:hAnsi="宋体"/>
          <w:szCs w:val="21"/>
        </w:rPr>
      </w:pPr>
      <w:r>
        <w:rPr>
          <w:rFonts w:hint="eastAsia" w:ascii="宋体" w:hAnsi="宋体"/>
          <w:szCs w:val="21"/>
        </w:rPr>
        <w:t>14.1.1 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F910C5A">
      <w:pPr>
        <w:spacing w:line="360" w:lineRule="auto"/>
        <w:ind w:firstLine="420" w:firstLineChars="200"/>
        <w:rPr>
          <w:rFonts w:hint="eastAsia" w:ascii="宋体" w:hAnsi="宋体"/>
          <w:szCs w:val="21"/>
        </w:rPr>
      </w:pPr>
      <w:r>
        <w:rPr>
          <w:rFonts w:hint="eastAsia" w:ascii="宋体" w:hAnsi="宋体"/>
          <w:szCs w:val="21"/>
        </w:rPr>
        <w:t>14.1.2 监理人未按合同约定派员参加试验和检验的，除监理人另有指示外，承包人可自行试验和检验，并应立即将试验和检验结果报送监理人，监理人应签名确认。</w:t>
      </w:r>
    </w:p>
    <w:p w14:paraId="1C2EE702">
      <w:pPr>
        <w:spacing w:line="360" w:lineRule="auto"/>
        <w:ind w:firstLine="420" w:firstLineChars="200"/>
        <w:rPr>
          <w:rFonts w:hint="eastAsia" w:ascii="宋体" w:hAnsi="宋体"/>
          <w:szCs w:val="21"/>
        </w:rPr>
      </w:pPr>
      <w:r>
        <w:rPr>
          <w:rFonts w:hint="eastAsia" w:ascii="宋体" w:hAnsi="宋体"/>
          <w:szCs w:val="21"/>
        </w:rPr>
        <w:t>14.1.3 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14:paraId="280A6226">
      <w:pPr>
        <w:pStyle w:val="6"/>
        <w:spacing w:before="0" w:beforeAutospacing="0" w:after="0" w:afterAutospacing="0" w:line="360" w:lineRule="auto"/>
        <w:rPr>
          <w:rFonts w:hint="eastAsia"/>
        </w:rPr>
      </w:pPr>
      <w:r>
        <w:rPr>
          <w:rFonts w:hint="eastAsia"/>
        </w:rPr>
        <w:t>14.2 现场材料试验</w:t>
      </w:r>
    </w:p>
    <w:p w14:paraId="5D8C75C6">
      <w:pPr>
        <w:spacing w:line="360" w:lineRule="auto"/>
        <w:ind w:firstLine="420" w:firstLineChars="200"/>
        <w:rPr>
          <w:rFonts w:hint="eastAsia" w:ascii="宋体" w:hAnsi="宋体"/>
          <w:szCs w:val="21"/>
        </w:rPr>
      </w:pPr>
      <w:r>
        <w:rPr>
          <w:rFonts w:hint="eastAsia" w:ascii="宋体" w:hAnsi="宋体"/>
          <w:szCs w:val="21"/>
        </w:rPr>
        <w:t>14.2.1 承包人根据合同约定或监理人指示进行的现场材料试验，应由承包人提供试验场所、试验人员、试验设备器材以及其他必要的试验条件。</w:t>
      </w:r>
    </w:p>
    <w:p w14:paraId="4B6749C9">
      <w:pPr>
        <w:spacing w:line="360" w:lineRule="auto"/>
        <w:ind w:firstLine="420" w:firstLineChars="200"/>
        <w:rPr>
          <w:rFonts w:hint="eastAsia" w:ascii="宋体" w:hAnsi="宋体"/>
          <w:szCs w:val="21"/>
        </w:rPr>
      </w:pPr>
      <w:r>
        <w:rPr>
          <w:rFonts w:hint="eastAsia" w:ascii="宋体" w:hAnsi="宋体"/>
          <w:szCs w:val="21"/>
        </w:rPr>
        <w:t>14.2.2 监理人在必要时可以使用承包人的试验场所、试验设备器材以及其他试验条件，进行以工程质量检查为目的的复核性材料试验，承包人应予以协助。</w:t>
      </w:r>
    </w:p>
    <w:p w14:paraId="45127EF2">
      <w:pPr>
        <w:pStyle w:val="6"/>
        <w:spacing w:before="0" w:beforeAutospacing="0" w:after="0" w:afterAutospacing="0" w:line="360" w:lineRule="auto"/>
        <w:rPr>
          <w:rFonts w:hint="eastAsia"/>
        </w:rPr>
      </w:pPr>
      <w:r>
        <w:rPr>
          <w:rFonts w:hint="eastAsia"/>
        </w:rPr>
        <w:t>14.3 现场工艺试验</w:t>
      </w:r>
    </w:p>
    <w:p w14:paraId="4EE0DBD1">
      <w:pPr>
        <w:spacing w:line="360" w:lineRule="auto"/>
        <w:ind w:firstLine="420" w:firstLineChars="200"/>
        <w:rPr>
          <w:rFonts w:hint="eastAsia" w:ascii="宋体" w:hAnsi="宋体"/>
          <w:szCs w:val="21"/>
        </w:rPr>
      </w:pPr>
      <w:r>
        <w:rPr>
          <w:rFonts w:hint="eastAsia" w:ascii="宋体" w:hAnsi="宋体"/>
          <w:szCs w:val="21"/>
        </w:rPr>
        <w:t>承包人应按合同约定或监理人指示进行现场工艺试验。对大型的现场工艺试验，监理人认为必要时，应由承包人根据监理人提出的工艺试验要求，编制工艺试验措施计划，报送监理人审批。</w:t>
      </w:r>
    </w:p>
    <w:p w14:paraId="1A8EDF7C">
      <w:pPr>
        <w:pStyle w:val="5"/>
        <w:spacing w:before="0" w:after="0" w:line="360" w:lineRule="auto"/>
        <w:rPr>
          <w:rFonts w:hint="eastAsia" w:ascii="宋体" w:hAnsi="宋体"/>
        </w:rPr>
      </w:pPr>
      <w:bookmarkStart w:id="523" w:name="_Toc57795954"/>
      <w:bookmarkStart w:id="524" w:name="_Toc184635112"/>
      <w:bookmarkStart w:id="525" w:name="_Toc7303"/>
      <w:bookmarkStart w:id="526" w:name="_Toc8501"/>
      <w:bookmarkStart w:id="527" w:name="_Toc18505"/>
      <w:r>
        <w:rPr>
          <w:rFonts w:hint="eastAsia" w:ascii="宋体" w:hAnsi="宋体"/>
        </w:rPr>
        <w:t>15、变更</w:t>
      </w:r>
      <w:bookmarkEnd w:id="523"/>
      <w:bookmarkEnd w:id="524"/>
      <w:bookmarkEnd w:id="525"/>
      <w:bookmarkEnd w:id="526"/>
      <w:bookmarkEnd w:id="527"/>
    </w:p>
    <w:p w14:paraId="608C03EE">
      <w:pPr>
        <w:pStyle w:val="6"/>
        <w:spacing w:before="0" w:beforeAutospacing="0" w:after="0" w:afterAutospacing="0" w:line="360" w:lineRule="auto"/>
        <w:rPr>
          <w:rFonts w:hint="eastAsia"/>
        </w:rPr>
      </w:pPr>
      <w:r>
        <w:rPr>
          <w:rFonts w:hint="eastAsia"/>
        </w:rPr>
        <w:t>15.1 变更的范围和内容</w:t>
      </w:r>
    </w:p>
    <w:p w14:paraId="7243741B">
      <w:pPr>
        <w:spacing w:line="360" w:lineRule="auto"/>
        <w:ind w:firstLine="420" w:firstLineChars="200"/>
        <w:rPr>
          <w:rFonts w:hint="eastAsia" w:ascii="宋体" w:hAnsi="宋体"/>
          <w:szCs w:val="21"/>
        </w:rPr>
      </w:pPr>
      <w:r>
        <w:rPr>
          <w:rFonts w:hint="eastAsia" w:ascii="宋体" w:hAnsi="宋体"/>
          <w:szCs w:val="21"/>
        </w:rPr>
        <w:t>除专用合同条款另有约定外，在履行合同中发生以下情形之一，应按照本条规定进行变更。</w:t>
      </w:r>
    </w:p>
    <w:p w14:paraId="73E29C7A">
      <w:pPr>
        <w:spacing w:line="360" w:lineRule="auto"/>
        <w:ind w:firstLine="420" w:firstLineChars="200"/>
        <w:rPr>
          <w:rFonts w:hint="eastAsia" w:ascii="宋体" w:hAnsi="宋体"/>
          <w:szCs w:val="21"/>
        </w:rPr>
      </w:pPr>
      <w:r>
        <w:rPr>
          <w:rFonts w:hint="eastAsia" w:ascii="宋体" w:hAnsi="宋体"/>
          <w:szCs w:val="21"/>
        </w:rPr>
        <w:t>（1）取消合同中任何一项工作，但被取消的工作不能转由发包人或其他人实施；（ 2 ）改变合同中任何一项工作的质量或其他特性；</w:t>
      </w:r>
    </w:p>
    <w:p w14:paraId="6946798C">
      <w:pPr>
        <w:spacing w:line="360" w:lineRule="auto"/>
        <w:ind w:firstLine="420" w:firstLineChars="200"/>
        <w:rPr>
          <w:rFonts w:hint="eastAsia" w:ascii="宋体" w:hAnsi="宋体"/>
          <w:szCs w:val="21"/>
        </w:rPr>
      </w:pPr>
      <w:r>
        <w:rPr>
          <w:rFonts w:hint="eastAsia" w:ascii="宋体" w:hAnsi="宋体"/>
          <w:szCs w:val="21"/>
        </w:rPr>
        <w:t>（3）改变合同工程的基线、标高、位置或尺寸；</w:t>
      </w:r>
    </w:p>
    <w:p w14:paraId="63ED844D">
      <w:pPr>
        <w:spacing w:line="360" w:lineRule="auto"/>
        <w:ind w:firstLine="420" w:firstLineChars="200"/>
        <w:rPr>
          <w:rFonts w:hint="eastAsia" w:ascii="宋体" w:hAnsi="宋体"/>
          <w:szCs w:val="21"/>
        </w:rPr>
      </w:pPr>
      <w:r>
        <w:rPr>
          <w:rFonts w:hint="eastAsia" w:ascii="宋体" w:hAnsi="宋体"/>
          <w:szCs w:val="21"/>
        </w:rPr>
        <w:t>（4）改变合同中任何一项工作的施工时间或改变</w:t>
      </w:r>
      <w:r>
        <w:rPr>
          <w:rFonts w:hint="eastAsia" w:ascii="宋体" w:hAnsi="宋体"/>
          <w:szCs w:val="21"/>
          <w:lang w:eastAsia="zh-CN"/>
        </w:rPr>
        <w:t>已批准</w:t>
      </w:r>
      <w:r>
        <w:rPr>
          <w:rFonts w:hint="eastAsia" w:ascii="宋体" w:hAnsi="宋体"/>
          <w:szCs w:val="21"/>
        </w:rPr>
        <w:t>的施工工艺或顺序；（ 5 ）为完成工程需要追加的额外工作。</w:t>
      </w:r>
    </w:p>
    <w:p w14:paraId="27F9DD83">
      <w:pPr>
        <w:pStyle w:val="6"/>
        <w:spacing w:before="0" w:beforeAutospacing="0" w:after="0" w:afterAutospacing="0" w:line="360" w:lineRule="auto"/>
        <w:rPr>
          <w:rFonts w:hint="eastAsia"/>
        </w:rPr>
      </w:pPr>
      <w:r>
        <w:rPr>
          <w:rFonts w:hint="eastAsia"/>
        </w:rPr>
        <w:t>15.2 变更权</w:t>
      </w:r>
    </w:p>
    <w:p w14:paraId="63F1E118">
      <w:pPr>
        <w:spacing w:line="360" w:lineRule="auto"/>
        <w:ind w:firstLine="420" w:firstLineChars="200"/>
        <w:rPr>
          <w:rFonts w:ascii="宋体" w:hAnsi="宋体"/>
          <w:szCs w:val="21"/>
        </w:rPr>
      </w:pPr>
      <w:r>
        <w:rPr>
          <w:rFonts w:hint="eastAsia" w:ascii="宋体" w:hAnsi="宋体"/>
          <w:szCs w:val="21"/>
        </w:rPr>
        <w:t>在履行合同过程中，经发包人同意，监理人可按第15.3 款约定的变更程序向承包人作出变更指示，承包人应遵照执行。没有监理人的变更指示，承包人不得擅自变更。</w:t>
      </w:r>
    </w:p>
    <w:p w14:paraId="72213198">
      <w:pPr>
        <w:pStyle w:val="6"/>
        <w:spacing w:before="0" w:beforeAutospacing="0" w:after="0" w:afterAutospacing="0" w:line="360" w:lineRule="auto"/>
        <w:rPr>
          <w:rFonts w:hint="eastAsia"/>
        </w:rPr>
      </w:pPr>
      <w:r>
        <w:rPr>
          <w:rFonts w:hint="eastAsia"/>
        </w:rPr>
        <w:t>15.3 笠更程序</w:t>
      </w:r>
    </w:p>
    <w:p w14:paraId="401475D8">
      <w:pPr>
        <w:spacing w:line="360" w:lineRule="auto"/>
        <w:ind w:firstLine="420" w:firstLineChars="200"/>
        <w:rPr>
          <w:rFonts w:hint="eastAsia" w:ascii="宋体" w:hAnsi="宋体"/>
          <w:szCs w:val="21"/>
        </w:rPr>
      </w:pPr>
      <w:r>
        <w:rPr>
          <w:rFonts w:hint="eastAsia" w:ascii="宋体" w:hAnsi="宋体"/>
          <w:szCs w:val="21"/>
        </w:rPr>
        <w:t>15.3.1变更的提出</w:t>
      </w:r>
    </w:p>
    <w:p w14:paraId="50AA57E5">
      <w:pPr>
        <w:spacing w:line="360" w:lineRule="auto"/>
        <w:ind w:firstLine="420" w:firstLineChars="200"/>
        <w:rPr>
          <w:rFonts w:hint="eastAsia" w:ascii="宋体" w:hAnsi="宋体"/>
          <w:szCs w:val="21"/>
        </w:rPr>
      </w:pPr>
      <w:r>
        <w:rPr>
          <w:rFonts w:hint="eastAsia" w:ascii="宋体" w:hAnsi="宋体"/>
          <w:szCs w:val="21"/>
        </w:rPr>
        <w:t>（1）在合同履行过程中，可能发生第15.1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第15.3.3 项约定发出变更指示。</w:t>
      </w:r>
    </w:p>
    <w:p w14:paraId="540AF8B6">
      <w:pPr>
        <w:spacing w:line="360" w:lineRule="auto"/>
        <w:ind w:firstLine="420" w:firstLineChars="200"/>
        <w:rPr>
          <w:rFonts w:hint="eastAsia" w:ascii="宋体" w:hAnsi="宋体"/>
          <w:szCs w:val="21"/>
        </w:rPr>
      </w:pPr>
      <w:r>
        <w:rPr>
          <w:rFonts w:hint="eastAsia" w:ascii="宋体" w:hAnsi="宋体"/>
          <w:szCs w:val="21"/>
        </w:rPr>
        <w:t>（2）在合同履行过程中，发生第15.1 款约定情形的，监理人应按照第15.3.3 项约定向承包人发出变更指示。</w:t>
      </w:r>
    </w:p>
    <w:p w14:paraId="369E88FE">
      <w:pPr>
        <w:spacing w:line="360" w:lineRule="auto"/>
        <w:ind w:firstLine="420" w:firstLineChars="200"/>
        <w:rPr>
          <w:rFonts w:hint="eastAsia" w:ascii="宋体" w:hAnsi="宋体"/>
          <w:szCs w:val="21"/>
        </w:rPr>
      </w:pPr>
      <w:r>
        <w:rPr>
          <w:rFonts w:hint="eastAsia" w:ascii="宋体" w:hAnsi="宋体"/>
          <w:szCs w:val="21"/>
        </w:rPr>
        <w:t>（3）承包人收到监理人按合同约定发出的图纸和文件，经检查认为其中存在第15.1 款约定情形的，可向监理人提出书面变更建议。变更建议应阐明要求变更的依据，并附必要的图纸和说明。监理人收到承包人书面建议后，应与发包人共同研究，确认存在变更的，应在收到承包人书面建议后的14 天内作出变更指示。经研究后不同意作为变更的，应由监理人书面答复承包人。</w:t>
      </w:r>
    </w:p>
    <w:p w14:paraId="1374FA85">
      <w:pPr>
        <w:spacing w:line="360" w:lineRule="auto"/>
        <w:ind w:firstLine="420" w:firstLineChars="200"/>
        <w:rPr>
          <w:rFonts w:hint="eastAsia" w:ascii="宋体" w:hAnsi="宋体"/>
          <w:szCs w:val="21"/>
        </w:rPr>
      </w:pPr>
      <w:r>
        <w:rPr>
          <w:rFonts w:hint="eastAsia" w:ascii="宋体" w:hAnsi="宋体"/>
          <w:szCs w:val="21"/>
        </w:rPr>
        <w:t>（4）若承包人收到监理人的变更意向书后认为难以实施此项变更，应立即通知监理人，说明原因并附详细依据。监理人与承包人和发包人协商后确定撤销、改变或不改变原变更意向书。</w:t>
      </w:r>
    </w:p>
    <w:p w14:paraId="5491C567">
      <w:pPr>
        <w:spacing w:line="360" w:lineRule="auto"/>
        <w:ind w:firstLine="420" w:firstLineChars="200"/>
        <w:rPr>
          <w:rFonts w:hint="eastAsia" w:ascii="宋体" w:hAnsi="宋体"/>
          <w:szCs w:val="21"/>
        </w:rPr>
      </w:pPr>
      <w:r>
        <w:rPr>
          <w:rFonts w:hint="eastAsia" w:ascii="宋体" w:hAnsi="宋体"/>
          <w:szCs w:val="21"/>
        </w:rPr>
        <w:t>15.3.2 变更估价</w:t>
      </w:r>
    </w:p>
    <w:p w14:paraId="48F0BFDA">
      <w:pPr>
        <w:spacing w:line="360" w:lineRule="auto"/>
        <w:ind w:firstLine="420" w:firstLineChars="200"/>
        <w:rPr>
          <w:rFonts w:hint="eastAsia" w:ascii="宋体" w:hAnsi="宋体"/>
          <w:szCs w:val="21"/>
        </w:rPr>
      </w:pPr>
      <w:r>
        <w:rPr>
          <w:rFonts w:hint="eastAsia" w:ascii="宋体" w:hAnsi="宋体"/>
          <w:szCs w:val="21"/>
        </w:rPr>
        <w:t>（1）除专用合同条款对期限另有约定外，承包人应在收到变更指示或变更意向书后的14 天内，向监理人提交变更报价书，报价内容应根据第15.4 款约定的估价原则，详细开列变更工作的价格组成及其依据，并附必要的施工方法说明和有关图纸。</w:t>
      </w:r>
    </w:p>
    <w:p w14:paraId="435803CF">
      <w:pPr>
        <w:spacing w:line="360" w:lineRule="auto"/>
        <w:ind w:firstLine="420" w:firstLineChars="200"/>
        <w:rPr>
          <w:rFonts w:hint="eastAsia" w:ascii="宋体" w:hAnsi="宋体"/>
          <w:szCs w:val="21"/>
        </w:rPr>
      </w:pPr>
      <w:r>
        <w:rPr>
          <w:rFonts w:hint="eastAsia" w:ascii="宋体" w:hAnsi="宋体"/>
          <w:szCs w:val="21"/>
        </w:rPr>
        <w:t>（2）变更工作影响工期的，承包人应提出调整工期的具体细节。监理人认为有必要时，可要求承包人提交要求提前或延长工期的施工进度计划及相应施工措施等详细资料。</w:t>
      </w:r>
    </w:p>
    <w:p w14:paraId="7253A45E">
      <w:pPr>
        <w:spacing w:line="360" w:lineRule="auto"/>
        <w:ind w:firstLine="420" w:firstLineChars="200"/>
        <w:rPr>
          <w:rFonts w:hint="eastAsia" w:ascii="宋体" w:hAnsi="宋体"/>
          <w:szCs w:val="21"/>
        </w:rPr>
      </w:pPr>
      <w:r>
        <w:rPr>
          <w:rFonts w:hint="eastAsia" w:ascii="宋体" w:hAnsi="宋体"/>
          <w:szCs w:val="21"/>
        </w:rPr>
        <w:t>（3）除专用合同条款对期限另有约定外，监理人收到承包人变更报价书后的14 天内，根据第15.4 款约定的估价原则，按照第3.5 款商定或确定变更价格。</w:t>
      </w:r>
    </w:p>
    <w:p w14:paraId="15B210DE">
      <w:pPr>
        <w:spacing w:line="360" w:lineRule="auto"/>
        <w:ind w:firstLine="420" w:firstLineChars="200"/>
        <w:rPr>
          <w:rFonts w:hint="eastAsia" w:ascii="宋体" w:hAnsi="宋体"/>
          <w:szCs w:val="21"/>
        </w:rPr>
      </w:pPr>
      <w:r>
        <w:rPr>
          <w:rFonts w:hint="eastAsia" w:ascii="宋体" w:hAnsi="宋体"/>
          <w:szCs w:val="21"/>
        </w:rPr>
        <w:t>15.3.3 变更指示</w:t>
      </w:r>
    </w:p>
    <w:p w14:paraId="5C17AB8F">
      <w:pPr>
        <w:spacing w:line="360" w:lineRule="auto"/>
        <w:ind w:firstLine="420" w:firstLineChars="200"/>
        <w:rPr>
          <w:rFonts w:hint="eastAsia" w:ascii="宋体" w:hAnsi="宋体"/>
          <w:szCs w:val="21"/>
        </w:rPr>
      </w:pPr>
      <w:r>
        <w:rPr>
          <w:rFonts w:hint="eastAsia" w:ascii="宋体" w:hAnsi="宋体"/>
          <w:szCs w:val="21"/>
        </w:rPr>
        <w:t>（1）变更指示只能由监理人发出。</w:t>
      </w:r>
    </w:p>
    <w:p w14:paraId="4E9E01F1">
      <w:pPr>
        <w:spacing w:line="360" w:lineRule="auto"/>
        <w:ind w:firstLine="420" w:firstLineChars="200"/>
        <w:rPr>
          <w:rFonts w:hint="eastAsia" w:ascii="宋体" w:hAnsi="宋体"/>
          <w:szCs w:val="21"/>
        </w:rPr>
      </w:pPr>
      <w:r>
        <w:rPr>
          <w:rFonts w:hint="eastAsia" w:ascii="宋体" w:hAnsi="宋体"/>
          <w:szCs w:val="21"/>
        </w:rPr>
        <w:t>（2）变更指示应说明变更的目的、范围、变更内容以及变更的工程量及其进度和技术要求，并附有关图纸和文件。承包人收到变更指示后，应按变更指示进行变更工作。</w:t>
      </w:r>
    </w:p>
    <w:p w14:paraId="6A4E080F">
      <w:pPr>
        <w:pStyle w:val="6"/>
        <w:spacing w:before="0" w:beforeAutospacing="0" w:after="0" w:afterAutospacing="0" w:line="360" w:lineRule="auto"/>
        <w:rPr>
          <w:rFonts w:hint="eastAsia"/>
        </w:rPr>
      </w:pPr>
      <w:r>
        <w:rPr>
          <w:rFonts w:hint="eastAsia"/>
        </w:rPr>
        <w:t>15.4 变更的估价原则</w:t>
      </w:r>
    </w:p>
    <w:p w14:paraId="02BC22CE">
      <w:pPr>
        <w:spacing w:line="360" w:lineRule="auto"/>
        <w:ind w:firstLine="420" w:firstLineChars="200"/>
        <w:rPr>
          <w:rFonts w:ascii="宋体" w:hAnsi="宋体"/>
          <w:szCs w:val="21"/>
        </w:rPr>
      </w:pPr>
      <w:r>
        <w:rPr>
          <w:rFonts w:hint="eastAsia" w:ascii="宋体" w:hAnsi="宋体"/>
          <w:szCs w:val="21"/>
        </w:rPr>
        <w:t>除专用合同条款另有约定外，因变更引起的价格调整按照本款约定处理。</w:t>
      </w:r>
    </w:p>
    <w:p w14:paraId="42F01ADE">
      <w:pPr>
        <w:spacing w:line="360" w:lineRule="auto"/>
        <w:ind w:firstLine="420" w:firstLineChars="200"/>
        <w:rPr>
          <w:rFonts w:hint="eastAsia" w:ascii="宋体" w:hAnsi="宋体"/>
          <w:szCs w:val="21"/>
        </w:rPr>
      </w:pPr>
      <w:r>
        <w:rPr>
          <w:rFonts w:hint="eastAsia" w:ascii="宋体" w:hAnsi="宋体"/>
          <w:szCs w:val="21"/>
        </w:rPr>
        <w:t>15.4.1 己标价工程量清单中有适用于变更工作的子目的，采用该子目的单价。</w:t>
      </w:r>
    </w:p>
    <w:p w14:paraId="6F35B501">
      <w:pPr>
        <w:spacing w:line="360" w:lineRule="auto"/>
        <w:ind w:firstLine="420" w:firstLineChars="200"/>
        <w:rPr>
          <w:rFonts w:ascii="宋体" w:hAnsi="宋体"/>
          <w:szCs w:val="21"/>
        </w:rPr>
      </w:pPr>
      <w:r>
        <w:rPr>
          <w:rFonts w:hint="eastAsia" w:ascii="宋体" w:hAnsi="宋体"/>
          <w:szCs w:val="21"/>
        </w:rPr>
        <w:t>15.4.2 己标价工程量清单中无适用于变更工作的子目，但有类似子目的，可在合理范围内参照类似子目的单价，由监理人按第3.5 款商定或确定变更工作的单价。</w:t>
      </w:r>
    </w:p>
    <w:p w14:paraId="59794BA8">
      <w:pPr>
        <w:spacing w:line="360" w:lineRule="auto"/>
        <w:ind w:firstLine="420" w:firstLineChars="200"/>
        <w:rPr>
          <w:rFonts w:hint="eastAsia" w:ascii="宋体" w:hAnsi="宋体"/>
          <w:szCs w:val="21"/>
        </w:rPr>
      </w:pPr>
      <w:r>
        <w:rPr>
          <w:rFonts w:hint="eastAsia" w:ascii="宋体" w:hAnsi="宋体"/>
          <w:szCs w:val="21"/>
        </w:rPr>
        <w:t>15.4.3 己标价工程量清单中无适用或类似子目的单价，可按照成本加利润的原则，由监理人按第3. 5 款商定或确定变更工作的单价。</w:t>
      </w:r>
    </w:p>
    <w:p w14:paraId="5D7D57F1">
      <w:pPr>
        <w:pStyle w:val="6"/>
        <w:spacing w:before="0" w:beforeAutospacing="0" w:after="0" w:afterAutospacing="0" w:line="360" w:lineRule="auto"/>
        <w:rPr>
          <w:rFonts w:hint="eastAsia"/>
        </w:rPr>
      </w:pPr>
      <w:r>
        <w:rPr>
          <w:rFonts w:hint="eastAsia"/>
        </w:rPr>
        <w:t>15.5 承包人的合理化建议</w:t>
      </w:r>
    </w:p>
    <w:p w14:paraId="4751F49F">
      <w:pPr>
        <w:spacing w:line="360" w:lineRule="auto"/>
        <w:ind w:firstLine="420" w:firstLineChars="200"/>
        <w:rPr>
          <w:rFonts w:hint="eastAsia" w:ascii="宋体" w:hAnsi="宋体"/>
          <w:szCs w:val="21"/>
        </w:rPr>
      </w:pPr>
      <w:r>
        <w:rPr>
          <w:rFonts w:hint="eastAsia" w:ascii="宋体" w:hAnsi="宋体"/>
          <w:szCs w:val="21"/>
        </w:rPr>
        <w:t>15.5.1 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第15.3.3项约定向承包人发出变更指示。</w:t>
      </w:r>
    </w:p>
    <w:p w14:paraId="3243C696">
      <w:pPr>
        <w:spacing w:line="360" w:lineRule="auto"/>
        <w:ind w:firstLine="420" w:firstLineChars="200"/>
        <w:rPr>
          <w:rFonts w:hint="eastAsia" w:ascii="宋体" w:hAnsi="宋体"/>
          <w:szCs w:val="21"/>
        </w:rPr>
      </w:pPr>
      <w:r>
        <w:rPr>
          <w:rFonts w:hint="eastAsia" w:ascii="宋体" w:hAnsi="宋体"/>
          <w:szCs w:val="21"/>
        </w:rPr>
        <w:t>15.5.2 承包人提出的合理化建议降低了合同价格、缩短了工期或者提高了工程经济效益的，发包人可按国家有关规定在专用合同条款中约定给予奖励。</w:t>
      </w:r>
    </w:p>
    <w:p w14:paraId="49C7E396">
      <w:pPr>
        <w:pStyle w:val="6"/>
        <w:spacing w:before="0" w:beforeAutospacing="0" w:after="0" w:afterAutospacing="0" w:line="360" w:lineRule="auto"/>
        <w:rPr>
          <w:rFonts w:hint="eastAsia"/>
        </w:rPr>
      </w:pPr>
      <w:r>
        <w:rPr>
          <w:rFonts w:hint="eastAsia"/>
        </w:rPr>
        <w:t>15.6 暂列金额</w:t>
      </w:r>
    </w:p>
    <w:p w14:paraId="2903606C">
      <w:pPr>
        <w:spacing w:line="360" w:lineRule="auto"/>
        <w:ind w:firstLine="420" w:firstLineChars="200"/>
        <w:rPr>
          <w:rFonts w:hint="eastAsia" w:ascii="宋体" w:hAnsi="宋体"/>
          <w:szCs w:val="21"/>
        </w:rPr>
      </w:pPr>
      <w:r>
        <w:rPr>
          <w:rFonts w:hint="eastAsia" w:ascii="宋体" w:hAnsi="宋体"/>
          <w:szCs w:val="21"/>
        </w:rPr>
        <w:t>暂列金额只能按照监理人的指示使用，并对合同价格进行相应调整。</w:t>
      </w:r>
    </w:p>
    <w:p w14:paraId="281DC353">
      <w:pPr>
        <w:pStyle w:val="6"/>
        <w:spacing w:before="0" w:beforeAutospacing="0" w:after="0" w:afterAutospacing="0" w:line="360" w:lineRule="auto"/>
        <w:rPr>
          <w:rFonts w:hint="eastAsia"/>
        </w:rPr>
      </w:pPr>
      <w:r>
        <w:rPr>
          <w:rFonts w:hint="eastAsia"/>
        </w:rPr>
        <w:t>15.7 计日工</w:t>
      </w:r>
    </w:p>
    <w:p w14:paraId="0135009C">
      <w:pPr>
        <w:spacing w:line="360" w:lineRule="auto"/>
        <w:ind w:firstLine="420" w:firstLineChars="200"/>
        <w:rPr>
          <w:rFonts w:hint="eastAsia" w:ascii="宋体" w:hAnsi="宋体"/>
          <w:szCs w:val="21"/>
        </w:rPr>
      </w:pPr>
      <w:r>
        <w:rPr>
          <w:rFonts w:hint="eastAsia" w:ascii="宋体" w:hAnsi="宋体"/>
          <w:szCs w:val="21"/>
        </w:rPr>
        <w:t xml:space="preserve">15.7.1 发包人认为有必要时，由监理人通知承包人以计日工方式实施变更的零星工作。其价款按列入已标价工程量清单中的计日工计价子目及其单价进行计算．， </w:t>
      </w:r>
    </w:p>
    <w:p w14:paraId="0F6DAA53">
      <w:pPr>
        <w:spacing w:line="360" w:lineRule="auto"/>
        <w:ind w:firstLine="420" w:firstLineChars="200"/>
        <w:rPr>
          <w:rFonts w:hint="eastAsia" w:ascii="宋体" w:hAnsi="宋体"/>
          <w:szCs w:val="21"/>
        </w:rPr>
      </w:pPr>
      <w:r>
        <w:rPr>
          <w:rFonts w:hint="eastAsia" w:ascii="宋体" w:hAnsi="宋体"/>
          <w:szCs w:val="21"/>
        </w:rPr>
        <w:t>15.7.2 采用计日工计价的任何一项变更工作，应从暂列金额中支付，承包人应在该项变更的实施过程中，每天提交以下报表和有关凭证报送监理人审批：</w:t>
      </w:r>
    </w:p>
    <w:p w14:paraId="5385E112">
      <w:pPr>
        <w:spacing w:line="360" w:lineRule="auto"/>
        <w:ind w:firstLine="420" w:firstLineChars="200"/>
        <w:rPr>
          <w:rFonts w:hint="eastAsia" w:ascii="宋体" w:hAnsi="宋体"/>
          <w:szCs w:val="21"/>
        </w:rPr>
      </w:pPr>
      <w:r>
        <w:rPr>
          <w:rFonts w:hint="eastAsia" w:ascii="宋体" w:hAnsi="宋体"/>
          <w:szCs w:val="21"/>
        </w:rPr>
        <w:t>（l）工作名称、内容和数量；</w:t>
      </w:r>
    </w:p>
    <w:p w14:paraId="2A1D70A6">
      <w:pPr>
        <w:spacing w:line="360" w:lineRule="auto"/>
        <w:ind w:firstLine="420" w:firstLineChars="200"/>
        <w:rPr>
          <w:rFonts w:hint="eastAsia" w:ascii="宋体" w:hAnsi="宋体"/>
          <w:szCs w:val="21"/>
        </w:rPr>
      </w:pPr>
      <w:r>
        <w:rPr>
          <w:rFonts w:hint="eastAsia" w:ascii="宋体" w:hAnsi="宋体"/>
          <w:szCs w:val="21"/>
        </w:rPr>
        <w:t>（2）投入该工作所有人员的姓名、工种、级别和耗用工时；</w:t>
      </w:r>
    </w:p>
    <w:p w14:paraId="4751618E">
      <w:pPr>
        <w:spacing w:line="360" w:lineRule="auto"/>
        <w:ind w:firstLine="420" w:firstLineChars="200"/>
        <w:rPr>
          <w:rFonts w:hint="eastAsia" w:ascii="宋体" w:hAnsi="宋体"/>
          <w:szCs w:val="21"/>
        </w:rPr>
      </w:pPr>
      <w:r>
        <w:rPr>
          <w:rFonts w:hint="eastAsia" w:ascii="宋体" w:hAnsi="宋体"/>
          <w:szCs w:val="21"/>
        </w:rPr>
        <w:t>（3）投入该工作的材料类别和数量；</w:t>
      </w:r>
    </w:p>
    <w:p w14:paraId="0C93CE3B">
      <w:pPr>
        <w:spacing w:line="360" w:lineRule="auto"/>
        <w:ind w:firstLine="420" w:firstLineChars="200"/>
        <w:rPr>
          <w:rFonts w:hint="eastAsia" w:ascii="宋体" w:hAnsi="宋体"/>
          <w:szCs w:val="21"/>
        </w:rPr>
      </w:pPr>
      <w:r>
        <w:rPr>
          <w:rFonts w:hint="eastAsia" w:ascii="宋体" w:hAnsi="宋体"/>
          <w:szCs w:val="21"/>
        </w:rPr>
        <w:t>（4）投入该工作的施工设备型号、台数和耗用台时；</w:t>
      </w:r>
    </w:p>
    <w:p w14:paraId="214684FA">
      <w:pPr>
        <w:spacing w:line="360" w:lineRule="auto"/>
        <w:ind w:firstLine="420" w:firstLineChars="200"/>
        <w:rPr>
          <w:rFonts w:hint="eastAsia" w:ascii="宋体" w:hAnsi="宋体"/>
          <w:szCs w:val="21"/>
        </w:rPr>
      </w:pPr>
      <w:r>
        <w:rPr>
          <w:rFonts w:hint="eastAsia" w:ascii="宋体" w:hAnsi="宋体"/>
          <w:szCs w:val="21"/>
        </w:rPr>
        <w:t>（5）监理人要求提交的其他资料和凭证。</w:t>
      </w:r>
    </w:p>
    <w:p w14:paraId="7EC70C1E">
      <w:pPr>
        <w:spacing w:line="360" w:lineRule="auto"/>
        <w:ind w:firstLine="420" w:firstLineChars="200"/>
        <w:rPr>
          <w:rFonts w:hint="eastAsia" w:ascii="宋体" w:hAnsi="宋体"/>
          <w:szCs w:val="21"/>
        </w:rPr>
      </w:pPr>
      <w:r>
        <w:rPr>
          <w:rFonts w:hint="eastAsia" w:ascii="宋体" w:hAnsi="宋体"/>
          <w:szCs w:val="21"/>
        </w:rPr>
        <w:t>15.7.3 计日工由承包人汇总后，按第17.3 .2 项的约定列入进度付款申请单，由监理人复核并经发包人同意后列入进度付款。</w:t>
      </w:r>
    </w:p>
    <w:p w14:paraId="4A4F0A7A">
      <w:pPr>
        <w:pStyle w:val="6"/>
        <w:spacing w:before="0" w:beforeAutospacing="0" w:after="0" w:afterAutospacing="0" w:line="360" w:lineRule="auto"/>
        <w:rPr>
          <w:rFonts w:hint="eastAsia"/>
        </w:rPr>
      </w:pPr>
      <w:r>
        <w:rPr>
          <w:rFonts w:hint="eastAsia"/>
        </w:rPr>
        <w:t>15.8 暂估价</w:t>
      </w:r>
    </w:p>
    <w:p w14:paraId="2DE586A8">
      <w:pPr>
        <w:spacing w:line="360" w:lineRule="auto"/>
        <w:ind w:firstLine="420" w:firstLineChars="200"/>
        <w:rPr>
          <w:rFonts w:hint="eastAsia" w:ascii="宋体" w:hAnsi="宋体"/>
          <w:szCs w:val="21"/>
        </w:rPr>
      </w:pPr>
      <w:r>
        <w:rPr>
          <w:rFonts w:hint="eastAsia" w:ascii="宋体" w:hAnsi="宋体"/>
          <w:szCs w:val="21"/>
        </w:rPr>
        <w:t>15.8.1 发包人在工程量清单中给定暂估价的材料、工程设备和专业工程属于依法必须招标的范围并达到规定的规模标准的，由发包人和承包人以招标的方式选择供应商或分包人。发包人和承包人的权利义务关系在专用合同条款中约定。中标金额与工程量清单中所列的暂估价的金额差以及相应的税金等其他费用列入合同价格。</w:t>
      </w:r>
    </w:p>
    <w:p w14:paraId="124DDE7E">
      <w:pPr>
        <w:spacing w:line="360" w:lineRule="auto"/>
        <w:ind w:firstLine="420" w:firstLineChars="200"/>
        <w:rPr>
          <w:rFonts w:hint="eastAsia" w:ascii="宋体" w:hAnsi="宋体"/>
          <w:szCs w:val="21"/>
        </w:rPr>
      </w:pPr>
      <w:r>
        <w:rPr>
          <w:rFonts w:hint="eastAsia" w:ascii="宋体" w:hAnsi="宋体"/>
          <w:szCs w:val="21"/>
        </w:rPr>
        <w:t>15.8.2 发包人在工程量清单中给定暂估价的材料和工程设备不属于依法必须招标的范围或未达到规定的规模标准的，应由承包人按第5.1 款的约定提供。经监理人确认的材料、工程设备的价格与工程量清单中所列的暂估价的金额差以及相应的税金等其他费用列入合同价格。</w:t>
      </w:r>
    </w:p>
    <w:p w14:paraId="625C2288">
      <w:pPr>
        <w:spacing w:line="360" w:lineRule="auto"/>
        <w:ind w:firstLine="420" w:firstLineChars="200"/>
        <w:rPr>
          <w:rFonts w:hint="eastAsia" w:ascii="宋体" w:hAnsi="宋体"/>
          <w:szCs w:val="21"/>
        </w:rPr>
      </w:pPr>
      <w:r>
        <w:rPr>
          <w:rFonts w:hint="eastAsia" w:ascii="宋体" w:hAnsi="宋体"/>
          <w:szCs w:val="21"/>
        </w:rPr>
        <w:t>15.8.3发包人在工程量清单中给定暂估价的专业工程不属于依法必须招标的范围或未达到规定的规模标准的，由监理人按照第15.4 款进行估价，但专用合同条款另有约定的除外。经估价的专业工程与工程量清单中所列的暂估价的金额差以及相应的税金等其他费用列入合同价格。</w:t>
      </w:r>
    </w:p>
    <w:p w14:paraId="23490012">
      <w:pPr>
        <w:pStyle w:val="5"/>
        <w:spacing w:before="0" w:after="0" w:line="360" w:lineRule="auto"/>
        <w:rPr>
          <w:rFonts w:hint="eastAsia" w:ascii="宋体" w:hAnsi="宋体"/>
        </w:rPr>
      </w:pPr>
      <w:bookmarkStart w:id="528" w:name="_Toc1952"/>
      <w:bookmarkStart w:id="529" w:name="_Toc184635113"/>
      <w:bookmarkStart w:id="530" w:name="_Toc1440"/>
      <w:bookmarkStart w:id="531" w:name="_Toc14245"/>
      <w:bookmarkStart w:id="532" w:name="_Toc57795955"/>
      <w:r>
        <w:rPr>
          <w:rFonts w:hint="eastAsia" w:ascii="宋体" w:hAnsi="宋体"/>
        </w:rPr>
        <w:t>16、价格调整</w:t>
      </w:r>
      <w:bookmarkEnd w:id="528"/>
      <w:bookmarkEnd w:id="529"/>
      <w:bookmarkEnd w:id="530"/>
      <w:bookmarkEnd w:id="531"/>
      <w:bookmarkEnd w:id="532"/>
    </w:p>
    <w:p w14:paraId="26DB263B">
      <w:pPr>
        <w:pStyle w:val="6"/>
        <w:spacing w:before="0" w:beforeAutospacing="0" w:after="0" w:afterAutospacing="0" w:line="360" w:lineRule="auto"/>
        <w:rPr>
          <w:rFonts w:hint="eastAsia"/>
        </w:rPr>
      </w:pPr>
      <w:r>
        <w:rPr>
          <w:rFonts w:hint="eastAsia"/>
        </w:rPr>
        <w:t>16.1 物价波动引起的价格调整</w:t>
      </w:r>
    </w:p>
    <w:p w14:paraId="56D592FB">
      <w:pPr>
        <w:spacing w:line="360" w:lineRule="auto"/>
        <w:ind w:firstLine="420" w:firstLineChars="200"/>
        <w:rPr>
          <w:rFonts w:hint="eastAsia" w:ascii="宋体" w:hAnsi="宋体"/>
          <w:szCs w:val="21"/>
        </w:rPr>
      </w:pPr>
      <w:r>
        <w:rPr>
          <w:rFonts w:hint="eastAsia" w:ascii="宋体" w:hAnsi="宋体"/>
          <w:szCs w:val="21"/>
        </w:rPr>
        <w:t>除专用合同条款另有约定外，因物价波动引起的价格调整按照本款约定处理。</w:t>
      </w:r>
    </w:p>
    <w:p w14:paraId="462D50F6">
      <w:pPr>
        <w:spacing w:line="360" w:lineRule="auto"/>
        <w:ind w:firstLine="420" w:firstLineChars="200"/>
        <w:rPr>
          <w:rFonts w:hint="eastAsia" w:ascii="宋体" w:hAnsi="宋体"/>
          <w:szCs w:val="21"/>
        </w:rPr>
      </w:pPr>
      <w:r>
        <w:rPr>
          <w:rFonts w:hint="eastAsia" w:ascii="宋体" w:hAnsi="宋体"/>
          <w:szCs w:val="21"/>
        </w:rPr>
        <w:t>16.1.1 采用价格指数调整价格差额</w:t>
      </w:r>
    </w:p>
    <w:p w14:paraId="5948F677">
      <w:pPr>
        <w:spacing w:line="360" w:lineRule="auto"/>
        <w:ind w:firstLine="420" w:firstLineChars="200"/>
        <w:rPr>
          <w:rFonts w:hint="eastAsia" w:ascii="宋体" w:hAnsi="宋体"/>
          <w:szCs w:val="21"/>
        </w:rPr>
      </w:pPr>
      <w:r>
        <w:rPr>
          <w:rFonts w:hint="eastAsia" w:ascii="宋体" w:hAnsi="宋体"/>
          <w:szCs w:val="21"/>
        </w:rPr>
        <w:t>16.1.1.1 价格调整公式</w:t>
      </w:r>
    </w:p>
    <w:p w14:paraId="50BF5CCB">
      <w:pPr>
        <w:spacing w:line="360" w:lineRule="auto"/>
        <w:ind w:firstLine="420" w:firstLineChars="200"/>
        <w:rPr>
          <w:rFonts w:ascii="宋体" w:hAnsi="宋体"/>
          <w:szCs w:val="21"/>
        </w:rPr>
      </w:pPr>
      <w:r>
        <w:rPr>
          <w:rFonts w:hint="eastAsia" w:ascii="宋体" w:hAnsi="宋体"/>
          <w:szCs w:val="21"/>
        </w:rPr>
        <w:t>因人工、材料和设备等价格波动影响合同价格时，根据投标函附录中的价格指数和权重表约定的数据，按以下公式计算差额并调整合同价格。</w:t>
      </w:r>
    </w:p>
    <w:p w14:paraId="4E590A38">
      <w:pPr>
        <w:spacing w:line="360" w:lineRule="auto"/>
        <w:ind w:firstLine="2205" w:firstLineChars="1050"/>
        <w:rPr>
          <w:rFonts w:hint="eastAsia" w:ascii="宋体" w:hAnsi="宋体"/>
          <w:szCs w:val="21"/>
        </w:rPr>
      </w:pPr>
      <w:r>
        <w:rPr>
          <w:rFonts w:hint="eastAsia" w:ascii="宋体" w:hAnsi="宋体"/>
          <w:szCs w:val="21"/>
        </w:rPr>
        <w:t>F</w:t>
      </w:r>
      <w:r>
        <w:rPr>
          <w:rFonts w:hint="eastAsia" w:ascii="宋体" w:hAnsi="宋体"/>
          <w:sz w:val="28"/>
          <w:szCs w:val="28"/>
          <w:vertAlign w:val="subscript"/>
        </w:rPr>
        <w:t>t1</w:t>
      </w:r>
      <w:r>
        <w:rPr>
          <w:rFonts w:hint="eastAsia" w:ascii="宋体" w:hAnsi="宋体"/>
          <w:szCs w:val="21"/>
          <w:vertAlign w:val="subscript"/>
        </w:rPr>
        <w:t xml:space="preserve">        </w:t>
      </w:r>
      <w:r>
        <w:rPr>
          <w:rFonts w:hint="eastAsia" w:ascii="宋体" w:hAnsi="宋体"/>
          <w:szCs w:val="21"/>
        </w:rPr>
        <w:t xml:space="preserve"> F</w:t>
      </w:r>
      <w:r>
        <w:rPr>
          <w:rFonts w:hint="eastAsia" w:ascii="宋体" w:hAnsi="宋体"/>
          <w:sz w:val="28"/>
          <w:szCs w:val="28"/>
          <w:vertAlign w:val="subscript"/>
        </w:rPr>
        <w:t>t2</w:t>
      </w:r>
      <w:r>
        <w:rPr>
          <w:rFonts w:hint="eastAsia" w:ascii="宋体" w:hAnsi="宋体"/>
          <w:szCs w:val="21"/>
          <w:vertAlign w:val="subscript"/>
        </w:rPr>
        <w:t xml:space="preserve">         </w:t>
      </w:r>
      <w:r>
        <w:rPr>
          <w:rFonts w:hint="eastAsia" w:ascii="宋体" w:hAnsi="宋体"/>
          <w:szCs w:val="21"/>
        </w:rPr>
        <w:t>F</w:t>
      </w:r>
      <w:r>
        <w:rPr>
          <w:rFonts w:hint="eastAsia" w:ascii="宋体" w:hAnsi="宋体"/>
          <w:sz w:val="28"/>
          <w:szCs w:val="28"/>
          <w:vertAlign w:val="subscript"/>
        </w:rPr>
        <w:t>t3</w:t>
      </w:r>
      <w:r>
        <w:rPr>
          <w:rFonts w:hint="eastAsia" w:ascii="宋体" w:hAnsi="宋体"/>
          <w:szCs w:val="21"/>
          <w:vertAlign w:val="subscript"/>
        </w:rPr>
        <w:t xml:space="preserve">                 </w:t>
      </w:r>
      <w:r>
        <w:rPr>
          <w:rFonts w:hint="eastAsia" w:ascii="宋体" w:hAnsi="宋体"/>
          <w:szCs w:val="21"/>
        </w:rPr>
        <w:t>F</w:t>
      </w:r>
      <w:r>
        <w:rPr>
          <w:rFonts w:hint="eastAsia" w:ascii="宋体" w:hAnsi="宋体"/>
          <w:sz w:val="28"/>
          <w:szCs w:val="28"/>
          <w:vertAlign w:val="subscript"/>
        </w:rPr>
        <w:t>tn</w:t>
      </w:r>
    </w:p>
    <w:p w14:paraId="467A3538">
      <w:pPr>
        <w:numPr>
          <w:ilvl w:val="0"/>
          <w:numId w:val="1"/>
        </w:numPr>
        <w:spacing w:line="360" w:lineRule="auto"/>
        <w:rPr>
          <w:rFonts w:hint="eastAsia" w:ascii="宋体" w:hAnsi="宋体"/>
          <w:szCs w:val="21"/>
        </w:rPr>
      </w:pPr>
      <w:r>
        <w:rPr>
          <w:rFonts w:hint="eastAsia" w:ascii="宋体" w:hAnsi="宋体"/>
          <w:szCs w:val="21"/>
        </w:rPr>
        <w:t>P=P</w:t>
      </w:r>
      <w:r>
        <w:rPr>
          <w:rFonts w:hint="eastAsia" w:ascii="宋体" w:hAnsi="宋体"/>
          <w:szCs w:val="21"/>
          <w:vertAlign w:val="subscript"/>
        </w:rPr>
        <w:t>O</w:t>
      </w:r>
      <w:r>
        <w:rPr>
          <w:rFonts w:hint="eastAsia" w:ascii="宋体" w:hAnsi="宋体"/>
          <w:szCs w:val="21"/>
        </w:rPr>
        <w:t>［A+｛B</w:t>
      </w:r>
      <w:r>
        <w:rPr>
          <w:rFonts w:hint="eastAsia" w:ascii="宋体" w:hAnsi="宋体"/>
          <w:szCs w:val="21"/>
          <w:vertAlign w:val="subscript"/>
        </w:rPr>
        <w:t>1</w:t>
      </w:r>
      <w:r>
        <w:rPr>
          <w:rFonts w:hint="eastAsia" w:ascii="宋体" w:hAnsi="宋体"/>
          <w:szCs w:val="21"/>
        </w:rPr>
        <w:t>×—＋B</w:t>
      </w:r>
      <w:r>
        <w:rPr>
          <w:rFonts w:hint="eastAsia" w:ascii="宋体" w:hAnsi="宋体"/>
          <w:szCs w:val="21"/>
          <w:vertAlign w:val="subscript"/>
        </w:rPr>
        <w:t>2</w:t>
      </w:r>
      <w:r>
        <w:rPr>
          <w:rFonts w:hint="eastAsia" w:ascii="宋体" w:hAnsi="宋体"/>
          <w:szCs w:val="21"/>
        </w:rPr>
        <w:t>×—＋B</w:t>
      </w:r>
      <w:r>
        <w:rPr>
          <w:rFonts w:hint="eastAsia" w:ascii="宋体" w:hAnsi="宋体"/>
          <w:szCs w:val="21"/>
          <w:vertAlign w:val="subscript"/>
        </w:rPr>
        <w:t>3</w:t>
      </w:r>
      <w:r>
        <w:rPr>
          <w:rFonts w:hint="eastAsia" w:ascii="宋体" w:hAnsi="宋体"/>
          <w:szCs w:val="21"/>
        </w:rPr>
        <w:t>×—＋…＋B</w:t>
      </w:r>
      <w:r>
        <w:rPr>
          <w:rFonts w:hint="eastAsia" w:ascii="宋体" w:hAnsi="宋体"/>
          <w:szCs w:val="21"/>
          <w:vertAlign w:val="subscript"/>
        </w:rPr>
        <w:t>n</w:t>
      </w:r>
      <w:r>
        <w:rPr>
          <w:rFonts w:hint="eastAsia" w:ascii="宋体" w:hAnsi="宋体"/>
          <w:szCs w:val="21"/>
        </w:rPr>
        <w:t>×—｝－1</w:t>
      </w:r>
      <w:r>
        <w:rPr>
          <w:rFonts w:ascii="宋体" w:hAnsi="宋体"/>
          <w:szCs w:val="21"/>
        </w:rPr>
        <w:t>］</w:t>
      </w:r>
      <w:r>
        <w:rPr>
          <w:rFonts w:hint="eastAsia" w:ascii="宋体" w:hAnsi="宋体"/>
          <w:szCs w:val="21"/>
        </w:rPr>
        <w:t xml:space="preserve"> </w:t>
      </w:r>
    </w:p>
    <w:p w14:paraId="6EB71239">
      <w:pPr>
        <w:spacing w:line="360" w:lineRule="auto"/>
        <w:ind w:left="420" w:leftChars="200" w:firstLine="1785" w:firstLineChars="850"/>
        <w:rPr>
          <w:rFonts w:ascii="宋体" w:hAnsi="宋体"/>
          <w:szCs w:val="21"/>
        </w:rPr>
      </w:pPr>
      <w:r>
        <w:rPr>
          <w:rFonts w:hint="eastAsia" w:ascii="宋体" w:hAnsi="宋体"/>
          <w:szCs w:val="21"/>
        </w:rPr>
        <w:t>F</w:t>
      </w:r>
      <w:r>
        <w:rPr>
          <w:rFonts w:hint="eastAsia" w:ascii="宋体" w:hAnsi="宋体"/>
          <w:sz w:val="28"/>
          <w:szCs w:val="28"/>
          <w:vertAlign w:val="subscript"/>
        </w:rPr>
        <w:t xml:space="preserve">01        </w:t>
      </w:r>
      <w:r>
        <w:rPr>
          <w:rFonts w:hint="eastAsia" w:ascii="宋体" w:hAnsi="宋体"/>
          <w:szCs w:val="21"/>
        </w:rPr>
        <w:t>F</w:t>
      </w:r>
      <w:r>
        <w:rPr>
          <w:rFonts w:hint="eastAsia" w:ascii="宋体" w:hAnsi="宋体"/>
          <w:sz w:val="28"/>
          <w:szCs w:val="28"/>
          <w:vertAlign w:val="subscript"/>
        </w:rPr>
        <w:t xml:space="preserve">02       </w:t>
      </w:r>
      <w:r>
        <w:rPr>
          <w:rFonts w:hint="eastAsia" w:ascii="宋体" w:hAnsi="宋体"/>
          <w:szCs w:val="21"/>
        </w:rPr>
        <w:t>F</w:t>
      </w:r>
      <w:r>
        <w:rPr>
          <w:rFonts w:hint="eastAsia" w:ascii="宋体" w:hAnsi="宋体"/>
          <w:sz w:val="28"/>
          <w:szCs w:val="28"/>
          <w:vertAlign w:val="subscript"/>
        </w:rPr>
        <w:t xml:space="preserve">03              </w:t>
      </w:r>
      <w:r>
        <w:rPr>
          <w:rFonts w:hint="eastAsia" w:ascii="宋体" w:hAnsi="宋体"/>
          <w:szCs w:val="21"/>
        </w:rPr>
        <w:t>F</w:t>
      </w:r>
      <w:r>
        <w:rPr>
          <w:rFonts w:hint="eastAsia" w:ascii="宋体" w:hAnsi="宋体"/>
          <w:sz w:val="28"/>
          <w:szCs w:val="28"/>
          <w:vertAlign w:val="subscript"/>
        </w:rPr>
        <w:t>04</w:t>
      </w:r>
    </w:p>
    <w:p w14:paraId="7134398D">
      <w:pPr>
        <w:spacing w:line="360" w:lineRule="auto"/>
        <w:ind w:firstLine="420" w:firstLineChars="200"/>
        <w:rPr>
          <w:rFonts w:hint="eastAsia" w:ascii="宋体" w:hAnsi="宋体"/>
          <w:szCs w:val="21"/>
        </w:rPr>
      </w:pPr>
      <w:r>
        <w:rPr>
          <w:rFonts w:hint="eastAsia" w:ascii="宋体" w:hAnsi="宋体"/>
          <w:szCs w:val="21"/>
        </w:rPr>
        <w:t>式中：△ P 一需调整的价格差额；</w:t>
      </w:r>
    </w:p>
    <w:p w14:paraId="448F67F0">
      <w:pPr>
        <w:spacing w:line="360" w:lineRule="auto"/>
        <w:ind w:firstLine="420" w:firstLineChars="200"/>
        <w:rPr>
          <w:rFonts w:hint="eastAsia" w:ascii="宋体" w:hAnsi="宋体"/>
          <w:szCs w:val="21"/>
        </w:rPr>
      </w:pPr>
      <w:r>
        <w:rPr>
          <w:rFonts w:hint="eastAsia" w:ascii="宋体" w:hAnsi="宋体"/>
          <w:szCs w:val="21"/>
        </w:rPr>
        <w:t>P</w:t>
      </w:r>
      <w:r>
        <w:rPr>
          <w:rFonts w:hint="eastAsia" w:ascii="宋体" w:hAnsi="宋体"/>
          <w:szCs w:val="21"/>
          <w:vertAlign w:val="subscript"/>
        </w:rPr>
        <w:t>O</w:t>
      </w:r>
      <w:r>
        <w:rPr>
          <w:rFonts w:hint="eastAsia" w:ascii="宋体" w:hAnsi="宋体"/>
          <w:szCs w:val="21"/>
        </w:rPr>
        <w:t>一第17.3.3 项、第17.5 .2 项和第17.6.2 项约定的付款证书中承包人应得到的</w:t>
      </w:r>
      <w:r>
        <w:rPr>
          <w:rFonts w:hint="eastAsia" w:ascii="宋体" w:hAnsi="宋体"/>
          <w:szCs w:val="21"/>
          <w:lang w:eastAsia="zh-CN"/>
        </w:rPr>
        <w:t>已完成</w:t>
      </w:r>
      <w:r>
        <w:rPr>
          <w:rFonts w:hint="eastAsia" w:ascii="宋体" w:hAnsi="宋体"/>
          <w:szCs w:val="21"/>
        </w:rPr>
        <w:t>工程量的金额。此项金额应不包括价格调整、不计质量保证金的扣留和支付、预付款的支付和扣回。第15条约定的变更及其他金额已按现行价格计价的，也不计在内；</w:t>
      </w:r>
    </w:p>
    <w:p w14:paraId="0F1AD542">
      <w:pPr>
        <w:spacing w:line="360" w:lineRule="auto"/>
        <w:ind w:firstLine="420" w:firstLineChars="200"/>
        <w:rPr>
          <w:rFonts w:hint="eastAsia" w:ascii="宋体" w:hAnsi="宋体"/>
          <w:szCs w:val="21"/>
        </w:rPr>
      </w:pPr>
      <w:r>
        <w:rPr>
          <w:rFonts w:hint="eastAsia" w:ascii="宋体" w:hAnsi="宋体"/>
          <w:szCs w:val="21"/>
        </w:rPr>
        <w:t xml:space="preserve">A ---定值权重（即不调部分的权重）； </w:t>
      </w:r>
    </w:p>
    <w:p w14:paraId="15670C23">
      <w:pPr>
        <w:spacing w:line="360" w:lineRule="auto"/>
        <w:ind w:firstLine="420" w:firstLineChars="200"/>
        <w:rPr>
          <w:rFonts w:hint="eastAsia" w:ascii="宋体" w:hAnsi="宋体"/>
          <w:szCs w:val="21"/>
        </w:rPr>
      </w:pPr>
      <w:r>
        <w:rPr>
          <w:rFonts w:hint="eastAsia" w:ascii="宋体" w:hAnsi="宋体"/>
          <w:szCs w:val="21"/>
        </w:rPr>
        <w:t>B</w:t>
      </w:r>
      <w:r>
        <w:rPr>
          <w:rFonts w:hint="eastAsia" w:ascii="宋体" w:hAnsi="宋体"/>
          <w:sz w:val="28"/>
          <w:szCs w:val="28"/>
          <w:vertAlign w:val="subscript"/>
        </w:rPr>
        <w:t>1</w:t>
      </w:r>
      <w:r>
        <w:rPr>
          <w:rFonts w:hint="eastAsia" w:ascii="宋体" w:hAnsi="宋体"/>
          <w:szCs w:val="21"/>
        </w:rPr>
        <w:t>；B</w:t>
      </w:r>
      <w:r>
        <w:rPr>
          <w:rFonts w:hint="eastAsia" w:ascii="宋体" w:hAnsi="宋体"/>
          <w:sz w:val="28"/>
          <w:szCs w:val="28"/>
          <w:vertAlign w:val="subscript"/>
        </w:rPr>
        <w:t>2</w:t>
      </w:r>
      <w:r>
        <w:rPr>
          <w:rFonts w:hint="eastAsia" w:ascii="宋体" w:hAnsi="宋体"/>
          <w:szCs w:val="21"/>
        </w:rPr>
        <w:t>；B</w:t>
      </w:r>
      <w:r>
        <w:rPr>
          <w:rFonts w:hint="eastAsia" w:ascii="宋体" w:hAnsi="宋体"/>
          <w:sz w:val="28"/>
          <w:szCs w:val="28"/>
          <w:vertAlign w:val="subscript"/>
        </w:rPr>
        <w:t>3</w:t>
      </w:r>
      <w:r>
        <w:rPr>
          <w:rFonts w:hint="eastAsia" w:ascii="宋体" w:hAnsi="宋体"/>
          <w:szCs w:val="21"/>
        </w:rPr>
        <w:t>；……B</w:t>
      </w:r>
      <w:r>
        <w:rPr>
          <w:rFonts w:hint="eastAsia" w:ascii="宋体" w:hAnsi="宋体"/>
          <w:sz w:val="28"/>
          <w:szCs w:val="28"/>
          <w:vertAlign w:val="subscript"/>
        </w:rPr>
        <w:t>n</w:t>
      </w:r>
      <w:r>
        <w:rPr>
          <w:rFonts w:hint="eastAsia" w:ascii="宋体" w:hAnsi="宋体"/>
          <w:szCs w:val="21"/>
        </w:rPr>
        <w:t>---各可调因子的变值权重（即可调部分的权重）为各可调因子在投标函投标总报价中所占的比例；</w:t>
      </w:r>
    </w:p>
    <w:p w14:paraId="64B9CCC5">
      <w:pPr>
        <w:spacing w:line="360" w:lineRule="auto"/>
        <w:ind w:firstLine="420" w:firstLineChars="200"/>
        <w:rPr>
          <w:rFonts w:hint="eastAsia" w:ascii="宋体" w:hAnsi="宋体"/>
          <w:szCs w:val="21"/>
        </w:rPr>
      </w:pPr>
      <w:r>
        <w:rPr>
          <w:rFonts w:hint="eastAsia" w:ascii="宋体" w:hAnsi="宋体"/>
          <w:szCs w:val="21"/>
        </w:rPr>
        <w:t>F</w:t>
      </w:r>
      <w:r>
        <w:rPr>
          <w:rFonts w:hint="eastAsia" w:ascii="宋体" w:hAnsi="宋体"/>
          <w:sz w:val="28"/>
          <w:szCs w:val="28"/>
          <w:vertAlign w:val="subscript"/>
        </w:rPr>
        <w:t>t1</w:t>
      </w:r>
      <w:r>
        <w:rPr>
          <w:rFonts w:hint="eastAsia" w:ascii="宋体" w:hAnsi="宋体"/>
          <w:szCs w:val="21"/>
        </w:rPr>
        <w:t>；F</w:t>
      </w:r>
      <w:r>
        <w:rPr>
          <w:rFonts w:hint="eastAsia" w:ascii="宋体" w:hAnsi="宋体"/>
          <w:sz w:val="28"/>
          <w:szCs w:val="28"/>
          <w:vertAlign w:val="subscript"/>
        </w:rPr>
        <w:t>t2</w:t>
      </w:r>
      <w:r>
        <w:rPr>
          <w:rFonts w:hint="eastAsia" w:ascii="宋体" w:hAnsi="宋体"/>
          <w:szCs w:val="21"/>
        </w:rPr>
        <w:t>；F</w:t>
      </w:r>
      <w:r>
        <w:rPr>
          <w:rFonts w:hint="eastAsia" w:ascii="宋体" w:hAnsi="宋体"/>
          <w:sz w:val="28"/>
          <w:szCs w:val="28"/>
          <w:vertAlign w:val="subscript"/>
        </w:rPr>
        <w:t>t3</w:t>
      </w:r>
      <w:r>
        <w:rPr>
          <w:rFonts w:hint="eastAsia" w:ascii="宋体" w:hAnsi="宋体"/>
          <w:szCs w:val="21"/>
        </w:rPr>
        <w:t>；……F</w:t>
      </w:r>
      <w:r>
        <w:rPr>
          <w:rFonts w:hint="eastAsia" w:ascii="宋体" w:hAnsi="宋体"/>
          <w:sz w:val="28"/>
          <w:szCs w:val="28"/>
          <w:vertAlign w:val="subscript"/>
        </w:rPr>
        <w:t>tn</w:t>
      </w:r>
      <w:r>
        <w:rPr>
          <w:rFonts w:hint="eastAsia" w:ascii="宋体" w:hAnsi="宋体"/>
          <w:szCs w:val="21"/>
        </w:rPr>
        <w:t>---各可调因子的现行价格指数，指第17.3.3 项、第17.5.2 项和第17.6.2 项约定的付款证书相关周期最后一天的前42天的各可调因子的价格指数；</w:t>
      </w:r>
    </w:p>
    <w:p w14:paraId="5FA1E51F">
      <w:pPr>
        <w:spacing w:line="360" w:lineRule="auto"/>
        <w:ind w:firstLine="420" w:firstLineChars="200"/>
        <w:rPr>
          <w:rFonts w:hint="eastAsia" w:ascii="宋体" w:hAnsi="宋体"/>
          <w:szCs w:val="21"/>
        </w:rPr>
      </w:pPr>
      <w:r>
        <w:rPr>
          <w:rFonts w:hint="eastAsia" w:ascii="宋体" w:hAnsi="宋体"/>
          <w:szCs w:val="21"/>
        </w:rPr>
        <w:t>F</w:t>
      </w:r>
      <w:r>
        <w:rPr>
          <w:rFonts w:hint="eastAsia" w:ascii="宋体" w:hAnsi="宋体"/>
          <w:sz w:val="28"/>
          <w:szCs w:val="28"/>
          <w:vertAlign w:val="subscript"/>
        </w:rPr>
        <w:t>01</w:t>
      </w:r>
      <w:r>
        <w:rPr>
          <w:rFonts w:hint="eastAsia" w:ascii="宋体" w:hAnsi="宋体"/>
          <w:szCs w:val="21"/>
        </w:rPr>
        <w:t>；F</w:t>
      </w:r>
      <w:r>
        <w:rPr>
          <w:rFonts w:hint="eastAsia" w:ascii="宋体" w:hAnsi="宋体"/>
          <w:sz w:val="28"/>
          <w:szCs w:val="28"/>
          <w:vertAlign w:val="subscript"/>
        </w:rPr>
        <w:t>02</w:t>
      </w:r>
      <w:r>
        <w:rPr>
          <w:rFonts w:hint="eastAsia" w:ascii="宋体" w:hAnsi="宋体"/>
          <w:szCs w:val="21"/>
        </w:rPr>
        <w:t>；F</w:t>
      </w:r>
      <w:r>
        <w:rPr>
          <w:rFonts w:hint="eastAsia" w:ascii="宋体" w:hAnsi="宋体"/>
          <w:sz w:val="28"/>
          <w:szCs w:val="28"/>
          <w:vertAlign w:val="subscript"/>
        </w:rPr>
        <w:t>03</w:t>
      </w:r>
      <w:r>
        <w:rPr>
          <w:rFonts w:hint="eastAsia" w:ascii="宋体" w:hAnsi="宋体"/>
          <w:szCs w:val="21"/>
        </w:rPr>
        <w:t>；……F</w:t>
      </w:r>
      <w:r>
        <w:rPr>
          <w:rFonts w:hint="eastAsia" w:ascii="宋体" w:hAnsi="宋体"/>
          <w:sz w:val="28"/>
          <w:szCs w:val="28"/>
          <w:vertAlign w:val="subscript"/>
        </w:rPr>
        <w:t>0n</w:t>
      </w:r>
      <w:r>
        <w:rPr>
          <w:rFonts w:hint="eastAsia" w:ascii="宋体" w:hAnsi="宋体"/>
          <w:szCs w:val="21"/>
        </w:rPr>
        <w:t>---各可调因子的基本价格指数，指基准日期的各可调因子的价格指数。</w:t>
      </w:r>
    </w:p>
    <w:p w14:paraId="40523D2C">
      <w:pPr>
        <w:spacing w:line="360" w:lineRule="auto"/>
        <w:ind w:firstLine="420" w:firstLineChars="200"/>
        <w:rPr>
          <w:rFonts w:hint="eastAsia" w:ascii="宋体" w:hAnsi="宋体"/>
          <w:szCs w:val="21"/>
        </w:rPr>
      </w:pPr>
      <w:r>
        <w:rPr>
          <w:rFonts w:hint="eastAsia" w:ascii="宋体" w:hAnsi="宋体"/>
          <w:szCs w:val="21"/>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14:paraId="718B4F49">
      <w:pPr>
        <w:spacing w:line="360" w:lineRule="auto"/>
        <w:ind w:firstLine="420" w:firstLineChars="200"/>
        <w:rPr>
          <w:rFonts w:hint="eastAsia" w:ascii="宋体" w:hAnsi="宋体"/>
          <w:szCs w:val="21"/>
        </w:rPr>
      </w:pPr>
      <w:r>
        <w:rPr>
          <w:rFonts w:hint="eastAsia" w:ascii="宋体" w:hAnsi="宋体"/>
          <w:szCs w:val="21"/>
        </w:rPr>
        <w:t>16.1.1.2 暂时确定调整差额</w:t>
      </w:r>
    </w:p>
    <w:p w14:paraId="0F614F4F">
      <w:pPr>
        <w:spacing w:line="360" w:lineRule="auto"/>
        <w:ind w:firstLine="420" w:firstLineChars="200"/>
        <w:rPr>
          <w:rFonts w:hint="eastAsia" w:ascii="宋体" w:hAnsi="宋体"/>
          <w:szCs w:val="21"/>
        </w:rPr>
      </w:pPr>
      <w:r>
        <w:rPr>
          <w:rFonts w:hint="eastAsia" w:ascii="宋体" w:hAnsi="宋体"/>
          <w:szCs w:val="21"/>
        </w:rPr>
        <w:t>在计算调整差额时得不到现行价格指数的，可暂用上一次价格指数计算，并在以后的付款中再按实际价格指数进行调整。</w:t>
      </w:r>
    </w:p>
    <w:p w14:paraId="79185CA4">
      <w:pPr>
        <w:spacing w:line="360" w:lineRule="auto"/>
        <w:ind w:firstLine="420" w:firstLineChars="200"/>
        <w:rPr>
          <w:rFonts w:hint="eastAsia" w:ascii="宋体" w:hAnsi="宋体"/>
          <w:szCs w:val="21"/>
        </w:rPr>
      </w:pPr>
      <w:r>
        <w:rPr>
          <w:rFonts w:hint="eastAsia" w:ascii="宋体" w:hAnsi="宋体"/>
          <w:szCs w:val="21"/>
        </w:rPr>
        <w:t>16.1.1.3 权重的调整</w:t>
      </w:r>
    </w:p>
    <w:p w14:paraId="43F753C8">
      <w:pPr>
        <w:spacing w:line="360" w:lineRule="auto"/>
        <w:ind w:firstLine="420" w:firstLineChars="200"/>
        <w:rPr>
          <w:rFonts w:hint="eastAsia" w:ascii="宋体" w:hAnsi="宋体"/>
          <w:szCs w:val="21"/>
        </w:rPr>
      </w:pPr>
      <w:r>
        <w:rPr>
          <w:rFonts w:hint="eastAsia" w:ascii="宋体" w:hAnsi="宋体"/>
          <w:szCs w:val="21"/>
        </w:rPr>
        <w:t>按第15.1 款约定的变更导致原定合同中的权重不合理时，由监理人与承包人和发包人协商后进行调整。</w:t>
      </w:r>
    </w:p>
    <w:p w14:paraId="1A183ACD">
      <w:pPr>
        <w:spacing w:line="360" w:lineRule="auto"/>
        <w:ind w:firstLine="420" w:firstLineChars="200"/>
        <w:rPr>
          <w:rFonts w:ascii="宋体" w:hAnsi="宋体"/>
          <w:szCs w:val="21"/>
        </w:rPr>
      </w:pPr>
      <w:r>
        <w:rPr>
          <w:rFonts w:hint="eastAsia" w:ascii="宋体" w:hAnsi="宋体"/>
          <w:szCs w:val="21"/>
        </w:rPr>
        <w:t>16.1.1.4 承包人工期延误后的价格调整</w:t>
      </w:r>
    </w:p>
    <w:p w14:paraId="3B691D98">
      <w:pPr>
        <w:spacing w:line="360" w:lineRule="auto"/>
        <w:ind w:firstLine="420" w:firstLineChars="200"/>
        <w:rPr>
          <w:rFonts w:hint="eastAsia" w:ascii="宋体" w:hAnsi="宋体"/>
          <w:szCs w:val="21"/>
        </w:rPr>
      </w:pPr>
      <w:r>
        <w:rPr>
          <w:rFonts w:hint="eastAsia" w:ascii="宋体" w:hAnsi="宋体"/>
          <w:szCs w:val="21"/>
        </w:rPr>
        <w:t>由于承包人原因未在约定的工期内竣工的，则对原约定竣工日期后继续施工的工程，在使用第16.1.1. 1目价格调整公式时，应采用原约定竣工日期与实际竣工日期的两个价格指数中较低的一个作为现行价格指数。</w:t>
      </w:r>
    </w:p>
    <w:p w14:paraId="2D606672">
      <w:pPr>
        <w:spacing w:line="360" w:lineRule="auto"/>
        <w:ind w:firstLine="420" w:firstLineChars="200"/>
        <w:rPr>
          <w:rFonts w:hint="eastAsia" w:ascii="宋体" w:hAnsi="宋体"/>
          <w:szCs w:val="21"/>
        </w:rPr>
      </w:pPr>
      <w:r>
        <w:rPr>
          <w:rFonts w:hint="eastAsia" w:ascii="宋体" w:hAnsi="宋体"/>
          <w:szCs w:val="21"/>
        </w:rPr>
        <w:t>16.1.2 采用造价信息调整价格差额</w:t>
      </w:r>
    </w:p>
    <w:p w14:paraId="30E50A7B">
      <w:pPr>
        <w:spacing w:line="360" w:lineRule="auto"/>
        <w:ind w:firstLine="420" w:firstLineChars="200"/>
        <w:rPr>
          <w:rFonts w:hint="eastAsia" w:ascii="宋体" w:hAnsi="宋体"/>
          <w:szCs w:val="21"/>
        </w:rPr>
      </w:pPr>
      <w:r>
        <w:rPr>
          <w:rFonts w:hint="eastAsia" w:ascii="宋体" w:hAnsi="宋体"/>
          <w:szCs w:val="21"/>
        </w:rPr>
        <w:t>施工期内，因人工、材料、设备和机械台班价格波动影响合同价格时，人工、机械使用费按照国家或省、自治区、直辖市建设行政管理部门、行业建设管理部门或其授权的工程造价管理机构发布的人工成本信息、机械台班单价或机械使用费系数进行调整；需要进行价格调整的材料，其单价和采购数应由监理人复核，监理人确认需调整的材料单价及数量，作为调整工程合同价格差额的依据。</w:t>
      </w:r>
    </w:p>
    <w:p w14:paraId="5220F6BB">
      <w:pPr>
        <w:pStyle w:val="6"/>
        <w:spacing w:before="0" w:beforeAutospacing="0" w:after="0" w:afterAutospacing="0" w:line="360" w:lineRule="auto"/>
        <w:rPr>
          <w:rFonts w:hint="eastAsia"/>
        </w:rPr>
      </w:pPr>
      <w:r>
        <w:rPr>
          <w:rFonts w:hint="eastAsia"/>
        </w:rPr>
        <w:t>16.2 法律变化引起的价格调整</w:t>
      </w:r>
    </w:p>
    <w:p w14:paraId="758A4D55">
      <w:pPr>
        <w:spacing w:line="360" w:lineRule="auto"/>
        <w:ind w:firstLine="420" w:firstLineChars="200"/>
        <w:rPr>
          <w:rFonts w:hint="eastAsia" w:ascii="宋体" w:hAnsi="宋体"/>
          <w:szCs w:val="21"/>
        </w:rPr>
      </w:pPr>
      <w:r>
        <w:rPr>
          <w:rFonts w:hint="eastAsia" w:ascii="宋体" w:hAnsi="宋体"/>
          <w:szCs w:val="21"/>
        </w:rPr>
        <w:t>在基准日后，因法律变化导致承包人在合同履行中所需要的工程费用发生除第16.1 款约定以外的增减时，监理人应根据法律、国家或省、自治区、直辖市有关部门的规定，按第3.5 款商定或确定需调整的合同价款。</w:t>
      </w:r>
    </w:p>
    <w:p w14:paraId="4B4BE99D">
      <w:pPr>
        <w:pStyle w:val="5"/>
        <w:spacing w:before="0" w:after="0" w:line="360" w:lineRule="auto"/>
        <w:rPr>
          <w:rFonts w:hint="eastAsia" w:ascii="宋体" w:hAnsi="宋体"/>
        </w:rPr>
      </w:pPr>
      <w:bookmarkStart w:id="533" w:name="_Toc184635114"/>
      <w:bookmarkStart w:id="534" w:name="_Toc57795956"/>
      <w:bookmarkStart w:id="535" w:name="_Toc21143"/>
      <w:bookmarkStart w:id="536" w:name="_Toc17799"/>
      <w:bookmarkStart w:id="537" w:name="_Toc21807"/>
      <w:r>
        <w:rPr>
          <w:rFonts w:hint="eastAsia" w:ascii="宋体" w:hAnsi="宋体"/>
        </w:rPr>
        <w:t>17、计量与支付</w:t>
      </w:r>
      <w:bookmarkEnd w:id="533"/>
      <w:bookmarkEnd w:id="534"/>
      <w:bookmarkEnd w:id="535"/>
      <w:bookmarkEnd w:id="536"/>
      <w:bookmarkEnd w:id="537"/>
    </w:p>
    <w:p w14:paraId="70AE34E4">
      <w:pPr>
        <w:pStyle w:val="6"/>
        <w:spacing w:before="0" w:beforeAutospacing="0" w:after="0" w:afterAutospacing="0" w:line="360" w:lineRule="auto"/>
        <w:rPr>
          <w:rFonts w:hint="eastAsia"/>
        </w:rPr>
      </w:pPr>
      <w:r>
        <w:rPr>
          <w:rFonts w:hint="eastAsia"/>
        </w:rPr>
        <w:t>17.1 计量</w:t>
      </w:r>
    </w:p>
    <w:p w14:paraId="624F87CF">
      <w:pPr>
        <w:spacing w:line="360" w:lineRule="auto"/>
        <w:ind w:firstLine="420" w:firstLineChars="200"/>
        <w:rPr>
          <w:rFonts w:hint="eastAsia" w:ascii="宋体" w:hAnsi="宋体"/>
          <w:szCs w:val="21"/>
        </w:rPr>
      </w:pPr>
      <w:r>
        <w:rPr>
          <w:rFonts w:hint="eastAsia" w:ascii="宋体" w:hAnsi="宋体"/>
          <w:szCs w:val="21"/>
        </w:rPr>
        <w:t>17.1.1 计量单位</w:t>
      </w:r>
    </w:p>
    <w:p w14:paraId="3F2DC5A6">
      <w:pPr>
        <w:spacing w:line="360" w:lineRule="auto"/>
        <w:ind w:firstLine="420" w:firstLineChars="200"/>
        <w:rPr>
          <w:rFonts w:hint="eastAsia" w:ascii="宋体" w:hAnsi="宋体"/>
          <w:szCs w:val="21"/>
        </w:rPr>
      </w:pPr>
      <w:r>
        <w:rPr>
          <w:rFonts w:hint="eastAsia" w:ascii="宋体" w:hAnsi="宋体"/>
          <w:szCs w:val="21"/>
        </w:rPr>
        <w:t>计量采用国家法定的计量单位。</w:t>
      </w:r>
    </w:p>
    <w:p w14:paraId="2F5B3F88">
      <w:pPr>
        <w:spacing w:line="360" w:lineRule="auto"/>
        <w:ind w:firstLine="420" w:firstLineChars="200"/>
        <w:rPr>
          <w:rFonts w:hint="eastAsia" w:ascii="宋体" w:hAnsi="宋体"/>
          <w:szCs w:val="21"/>
        </w:rPr>
      </w:pPr>
      <w:r>
        <w:rPr>
          <w:rFonts w:hint="eastAsia" w:ascii="宋体" w:hAnsi="宋体"/>
          <w:szCs w:val="21"/>
        </w:rPr>
        <w:t>17.1.2 计量方法</w:t>
      </w:r>
    </w:p>
    <w:p w14:paraId="0AB7EB6E">
      <w:pPr>
        <w:spacing w:line="360" w:lineRule="auto"/>
        <w:ind w:firstLine="420" w:firstLineChars="200"/>
        <w:rPr>
          <w:rFonts w:hint="eastAsia" w:ascii="宋体" w:hAnsi="宋体"/>
          <w:szCs w:val="21"/>
        </w:rPr>
      </w:pPr>
      <w:r>
        <w:rPr>
          <w:rFonts w:hint="eastAsia" w:ascii="宋体" w:hAnsi="宋体"/>
          <w:szCs w:val="21"/>
        </w:rPr>
        <w:t>工程量清单中的工程量计算规则应按有关国家标准、行业标准的规定，并在合同中约定执行。</w:t>
      </w:r>
    </w:p>
    <w:p w14:paraId="24E5DB3C">
      <w:pPr>
        <w:spacing w:line="360" w:lineRule="auto"/>
        <w:ind w:firstLine="420" w:firstLineChars="200"/>
        <w:rPr>
          <w:rFonts w:hint="eastAsia" w:ascii="宋体" w:hAnsi="宋体"/>
          <w:szCs w:val="21"/>
        </w:rPr>
      </w:pPr>
      <w:r>
        <w:rPr>
          <w:rFonts w:hint="eastAsia" w:ascii="宋体" w:hAnsi="宋体"/>
          <w:szCs w:val="21"/>
        </w:rPr>
        <w:t>17.1.3 计量周期</w:t>
      </w:r>
    </w:p>
    <w:p w14:paraId="247BBFE3">
      <w:pPr>
        <w:spacing w:line="360" w:lineRule="auto"/>
        <w:ind w:firstLine="420" w:firstLineChars="200"/>
        <w:rPr>
          <w:rFonts w:hint="eastAsia" w:ascii="宋体" w:hAnsi="宋体"/>
          <w:szCs w:val="21"/>
        </w:rPr>
      </w:pPr>
      <w:r>
        <w:rPr>
          <w:rFonts w:hint="eastAsia" w:ascii="宋体" w:hAnsi="宋体"/>
          <w:szCs w:val="21"/>
        </w:rPr>
        <w:t>除专用合同条款另有约定外，单价子目已完成工程量按月计量，总价子目的计量周期按批准的支付分解报告确定。</w:t>
      </w:r>
    </w:p>
    <w:p w14:paraId="14C30372">
      <w:pPr>
        <w:spacing w:line="360" w:lineRule="auto"/>
        <w:ind w:firstLine="420" w:firstLineChars="200"/>
        <w:rPr>
          <w:rFonts w:hint="eastAsia" w:ascii="宋体" w:hAnsi="宋体"/>
          <w:szCs w:val="21"/>
        </w:rPr>
      </w:pPr>
      <w:r>
        <w:rPr>
          <w:rFonts w:hint="eastAsia" w:ascii="宋体" w:hAnsi="宋体"/>
          <w:szCs w:val="21"/>
        </w:rPr>
        <w:t>17.1.4 单价子目的计量</w:t>
      </w:r>
    </w:p>
    <w:p w14:paraId="632F4B3B">
      <w:pPr>
        <w:spacing w:line="360" w:lineRule="auto"/>
        <w:ind w:firstLine="420" w:firstLineChars="200"/>
        <w:rPr>
          <w:rFonts w:hint="eastAsia" w:ascii="宋体" w:hAnsi="宋体"/>
          <w:szCs w:val="21"/>
        </w:rPr>
      </w:pPr>
      <w:r>
        <w:rPr>
          <w:rFonts w:hint="eastAsia" w:ascii="宋体" w:hAnsi="宋体"/>
          <w:szCs w:val="21"/>
        </w:rPr>
        <w:t>（1）已标价工程量清单中的单价子目工程量为估算工程量。结算工程量是承包人实际完成的，并按合同约定的计量方法进行计量的工程量。</w:t>
      </w:r>
    </w:p>
    <w:p w14:paraId="2BAEC945">
      <w:pPr>
        <w:spacing w:line="360" w:lineRule="auto"/>
        <w:ind w:firstLine="420" w:firstLineChars="200"/>
        <w:rPr>
          <w:rFonts w:hint="eastAsia" w:ascii="宋体" w:hAnsi="宋体"/>
          <w:szCs w:val="21"/>
        </w:rPr>
      </w:pPr>
      <w:r>
        <w:rPr>
          <w:rFonts w:hint="eastAsia" w:ascii="宋体" w:hAnsi="宋体"/>
          <w:szCs w:val="21"/>
        </w:rPr>
        <w:t>（2）承包人对</w:t>
      </w:r>
      <w:r>
        <w:rPr>
          <w:rFonts w:hint="eastAsia" w:ascii="宋体" w:hAnsi="宋体"/>
          <w:szCs w:val="21"/>
          <w:lang w:eastAsia="zh-CN"/>
        </w:rPr>
        <w:t>已完成</w:t>
      </w:r>
      <w:r>
        <w:rPr>
          <w:rFonts w:hint="eastAsia" w:ascii="宋体" w:hAnsi="宋体"/>
          <w:szCs w:val="21"/>
        </w:rPr>
        <w:t>的工程进行计量，向监理人提交进度付款申请单、</w:t>
      </w:r>
      <w:r>
        <w:rPr>
          <w:rFonts w:hint="eastAsia" w:ascii="宋体" w:hAnsi="宋体"/>
          <w:szCs w:val="21"/>
          <w:lang w:eastAsia="zh-CN"/>
        </w:rPr>
        <w:t>已完成</w:t>
      </w:r>
      <w:r>
        <w:rPr>
          <w:rFonts w:hint="eastAsia" w:ascii="宋体" w:hAnsi="宋体"/>
          <w:szCs w:val="21"/>
        </w:rPr>
        <w:t>工程量报表和有关计量资料。</w:t>
      </w:r>
    </w:p>
    <w:p w14:paraId="75F28B2C">
      <w:pPr>
        <w:spacing w:line="360" w:lineRule="auto"/>
        <w:ind w:firstLine="420" w:firstLineChars="200"/>
        <w:rPr>
          <w:rFonts w:hint="eastAsia" w:ascii="宋体" w:hAnsi="宋体"/>
          <w:szCs w:val="21"/>
        </w:rPr>
      </w:pPr>
      <w:r>
        <w:rPr>
          <w:rFonts w:hint="eastAsia" w:ascii="宋体" w:hAnsi="宋体"/>
          <w:szCs w:val="21"/>
        </w:rPr>
        <w:t>（3）监理人对承包人提交的工程量报表进行复核，以确定实际完成的工程量。对数量有异议的，可要求承包人按第8.2 款约定进行共同复核和抽样复测。承包人应协助监理人进行复核并按监理人要求提供补充计量资料。承包人未按监理人要求参加复核，监理人复核或修正的工程量视为承包人实际完成的工程量。</w:t>
      </w:r>
    </w:p>
    <w:p w14:paraId="0D73927C">
      <w:pPr>
        <w:spacing w:line="360" w:lineRule="auto"/>
        <w:ind w:firstLine="420" w:firstLineChars="200"/>
        <w:rPr>
          <w:rFonts w:ascii="宋体" w:hAnsi="宋体"/>
          <w:szCs w:val="21"/>
        </w:rPr>
      </w:pPr>
      <w:r>
        <w:rPr>
          <w:rFonts w:hint="eastAsia" w:ascii="宋体" w:hAnsi="宋体"/>
          <w:szCs w:val="21"/>
        </w:rPr>
        <w:t>（4）监理人认为有必要时，可通知承包人共同进行联合测量、计量，承包人应遵照执行。</w:t>
      </w:r>
    </w:p>
    <w:p w14:paraId="2A98BF31">
      <w:pPr>
        <w:spacing w:line="360" w:lineRule="auto"/>
        <w:ind w:firstLine="420" w:firstLineChars="200"/>
        <w:rPr>
          <w:rFonts w:hint="eastAsia" w:ascii="宋体" w:hAnsi="宋体"/>
          <w:szCs w:val="21"/>
        </w:rPr>
      </w:pPr>
      <w:r>
        <w:rPr>
          <w:rFonts w:hint="eastAsia" w:ascii="宋体" w:hAnsi="宋体"/>
          <w:szCs w:val="21"/>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w:t>
      </w:r>
      <w:r>
        <w:rPr>
          <w:rFonts w:hint="eastAsia" w:ascii="宋体" w:hAnsi="宋体"/>
          <w:szCs w:val="21"/>
          <w:lang w:eastAsia="zh-CN"/>
        </w:rPr>
        <w:t>未按</w:t>
      </w:r>
      <w:r>
        <w:rPr>
          <w:rFonts w:hint="eastAsia" w:ascii="宋体" w:hAnsi="宋体"/>
          <w:szCs w:val="21"/>
        </w:rPr>
        <w:t>监理人要求派员参加的，监理人最终核实的工程量视为承包人完成该子目的准确工程量。</w:t>
      </w:r>
    </w:p>
    <w:p w14:paraId="13F00E68">
      <w:pPr>
        <w:spacing w:line="360" w:lineRule="auto"/>
        <w:ind w:firstLine="420" w:firstLineChars="200"/>
        <w:rPr>
          <w:rFonts w:hint="eastAsia" w:ascii="宋体" w:hAnsi="宋体"/>
          <w:szCs w:val="21"/>
        </w:rPr>
      </w:pPr>
      <w:r>
        <w:rPr>
          <w:rFonts w:hint="eastAsia" w:ascii="宋体" w:hAnsi="宋体"/>
          <w:szCs w:val="21"/>
        </w:rPr>
        <w:t>（6）监理人应在收到承包人提交的工程量报表后的7 天内进行复核，监理人未在约定时间内复核的，承包人提交的工程量报表中的工程量视为承包人实际完成的工程量，据此计算工程价款。</w:t>
      </w:r>
    </w:p>
    <w:p w14:paraId="6638C22E">
      <w:pPr>
        <w:spacing w:line="360" w:lineRule="auto"/>
        <w:ind w:firstLine="420" w:firstLineChars="200"/>
        <w:rPr>
          <w:rFonts w:hint="eastAsia" w:ascii="宋体" w:hAnsi="宋体"/>
          <w:szCs w:val="21"/>
        </w:rPr>
      </w:pPr>
      <w:r>
        <w:rPr>
          <w:rFonts w:hint="eastAsia" w:ascii="宋体" w:hAnsi="宋体"/>
          <w:szCs w:val="21"/>
        </w:rPr>
        <w:t>17.1.5 总价子目的计量</w:t>
      </w:r>
    </w:p>
    <w:p w14:paraId="54C5C68F">
      <w:pPr>
        <w:spacing w:line="360" w:lineRule="auto"/>
        <w:ind w:firstLine="420" w:firstLineChars="200"/>
        <w:rPr>
          <w:rFonts w:hint="eastAsia" w:ascii="宋体" w:hAnsi="宋体"/>
          <w:szCs w:val="21"/>
        </w:rPr>
      </w:pPr>
      <w:r>
        <w:rPr>
          <w:rFonts w:hint="eastAsia" w:ascii="宋体" w:hAnsi="宋体"/>
          <w:szCs w:val="21"/>
        </w:rPr>
        <w:t>除专用合同条款另有约定外，总价子目的分解和计量按照下述约定进行。</w:t>
      </w:r>
    </w:p>
    <w:p w14:paraId="6CCB8C09">
      <w:pPr>
        <w:spacing w:line="360" w:lineRule="auto"/>
        <w:ind w:firstLine="420" w:firstLineChars="200"/>
        <w:rPr>
          <w:rFonts w:hint="eastAsia" w:ascii="宋体" w:hAnsi="宋体"/>
          <w:szCs w:val="21"/>
        </w:rPr>
      </w:pPr>
      <w:r>
        <w:rPr>
          <w:rFonts w:hint="eastAsia" w:ascii="宋体" w:hAnsi="宋体"/>
          <w:szCs w:val="21"/>
        </w:rPr>
        <w:t>（1）总价子目的计量和支付应以总价为基础，不因第16.1 款中的因素而进行调整。承包人实际完成的工程量，是进行工程目标管理和控制进度支付的依据。</w:t>
      </w:r>
    </w:p>
    <w:p w14:paraId="21CAA75F">
      <w:pPr>
        <w:spacing w:line="360" w:lineRule="auto"/>
        <w:ind w:firstLine="420" w:firstLineChars="200"/>
        <w:rPr>
          <w:rFonts w:hint="eastAsia" w:ascii="宋体" w:hAnsi="宋体"/>
          <w:szCs w:val="21"/>
        </w:rPr>
      </w:pPr>
      <w:r>
        <w:rPr>
          <w:rFonts w:hint="eastAsia" w:ascii="宋体" w:hAnsi="宋体"/>
          <w:szCs w:val="21"/>
        </w:rPr>
        <w:t>（2）承包人在合同约定的每个计量周期内，对</w:t>
      </w:r>
      <w:r>
        <w:rPr>
          <w:rFonts w:hint="eastAsia" w:ascii="宋体" w:hAnsi="宋体"/>
          <w:szCs w:val="21"/>
          <w:lang w:eastAsia="zh-CN"/>
        </w:rPr>
        <w:t>已完成</w:t>
      </w:r>
      <w:r>
        <w:rPr>
          <w:rFonts w:hint="eastAsia" w:ascii="宋体" w:hAnsi="宋体"/>
          <w:szCs w:val="21"/>
        </w:rPr>
        <w:t>的工程进行计量，并向监理人提交进度付款申请单、专用合同条款约定的合同总价支付分解表所表示的阶段性或分项计量的支持性资料，以及所达到工程形象目标或分阶段需完成的工程量和有关计量资料。</w:t>
      </w:r>
    </w:p>
    <w:p w14:paraId="5BF6DBB8">
      <w:pPr>
        <w:spacing w:line="360" w:lineRule="auto"/>
        <w:ind w:firstLine="420" w:firstLineChars="200"/>
        <w:rPr>
          <w:rFonts w:hint="eastAsia" w:ascii="宋体" w:hAnsi="宋体"/>
          <w:szCs w:val="21"/>
        </w:rPr>
      </w:pPr>
      <w:r>
        <w:rPr>
          <w:rFonts w:hint="eastAsia" w:ascii="宋体" w:hAnsi="宋体"/>
          <w:szCs w:val="21"/>
        </w:rPr>
        <w:t>（3）监理人对承包人提交的上述资料进行复核，以确定分阶段实际完成的工程量和工程形象目标。对其有异议的，可要求承包人按第8.2 款约定进行共同复核和抽样复测。</w:t>
      </w:r>
    </w:p>
    <w:p w14:paraId="0B73F757">
      <w:pPr>
        <w:spacing w:line="360" w:lineRule="auto"/>
        <w:ind w:firstLine="420" w:firstLineChars="200"/>
        <w:rPr>
          <w:rFonts w:hint="eastAsia" w:ascii="宋体" w:hAnsi="宋体"/>
          <w:szCs w:val="21"/>
        </w:rPr>
      </w:pPr>
      <w:r>
        <w:rPr>
          <w:rFonts w:hint="eastAsia" w:ascii="宋体" w:hAnsi="宋体"/>
          <w:szCs w:val="21"/>
        </w:rPr>
        <w:t>（4）除按照第巧条约定的变更外，总价子目的工程量是承包人用于结算的最终工程里．。</w:t>
      </w:r>
    </w:p>
    <w:p w14:paraId="13D25CCE">
      <w:pPr>
        <w:pStyle w:val="6"/>
        <w:spacing w:before="0" w:beforeAutospacing="0" w:after="0" w:afterAutospacing="0" w:line="360" w:lineRule="auto"/>
        <w:rPr>
          <w:rFonts w:hint="eastAsia"/>
        </w:rPr>
      </w:pPr>
      <w:r>
        <w:rPr>
          <w:rFonts w:hint="eastAsia"/>
        </w:rPr>
        <w:t>17.2 预付款</w:t>
      </w:r>
    </w:p>
    <w:p w14:paraId="0880B711">
      <w:pPr>
        <w:spacing w:line="360" w:lineRule="auto"/>
        <w:ind w:firstLine="420" w:firstLineChars="200"/>
        <w:rPr>
          <w:rFonts w:hint="eastAsia" w:ascii="宋体" w:hAnsi="宋体"/>
          <w:szCs w:val="21"/>
        </w:rPr>
      </w:pPr>
      <w:r>
        <w:rPr>
          <w:rFonts w:hint="eastAsia" w:ascii="宋体" w:hAnsi="宋体"/>
          <w:szCs w:val="21"/>
        </w:rPr>
        <w:t>17.2.1 预付款</w:t>
      </w:r>
    </w:p>
    <w:p w14:paraId="52F0BEE1">
      <w:pPr>
        <w:spacing w:line="360" w:lineRule="auto"/>
        <w:ind w:firstLine="420" w:firstLineChars="200"/>
        <w:rPr>
          <w:rFonts w:hint="eastAsia" w:ascii="宋体" w:hAnsi="宋体"/>
          <w:szCs w:val="21"/>
        </w:rPr>
      </w:pPr>
      <w:r>
        <w:rPr>
          <w:rFonts w:hint="eastAsia" w:ascii="宋体" w:hAnsi="宋体"/>
          <w:szCs w:val="21"/>
        </w:rPr>
        <w:t>预付款用于承包人为合同工程施工购置材料、工程设备、施工设备、修建临时设施以及组织施工队伍进场等。预付款的额度和预付办法在专用合同条款中约定。预付款必须专用于合同工程。</w:t>
      </w:r>
    </w:p>
    <w:p w14:paraId="5D45AA62">
      <w:pPr>
        <w:spacing w:line="360" w:lineRule="auto"/>
        <w:ind w:firstLine="420" w:firstLineChars="200"/>
        <w:rPr>
          <w:rFonts w:hint="eastAsia" w:ascii="宋体" w:hAnsi="宋体"/>
          <w:szCs w:val="21"/>
        </w:rPr>
      </w:pPr>
      <w:r>
        <w:rPr>
          <w:rFonts w:hint="eastAsia" w:ascii="宋体" w:hAnsi="宋体"/>
          <w:szCs w:val="21"/>
        </w:rPr>
        <w:t>17.2.2 预付款保函</w:t>
      </w:r>
    </w:p>
    <w:p w14:paraId="6BBDE69C">
      <w:pPr>
        <w:spacing w:line="360" w:lineRule="auto"/>
        <w:ind w:firstLine="420" w:firstLineChars="200"/>
        <w:rPr>
          <w:rFonts w:hint="eastAsia" w:ascii="宋体" w:hAnsi="宋体"/>
          <w:szCs w:val="21"/>
        </w:rPr>
      </w:pPr>
      <w:r>
        <w:rPr>
          <w:rFonts w:hint="eastAsia" w:ascii="宋体" w:hAnsi="宋体"/>
          <w:szCs w:val="21"/>
        </w:rPr>
        <w:t>除专用合同条款另有约定外，承包人应在收到预付款的同时向发包人提交预付款保函，预付款保函的担保金额应与预付款金额相同。保函的担保金额可根据预付款扣回的金额相应递减。</w:t>
      </w:r>
    </w:p>
    <w:p w14:paraId="2C8A57A7">
      <w:pPr>
        <w:spacing w:line="360" w:lineRule="auto"/>
        <w:ind w:firstLine="420" w:firstLineChars="200"/>
        <w:rPr>
          <w:rFonts w:hint="eastAsia" w:ascii="宋体" w:hAnsi="宋体"/>
          <w:szCs w:val="21"/>
        </w:rPr>
      </w:pPr>
      <w:r>
        <w:rPr>
          <w:rFonts w:hint="eastAsia" w:ascii="宋体" w:hAnsi="宋体"/>
          <w:szCs w:val="21"/>
        </w:rPr>
        <w:t>17.2.3 预付款的扣回与还清</w:t>
      </w:r>
    </w:p>
    <w:p w14:paraId="2F44530F">
      <w:pPr>
        <w:spacing w:line="360" w:lineRule="auto"/>
        <w:ind w:firstLine="420" w:firstLineChars="200"/>
        <w:rPr>
          <w:rFonts w:hint="eastAsia" w:ascii="宋体" w:hAnsi="宋体"/>
          <w:szCs w:val="21"/>
        </w:rPr>
      </w:pPr>
      <w:r>
        <w:rPr>
          <w:rFonts w:hint="eastAsia" w:ascii="宋体" w:hAnsi="宋体"/>
          <w:szCs w:val="21"/>
        </w:rPr>
        <w:t>预付款在进度付款中扣回，扣回办法在专用合同条款中约定。在颁发工程接收证书前，由于不可抗力或其他原因解除合同时，预付款尚未扣清的，尚未扣清的预付款余额应作为承包人的到期应付款。</w:t>
      </w:r>
    </w:p>
    <w:p w14:paraId="61D133A4">
      <w:pPr>
        <w:pStyle w:val="6"/>
        <w:spacing w:before="0" w:beforeAutospacing="0" w:after="0" w:afterAutospacing="0" w:line="360" w:lineRule="auto"/>
        <w:rPr>
          <w:rFonts w:hint="eastAsia"/>
        </w:rPr>
      </w:pPr>
      <w:r>
        <w:rPr>
          <w:rFonts w:hint="eastAsia"/>
        </w:rPr>
        <w:t>17.3 工程进度付款</w:t>
      </w:r>
    </w:p>
    <w:p w14:paraId="4E842CD9">
      <w:pPr>
        <w:spacing w:line="360" w:lineRule="auto"/>
        <w:ind w:firstLine="420" w:firstLineChars="200"/>
        <w:rPr>
          <w:rFonts w:hint="eastAsia" w:ascii="宋体" w:hAnsi="宋体"/>
          <w:szCs w:val="21"/>
        </w:rPr>
      </w:pPr>
      <w:r>
        <w:rPr>
          <w:rFonts w:hint="eastAsia" w:ascii="宋体" w:hAnsi="宋体"/>
          <w:szCs w:val="21"/>
        </w:rPr>
        <w:t>17.3.1 付款周期</w:t>
      </w:r>
    </w:p>
    <w:p w14:paraId="250A8816">
      <w:pPr>
        <w:spacing w:line="360" w:lineRule="auto"/>
        <w:ind w:firstLine="420" w:firstLineChars="200"/>
        <w:rPr>
          <w:rFonts w:ascii="宋体" w:hAnsi="宋体"/>
          <w:szCs w:val="21"/>
        </w:rPr>
      </w:pPr>
      <w:r>
        <w:rPr>
          <w:rFonts w:hint="eastAsia" w:ascii="宋体" w:hAnsi="宋体"/>
          <w:szCs w:val="21"/>
        </w:rPr>
        <w:t>付款周期同计量周期。</w:t>
      </w:r>
    </w:p>
    <w:p w14:paraId="3DE22D1F">
      <w:pPr>
        <w:spacing w:line="360" w:lineRule="auto"/>
        <w:ind w:firstLine="420" w:firstLineChars="200"/>
        <w:rPr>
          <w:rFonts w:hint="eastAsia" w:ascii="宋体" w:hAnsi="宋体"/>
          <w:szCs w:val="21"/>
        </w:rPr>
      </w:pPr>
      <w:r>
        <w:rPr>
          <w:rFonts w:hint="eastAsia" w:ascii="宋体" w:hAnsi="宋体"/>
          <w:szCs w:val="21"/>
        </w:rPr>
        <w:t>17.3.2 进度付款申请单</w:t>
      </w:r>
    </w:p>
    <w:p w14:paraId="7DEFA8D7">
      <w:pPr>
        <w:spacing w:line="360" w:lineRule="auto"/>
        <w:ind w:firstLine="420" w:firstLineChars="200"/>
        <w:rPr>
          <w:rFonts w:hint="eastAsia" w:ascii="宋体" w:hAnsi="宋体"/>
          <w:szCs w:val="21"/>
        </w:rPr>
      </w:pPr>
      <w:r>
        <w:rPr>
          <w:rFonts w:hint="eastAsia" w:ascii="宋体" w:hAnsi="宋体"/>
          <w:szCs w:val="21"/>
        </w:rPr>
        <w:t>承包人应在每个付款周期末，按监理人批准的格式和专用合同条款约定的份数，向监理人提交进度付款中请单，并附相应的支持性证明文件。除专用合同条款另有约定外，进度付款申请单应包括下列内容：</w:t>
      </w:r>
    </w:p>
    <w:p w14:paraId="0F8ED4ED">
      <w:pPr>
        <w:spacing w:line="360" w:lineRule="auto"/>
        <w:ind w:firstLine="420" w:firstLineChars="200"/>
        <w:rPr>
          <w:rFonts w:hint="eastAsia" w:ascii="宋体" w:hAnsi="宋体"/>
          <w:szCs w:val="21"/>
        </w:rPr>
      </w:pPr>
      <w:r>
        <w:rPr>
          <w:rFonts w:hint="eastAsia" w:ascii="宋体" w:hAnsi="宋体"/>
          <w:szCs w:val="21"/>
        </w:rPr>
        <w:t>（l）截至本次付款周期末</w:t>
      </w:r>
      <w:r>
        <w:rPr>
          <w:rFonts w:hint="eastAsia" w:ascii="宋体" w:hAnsi="宋体"/>
          <w:szCs w:val="21"/>
          <w:lang w:eastAsia="zh-CN"/>
        </w:rPr>
        <w:t>已实施</w:t>
      </w:r>
      <w:r>
        <w:rPr>
          <w:rFonts w:hint="eastAsia" w:ascii="宋体" w:hAnsi="宋体"/>
          <w:szCs w:val="21"/>
        </w:rPr>
        <w:t>工程的价款；</w:t>
      </w:r>
    </w:p>
    <w:p w14:paraId="57BC4A07">
      <w:pPr>
        <w:spacing w:line="360" w:lineRule="auto"/>
        <w:ind w:firstLine="420" w:firstLineChars="200"/>
        <w:rPr>
          <w:rFonts w:hint="eastAsia" w:ascii="宋体" w:hAnsi="宋体"/>
          <w:szCs w:val="21"/>
        </w:rPr>
      </w:pPr>
      <w:r>
        <w:rPr>
          <w:rFonts w:hint="eastAsia" w:ascii="宋体" w:hAnsi="宋体"/>
          <w:szCs w:val="21"/>
        </w:rPr>
        <w:t>（2）根据第巧条应增加和扣减的变更金额；</w:t>
      </w:r>
    </w:p>
    <w:p w14:paraId="654A39C5">
      <w:pPr>
        <w:spacing w:line="360" w:lineRule="auto"/>
        <w:ind w:firstLine="420" w:firstLineChars="200"/>
        <w:rPr>
          <w:rFonts w:hint="eastAsia" w:ascii="宋体" w:hAnsi="宋体"/>
          <w:szCs w:val="21"/>
        </w:rPr>
      </w:pPr>
      <w:r>
        <w:rPr>
          <w:rFonts w:hint="eastAsia" w:ascii="宋体" w:hAnsi="宋体"/>
          <w:szCs w:val="21"/>
        </w:rPr>
        <w:t>（3）根据第23 条应增加和扣减的索赔金额；</w:t>
      </w:r>
    </w:p>
    <w:p w14:paraId="6647A5F2">
      <w:pPr>
        <w:spacing w:line="360" w:lineRule="auto"/>
        <w:ind w:firstLine="420" w:firstLineChars="200"/>
        <w:rPr>
          <w:rFonts w:hint="eastAsia" w:ascii="宋体" w:hAnsi="宋体"/>
          <w:szCs w:val="21"/>
        </w:rPr>
      </w:pPr>
      <w:r>
        <w:rPr>
          <w:rFonts w:hint="eastAsia" w:ascii="宋体" w:hAnsi="宋体"/>
          <w:szCs w:val="21"/>
        </w:rPr>
        <w:t>（4）根据第17.2 款约定应支付的预付款和扣减的返还预付款；</w:t>
      </w:r>
    </w:p>
    <w:p w14:paraId="6FAF0378">
      <w:pPr>
        <w:spacing w:line="360" w:lineRule="auto"/>
        <w:ind w:firstLine="420" w:firstLineChars="200"/>
        <w:rPr>
          <w:rFonts w:hint="eastAsia" w:ascii="宋体" w:hAnsi="宋体"/>
          <w:szCs w:val="21"/>
        </w:rPr>
      </w:pPr>
      <w:r>
        <w:rPr>
          <w:rFonts w:hint="eastAsia" w:ascii="宋体" w:hAnsi="宋体"/>
          <w:szCs w:val="21"/>
        </w:rPr>
        <w:t>（5）根据第17.4.1 项约定应扣减的质量保证金；</w:t>
      </w:r>
    </w:p>
    <w:p w14:paraId="1D96BBF2">
      <w:pPr>
        <w:spacing w:line="360" w:lineRule="auto"/>
        <w:ind w:firstLine="420" w:firstLineChars="200"/>
        <w:rPr>
          <w:rFonts w:hint="eastAsia" w:ascii="宋体" w:hAnsi="宋体"/>
          <w:szCs w:val="21"/>
        </w:rPr>
      </w:pPr>
      <w:r>
        <w:rPr>
          <w:rFonts w:hint="eastAsia" w:ascii="宋体" w:hAnsi="宋体"/>
          <w:szCs w:val="21"/>
        </w:rPr>
        <w:t>（6）根据合同应增加和扣减的其他金额。</w:t>
      </w:r>
    </w:p>
    <w:p w14:paraId="40B30F14">
      <w:pPr>
        <w:spacing w:line="360" w:lineRule="auto"/>
        <w:ind w:firstLine="420" w:firstLineChars="200"/>
        <w:rPr>
          <w:rFonts w:hint="eastAsia" w:ascii="宋体" w:hAnsi="宋体"/>
          <w:szCs w:val="21"/>
        </w:rPr>
      </w:pPr>
      <w:r>
        <w:rPr>
          <w:rFonts w:hint="eastAsia" w:ascii="宋体" w:hAnsi="宋体"/>
          <w:szCs w:val="21"/>
        </w:rPr>
        <w:t>17.3.3 进度付款证书和支付时间</w:t>
      </w:r>
    </w:p>
    <w:p w14:paraId="4D3F59CE">
      <w:pPr>
        <w:spacing w:line="360" w:lineRule="auto"/>
        <w:ind w:firstLine="420" w:firstLineChars="200"/>
        <w:rPr>
          <w:rFonts w:hint="eastAsia" w:ascii="宋体" w:hAnsi="宋体"/>
          <w:szCs w:val="21"/>
        </w:rPr>
      </w:pPr>
      <w:r>
        <w:rPr>
          <w:rFonts w:hint="eastAsia" w:ascii="宋体" w:hAnsi="宋体"/>
          <w:szCs w:val="21"/>
        </w:rPr>
        <w:t>（1）监理人在收到承包人进度付款申请单以及相应的支持性证明文件后的14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14:paraId="37D5CF62">
      <w:pPr>
        <w:spacing w:line="360" w:lineRule="auto"/>
        <w:ind w:firstLine="420" w:firstLineChars="200"/>
        <w:rPr>
          <w:rFonts w:hint="eastAsia" w:ascii="宋体" w:hAnsi="宋体"/>
          <w:szCs w:val="21"/>
        </w:rPr>
      </w:pPr>
      <w:r>
        <w:rPr>
          <w:rFonts w:hint="eastAsia" w:ascii="宋体" w:hAnsi="宋体"/>
          <w:szCs w:val="21"/>
        </w:rPr>
        <w:t>（2）发包人应在监理人收到进度付款中请单后的28 天内，将进度应付款支付给承包人。发包人不按期支付的，按专用合同条款的约定支付逾期付款违约金。</w:t>
      </w:r>
    </w:p>
    <w:p w14:paraId="1259A021">
      <w:pPr>
        <w:spacing w:line="360" w:lineRule="auto"/>
        <w:ind w:firstLine="420" w:firstLineChars="200"/>
        <w:rPr>
          <w:rFonts w:hint="eastAsia" w:ascii="宋体" w:hAnsi="宋体"/>
          <w:szCs w:val="21"/>
        </w:rPr>
      </w:pPr>
      <w:r>
        <w:rPr>
          <w:rFonts w:hint="eastAsia" w:ascii="宋体" w:hAnsi="宋体"/>
          <w:szCs w:val="21"/>
        </w:rPr>
        <w:t>（3）监理人出具进度付款证书，不应视为监理人己同意、批准或接受了承包人完成的该部分工作。</w:t>
      </w:r>
    </w:p>
    <w:p w14:paraId="7550CE51">
      <w:pPr>
        <w:spacing w:line="360" w:lineRule="auto"/>
        <w:ind w:firstLine="420" w:firstLineChars="200"/>
        <w:rPr>
          <w:rFonts w:hint="eastAsia" w:ascii="宋体" w:hAnsi="宋体"/>
          <w:szCs w:val="21"/>
        </w:rPr>
      </w:pPr>
      <w:r>
        <w:rPr>
          <w:rFonts w:hint="eastAsia" w:ascii="宋体" w:hAnsi="宋体"/>
          <w:szCs w:val="21"/>
        </w:rPr>
        <w:t>（4）进度付款涉及政府投资资金的，按照国库集中支付等国家相关规定和专用合同条款的约定办理。</w:t>
      </w:r>
    </w:p>
    <w:p w14:paraId="150C356A">
      <w:pPr>
        <w:spacing w:line="360" w:lineRule="auto"/>
        <w:ind w:firstLine="420" w:firstLineChars="200"/>
        <w:rPr>
          <w:rFonts w:hint="eastAsia" w:ascii="宋体" w:hAnsi="宋体"/>
          <w:szCs w:val="21"/>
        </w:rPr>
      </w:pPr>
      <w:r>
        <w:rPr>
          <w:rFonts w:hint="eastAsia" w:ascii="宋体" w:hAnsi="宋体"/>
          <w:szCs w:val="21"/>
        </w:rPr>
        <w:t>17.3.4 工程进度付款的修正</w:t>
      </w:r>
    </w:p>
    <w:p w14:paraId="158A8EE0">
      <w:pPr>
        <w:spacing w:line="360" w:lineRule="auto"/>
        <w:ind w:firstLine="420" w:firstLineChars="200"/>
        <w:rPr>
          <w:rFonts w:hint="eastAsia" w:ascii="宋体" w:hAnsi="宋体"/>
          <w:szCs w:val="21"/>
        </w:rPr>
      </w:pPr>
      <w:r>
        <w:rPr>
          <w:rFonts w:hint="eastAsia" w:ascii="宋体" w:hAnsi="宋体"/>
          <w:szCs w:val="21"/>
        </w:rPr>
        <w:t>在对以往历次已签发的进度付款证书进行汇总和复核中发现错、漏或重复的，监理人有权予以修正，承包人也有权提出修正申请。经双方复核同意的修正，应在本次进度付款中支付或扣除。</w:t>
      </w:r>
    </w:p>
    <w:p w14:paraId="4BDE76C7">
      <w:pPr>
        <w:pStyle w:val="6"/>
        <w:spacing w:before="0" w:beforeAutospacing="0" w:after="0" w:afterAutospacing="0" w:line="360" w:lineRule="auto"/>
        <w:rPr>
          <w:rFonts w:hint="eastAsia"/>
        </w:rPr>
      </w:pPr>
      <w:r>
        <w:rPr>
          <w:rFonts w:hint="eastAsia"/>
        </w:rPr>
        <w:t>17.4 质量保证金</w:t>
      </w:r>
    </w:p>
    <w:p w14:paraId="3E89C5A3">
      <w:pPr>
        <w:spacing w:line="360" w:lineRule="auto"/>
        <w:ind w:firstLine="420" w:firstLineChars="200"/>
        <w:rPr>
          <w:rFonts w:hint="eastAsia" w:ascii="宋体" w:hAnsi="宋体"/>
          <w:szCs w:val="21"/>
        </w:rPr>
      </w:pPr>
      <w:r>
        <w:rPr>
          <w:rFonts w:hint="eastAsia" w:ascii="宋体" w:hAnsi="宋体"/>
          <w:szCs w:val="21"/>
        </w:rPr>
        <w:t>17.4.1 监理人应从第一个付款周期开始，在发包人的进度付款中，按专用合同条款的约定扣留质量保证金，直至扣留的质量保证金总额达到专用合同条款约定的金额或比例为止。质量保证金的计算额度不包括预付款的支付、扣回以及价格调整的金额。</w:t>
      </w:r>
    </w:p>
    <w:p w14:paraId="71939B5A">
      <w:pPr>
        <w:spacing w:line="360" w:lineRule="auto"/>
        <w:ind w:firstLine="420" w:firstLineChars="200"/>
        <w:rPr>
          <w:rFonts w:hint="eastAsia" w:ascii="宋体" w:hAnsi="宋体"/>
          <w:szCs w:val="21"/>
        </w:rPr>
      </w:pPr>
      <w:r>
        <w:rPr>
          <w:rFonts w:hint="eastAsia" w:ascii="宋体" w:hAnsi="宋体"/>
          <w:szCs w:val="21"/>
        </w:rPr>
        <w:t>17.4.2 在第1.1.4.5 目约定的缺陷责任期满时，承包人向发包人申请到期应返还承包人剩余的质量保证金金额，发包人应在14天内会同承包人按照合同约定的内容核实承包人是否完成缺陷责任。如无异议，发包人应当在核实后将剩余保证金返还承包人。</w:t>
      </w:r>
    </w:p>
    <w:p w14:paraId="628DFE48">
      <w:pPr>
        <w:spacing w:line="360" w:lineRule="auto"/>
        <w:ind w:firstLine="420" w:firstLineChars="200"/>
        <w:rPr>
          <w:rFonts w:ascii="宋体" w:hAnsi="宋体"/>
          <w:szCs w:val="21"/>
        </w:rPr>
      </w:pPr>
      <w:r>
        <w:rPr>
          <w:rFonts w:hint="eastAsia" w:ascii="宋体" w:hAnsi="宋体"/>
          <w:szCs w:val="21"/>
        </w:rPr>
        <w:t>17.4.3 在第1.1.4.5 目约定的缺陷责任期满时，承包人没有完成缺陷责任的，发包人有权扣留与未履行责任剩余工作所需金额相应的质量保证金余额，并有权根据第19.3 款约定</w:t>
      </w:r>
    </w:p>
    <w:p w14:paraId="5F5E8378">
      <w:pPr>
        <w:spacing w:line="360" w:lineRule="auto"/>
        <w:ind w:firstLine="420" w:firstLineChars="200"/>
        <w:rPr>
          <w:rFonts w:hint="eastAsia" w:ascii="宋体" w:hAnsi="宋体"/>
          <w:szCs w:val="21"/>
        </w:rPr>
      </w:pPr>
      <w:r>
        <w:rPr>
          <w:rFonts w:hint="eastAsia" w:ascii="宋体" w:hAnsi="宋体"/>
          <w:szCs w:val="21"/>
        </w:rPr>
        <w:t>要求延长缺陷责任期，直至完成剩余工作为止。</w:t>
      </w:r>
    </w:p>
    <w:p w14:paraId="49E73F82">
      <w:pPr>
        <w:pStyle w:val="6"/>
        <w:spacing w:before="0" w:beforeAutospacing="0" w:after="0" w:afterAutospacing="0" w:line="360" w:lineRule="auto"/>
        <w:rPr>
          <w:rFonts w:hint="eastAsia"/>
        </w:rPr>
      </w:pPr>
      <w:r>
        <w:rPr>
          <w:rFonts w:hint="eastAsia"/>
        </w:rPr>
        <w:t>17.5 竣工结算</w:t>
      </w:r>
    </w:p>
    <w:p w14:paraId="3A10823E">
      <w:pPr>
        <w:spacing w:line="360" w:lineRule="auto"/>
        <w:ind w:firstLine="420" w:firstLineChars="200"/>
        <w:rPr>
          <w:rFonts w:hint="eastAsia" w:ascii="宋体" w:hAnsi="宋体"/>
          <w:szCs w:val="21"/>
        </w:rPr>
      </w:pPr>
      <w:r>
        <w:rPr>
          <w:rFonts w:hint="eastAsia" w:ascii="宋体" w:hAnsi="宋体"/>
          <w:szCs w:val="21"/>
        </w:rPr>
        <w:t>17.5.1 竣工付款申请单</w:t>
      </w:r>
    </w:p>
    <w:p w14:paraId="2B60DBFC">
      <w:pPr>
        <w:spacing w:line="360" w:lineRule="auto"/>
        <w:ind w:firstLine="420" w:firstLineChars="200"/>
        <w:rPr>
          <w:rFonts w:hint="eastAsia" w:ascii="宋体" w:hAnsi="宋体"/>
          <w:szCs w:val="21"/>
        </w:rPr>
      </w:pPr>
      <w:r>
        <w:rPr>
          <w:rFonts w:hint="eastAsia" w:ascii="宋体" w:hAnsi="宋体"/>
          <w:szCs w:val="21"/>
        </w:rPr>
        <w:t>（l）工程接收证书颁发后，承包人应按专用合同条款约定的份数和期限向监理人提交竣工付款申请单，并提供相关证明材料。除专用合同条款另有约定外，竣工付款申请单应包括下列内容：竣工结算合同总价、发包人已支付承包人的工程价款、应扣留的质量保证金、应支付的竣工付款金额。</w:t>
      </w:r>
    </w:p>
    <w:p w14:paraId="37B813EA">
      <w:pPr>
        <w:spacing w:line="360" w:lineRule="auto"/>
        <w:ind w:firstLine="420" w:firstLineChars="200"/>
        <w:rPr>
          <w:rFonts w:hint="eastAsia" w:ascii="宋体" w:hAnsi="宋体"/>
          <w:szCs w:val="21"/>
        </w:rPr>
      </w:pPr>
      <w:r>
        <w:rPr>
          <w:rFonts w:hint="eastAsia" w:ascii="宋体" w:hAnsi="宋体"/>
          <w:szCs w:val="21"/>
        </w:rPr>
        <w:t>（2）监理人对竣工付款申请单有异议的，有权要求承包人进行修正和提供补充资料。经监理人和承包人协商后，由承包人向监理人提交修正后的竣工付款申请单。</w:t>
      </w:r>
    </w:p>
    <w:p w14:paraId="7D016BFB">
      <w:pPr>
        <w:spacing w:line="360" w:lineRule="auto"/>
        <w:ind w:firstLine="420" w:firstLineChars="200"/>
        <w:rPr>
          <w:rFonts w:hint="eastAsia" w:ascii="宋体" w:hAnsi="宋体"/>
          <w:szCs w:val="21"/>
        </w:rPr>
      </w:pPr>
      <w:r>
        <w:rPr>
          <w:rFonts w:hint="eastAsia" w:ascii="宋体" w:hAnsi="宋体"/>
          <w:szCs w:val="21"/>
        </w:rPr>
        <w:t>17.5.2 竣工付款证书及支付时间</w:t>
      </w:r>
    </w:p>
    <w:p w14:paraId="21D56655">
      <w:pPr>
        <w:spacing w:line="360" w:lineRule="auto"/>
        <w:ind w:firstLine="420" w:firstLineChars="200"/>
        <w:rPr>
          <w:rFonts w:hint="eastAsia" w:ascii="宋体" w:hAnsi="宋体"/>
          <w:szCs w:val="21"/>
        </w:rPr>
      </w:pPr>
      <w:r>
        <w:rPr>
          <w:rFonts w:hint="eastAsia" w:ascii="宋体" w:hAnsi="宋体"/>
          <w:szCs w:val="21"/>
        </w:rPr>
        <w:t>（l）监理人在收到承包人提交的竣工付款申请单后的14天内完成核查，提出发包人到期应支付给承包人的价款送发包人审核并抄送承包人。发包人应在收到后14天内审核完毕，由监理人向承包人出具经发包人签认的竣工付款证书。监理人未在约定时间内核查，又未提出具体意见的，视为承包人提交的竣工付款申请单</w:t>
      </w:r>
      <w:r>
        <w:rPr>
          <w:rFonts w:hint="eastAsia" w:ascii="宋体" w:hAnsi="宋体"/>
          <w:szCs w:val="21"/>
          <w:lang w:eastAsia="zh-CN"/>
        </w:rPr>
        <w:t>已经</w:t>
      </w:r>
      <w:r>
        <w:rPr>
          <w:rFonts w:hint="eastAsia" w:ascii="宋体" w:hAnsi="宋体"/>
          <w:szCs w:val="21"/>
        </w:rPr>
        <w:t>监理人核查同意；发包人未在约定时间内审核又未提出具体意见的，监理人提出发包人到期应支付给承包人的价款视为已经发包人同意。</w:t>
      </w:r>
    </w:p>
    <w:p w14:paraId="034D1D68">
      <w:pPr>
        <w:spacing w:line="360" w:lineRule="auto"/>
        <w:ind w:firstLine="420" w:firstLineChars="200"/>
        <w:rPr>
          <w:rFonts w:hint="eastAsia" w:ascii="宋体" w:hAnsi="宋体"/>
          <w:szCs w:val="21"/>
        </w:rPr>
      </w:pPr>
      <w:r>
        <w:rPr>
          <w:rFonts w:hint="eastAsia" w:ascii="宋体" w:hAnsi="宋体"/>
          <w:szCs w:val="21"/>
        </w:rPr>
        <w:t>（2）发包人应在监理人出具竣工付款证书后的14 天内，将应支付款支付给承包人。发包人不按期支付的，按第17.3.3（2）目的约定，将逾期付款违约金支付给承包人。</w:t>
      </w:r>
    </w:p>
    <w:p w14:paraId="594F778C">
      <w:pPr>
        <w:spacing w:line="360" w:lineRule="auto"/>
        <w:ind w:firstLine="420" w:firstLineChars="200"/>
        <w:rPr>
          <w:rFonts w:hint="eastAsia" w:ascii="宋体" w:hAnsi="宋体"/>
          <w:szCs w:val="21"/>
        </w:rPr>
      </w:pPr>
      <w:r>
        <w:rPr>
          <w:rFonts w:hint="eastAsia" w:ascii="宋体" w:hAnsi="宋体"/>
          <w:szCs w:val="21"/>
        </w:rPr>
        <w:t>（3）承包人对发包人签认的竣工付款证书有异议的，发包人可出具竣工付款申请单中承包人已同意部分的临时付款证书。存在争议的部分，按第24条的约定办理。</w:t>
      </w:r>
    </w:p>
    <w:p w14:paraId="3992B185">
      <w:pPr>
        <w:spacing w:line="360" w:lineRule="auto"/>
        <w:ind w:firstLine="420" w:firstLineChars="200"/>
        <w:rPr>
          <w:rFonts w:hint="eastAsia" w:ascii="宋体" w:hAnsi="宋体"/>
          <w:szCs w:val="21"/>
        </w:rPr>
      </w:pPr>
      <w:r>
        <w:rPr>
          <w:rFonts w:hint="eastAsia" w:ascii="宋体" w:hAnsi="宋体"/>
          <w:szCs w:val="21"/>
        </w:rPr>
        <w:t>（4）竣工付款涉及政府投资资金的，按第17.3.3（4）目的约定办理。</w:t>
      </w:r>
    </w:p>
    <w:p w14:paraId="1D6A9093">
      <w:pPr>
        <w:pStyle w:val="6"/>
        <w:spacing w:before="0" w:beforeAutospacing="0" w:after="0" w:afterAutospacing="0" w:line="360" w:lineRule="auto"/>
        <w:rPr>
          <w:rFonts w:hint="eastAsia"/>
        </w:rPr>
      </w:pPr>
      <w:r>
        <w:rPr>
          <w:rFonts w:hint="eastAsia"/>
        </w:rPr>
        <w:t>17.6 最终结清</w:t>
      </w:r>
    </w:p>
    <w:p w14:paraId="2AA24E91">
      <w:pPr>
        <w:spacing w:line="360" w:lineRule="auto"/>
        <w:ind w:firstLine="420" w:firstLineChars="200"/>
        <w:rPr>
          <w:rFonts w:hint="eastAsia" w:ascii="宋体" w:hAnsi="宋体"/>
          <w:szCs w:val="21"/>
        </w:rPr>
      </w:pPr>
      <w:r>
        <w:rPr>
          <w:rFonts w:hint="eastAsia" w:ascii="宋体" w:hAnsi="宋体"/>
          <w:szCs w:val="21"/>
        </w:rPr>
        <w:t>17.6.1 最终结清申请单</w:t>
      </w:r>
    </w:p>
    <w:p w14:paraId="229C4C67">
      <w:pPr>
        <w:spacing w:line="360" w:lineRule="auto"/>
        <w:ind w:firstLine="420" w:firstLineChars="200"/>
        <w:rPr>
          <w:rFonts w:hint="eastAsia" w:ascii="宋体" w:hAnsi="宋体"/>
          <w:szCs w:val="21"/>
        </w:rPr>
      </w:pPr>
      <w:r>
        <w:rPr>
          <w:rFonts w:hint="eastAsia" w:ascii="宋体" w:hAnsi="宋体"/>
          <w:szCs w:val="21"/>
        </w:rPr>
        <w:t>（1）缺陷责任期终止证书签发后，承包人可按专用合同条款约定的份数和期限向监理人提交最终结清申请单，并提供相关证明材料。</w:t>
      </w:r>
    </w:p>
    <w:p w14:paraId="7B880F07">
      <w:pPr>
        <w:spacing w:line="360" w:lineRule="auto"/>
        <w:ind w:firstLine="420" w:firstLineChars="200"/>
        <w:rPr>
          <w:rFonts w:hint="eastAsia" w:ascii="宋体" w:hAnsi="宋体"/>
          <w:szCs w:val="21"/>
        </w:rPr>
      </w:pPr>
      <w:r>
        <w:rPr>
          <w:rFonts w:hint="eastAsia" w:ascii="宋体" w:hAnsi="宋体"/>
          <w:szCs w:val="21"/>
        </w:rPr>
        <w:t>（2）发包人对最终结清申请单内容有异议的，有权要求承包人进行修正和提供补充资料，由承包人向监理人提交修正后的最终结清申请单。</w:t>
      </w:r>
    </w:p>
    <w:p w14:paraId="6A2886DD">
      <w:pPr>
        <w:spacing w:line="360" w:lineRule="auto"/>
        <w:ind w:firstLine="420" w:firstLineChars="200"/>
        <w:rPr>
          <w:rFonts w:hint="eastAsia" w:ascii="宋体" w:hAnsi="宋体"/>
          <w:szCs w:val="21"/>
        </w:rPr>
      </w:pPr>
      <w:r>
        <w:rPr>
          <w:rFonts w:hint="eastAsia" w:ascii="宋体" w:hAnsi="宋体"/>
          <w:szCs w:val="21"/>
        </w:rPr>
        <w:t>17.6.2 最终结清证书和支付时间</w:t>
      </w:r>
    </w:p>
    <w:p w14:paraId="1CDB9A89">
      <w:pPr>
        <w:spacing w:line="360" w:lineRule="auto"/>
        <w:ind w:firstLine="420" w:firstLineChars="200"/>
        <w:rPr>
          <w:rFonts w:hint="eastAsia" w:ascii="宋体" w:hAnsi="宋体"/>
          <w:szCs w:val="21"/>
        </w:rPr>
      </w:pPr>
      <w:r>
        <w:rPr>
          <w:rFonts w:hint="eastAsia" w:ascii="宋体" w:hAnsi="宋体"/>
          <w:szCs w:val="21"/>
        </w:rPr>
        <w:t>（1）监理人收到承包人提交的最终结清申请单后的14天内，提出发包人应支付给承包人的价款送发包人审核并抄送承包人。发包人应在收到后14天内审核完毕，由监理人向承包人出具经发包人签认的最终结清证书。监理人未在约定时间内核查，又未提出具体意见的，视为承包人提交的最终结清申请</w:t>
      </w:r>
      <w:r>
        <w:rPr>
          <w:rFonts w:hint="eastAsia" w:ascii="宋体" w:hAnsi="宋体"/>
          <w:szCs w:val="21"/>
          <w:lang w:eastAsia="zh-CN"/>
        </w:rPr>
        <w:t>已经</w:t>
      </w:r>
      <w:r>
        <w:rPr>
          <w:rFonts w:hint="eastAsia" w:ascii="宋体" w:hAnsi="宋体"/>
          <w:szCs w:val="21"/>
        </w:rPr>
        <w:t>监理人核查同意；发包人未在约定时间内审核又未提出具体意见的，监理人提出应支付给承包人的价款视为已经发包人同意。</w:t>
      </w:r>
    </w:p>
    <w:p w14:paraId="22B802EC">
      <w:pPr>
        <w:spacing w:line="360" w:lineRule="auto"/>
        <w:ind w:firstLine="420" w:firstLineChars="200"/>
        <w:rPr>
          <w:rFonts w:ascii="宋体" w:hAnsi="宋体"/>
          <w:szCs w:val="21"/>
        </w:rPr>
      </w:pPr>
      <w:r>
        <w:rPr>
          <w:rFonts w:hint="eastAsia" w:ascii="宋体" w:hAnsi="宋体"/>
          <w:szCs w:val="21"/>
        </w:rPr>
        <w:t>（2）发包人应在监理人出具最终结清证书后的14 天内，将应支付款支付给承包人。</w:t>
      </w:r>
    </w:p>
    <w:p w14:paraId="15F383F4">
      <w:pPr>
        <w:spacing w:line="360" w:lineRule="auto"/>
        <w:ind w:firstLine="420" w:firstLineChars="200"/>
        <w:rPr>
          <w:rFonts w:hint="eastAsia" w:ascii="宋体" w:hAnsi="宋体"/>
          <w:szCs w:val="21"/>
        </w:rPr>
      </w:pPr>
      <w:r>
        <w:rPr>
          <w:rFonts w:hint="eastAsia" w:ascii="宋体" w:hAnsi="宋体"/>
          <w:szCs w:val="21"/>
        </w:rPr>
        <w:t>发包人不按期支付的，按第17.3.3（2）目的约定，将逾期付款违约金支付给承包人。</w:t>
      </w:r>
    </w:p>
    <w:p w14:paraId="4C99BD06">
      <w:pPr>
        <w:spacing w:line="360" w:lineRule="auto"/>
        <w:ind w:firstLine="420" w:firstLineChars="200"/>
        <w:rPr>
          <w:rFonts w:hint="eastAsia" w:ascii="宋体" w:hAnsi="宋体"/>
          <w:szCs w:val="21"/>
        </w:rPr>
      </w:pPr>
      <w:r>
        <w:rPr>
          <w:rFonts w:hint="eastAsia" w:ascii="宋体" w:hAnsi="宋体"/>
          <w:szCs w:val="21"/>
        </w:rPr>
        <w:t>（3）承包人对发包人签认的最终结清证书有异议的，按第24条的约定办理。</w:t>
      </w:r>
    </w:p>
    <w:p w14:paraId="03F45848">
      <w:pPr>
        <w:spacing w:line="360" w:lineRule="auto"/>
        <w:ind w:firstLine="420" w:firstLineChars="200"/>
        <w:rPr>
          <w:rFonts w:hint="eastAsia" w:ascii="宋体" w:hAnsi="宋体"/>
          <w:szCs w:val="21"/>
        </w:rPr>
      </w:pPr>
      <w:r>
        <w:rPr>
          <w:rFonts w:hint="eastAsia" w:ascii="宋体" w:hAnsi="宋体"/>
          <w:szCs w:val="21"/>
        </w:rPr>
        <w:t>（4）最终结清付款涉及政府投资资金的，按第17.3.3（4）目的约定办理。</w:t>
      </w:r>
    </w:p>
    <w:p w14:paraId="31CE4C9E">
      <w:pPr>
        <w:pStyle w:val="5"/>
        <w:spacing w:before="0" w:after="0" w:line="360" w:lineRule="auto"/>
        <w:rPr>
          <w:rFonts w:hint="eastAsia" w:ascii="宋体" w:hAnsi="宋体"/>
        </w:rPr>
      </w:pPr>
      <w:bookmarkStart w:id="538" w:name="_Toc28386"/>
      <w:bookmarkStart w:id="539" w:name="_Toc32001"/>
      <w:bookmarkStart w:id="540" w:name="_Toc184635115"/>
      <w:bookmarkStart w:id="541" w:name="_Toc2223"/>
      <w:bookmarkStart w:id="542" w:name="_Toc57795957"/>
      <w:r>
        <w:rPr>
          <w:rFonts w:hint="eastAsia" w:ascii="宋体" w:hAnsi="宋体"/>
        </w:rPr>
        <w:t>18、竣工验收</w:t>
      </w:r>
      <w:bookmarkEnd w:id="538"/>
      <w:bookmarkEnd w:id="539"/>
      <w:bookmarkEnd w:id="540"/>
      <w:bookmarkEnd w:id="541"/>
      <w:bookmarkEnd w:id="542"/>
    </w:p>
    <w:p w14:paraId="35383FCE">
      <w:pPr>
        <w:pStyle w:val="6"/>
        <w:spacing w:before="0" w:beforeAutospacing="0" w:after="0" w:afterAutospacing="0" w:line="360" w:lineRule="auto"/>
        <w:rPr>
          <w:rFonts w:hint="eastAsia"/>
        </w:rPr>
      </w:pPr>
      <w:r>
        <w:rPr>
          <w:rFonts w:hint="eastAsia"/>
        </w:rPr>
        <w:t>18.1 竣工验收的含义</w:t>
      </w:r>
    </w:p>
    <w:p w14:paraId="6EF14A8F">
      <w:pPr>
        <w:spacing w:line="360" w:lineRule="auto"/>
        <w:ind w:firstLine="420" w:firstLineChars="200"/>
        <w:rPr>
          <w:rFonts w:hint="eastAsia" w:ascii="宋体" w:hAnsi="宋体"/>
          <w:szCs w:val="21"/>
        </w:rPr>
      </w:pPr>
      <w:r>
        <w:rPr>
          <w:rFonts w:hint="eastAsia" w:ascii="宋体" w:hAnsi="宋体"/>
          <w:szCs w:val="21"/>
        </w:rPr>
        <w:t>18.1.1 竣工验收指承包人完成了全部合同工作后，发包人按合同要求进行的验收。</w:t>
      </w:r>
    </w:p>
    <w:p w14:paraId="7916F74B">
      <w:pPr>
        <w:spacing w:line="360" w:lineRule="auto"/>
        <w:ind w:firstLine="420" w:firstLineChars="200"/>
        <w:rPr>
          <w:rFonts w:hint="eastAsia" w:ascii="宋体" w:hAnsi="宋体"/>
          <w:szCs w:val="21"/>
        </w:rPr>
      </w:pPr>
      <w:r>
        <w:rPr>
          <w:rFonts w:hint="eastAsia" w:ascii="宋体" w:hAnsi="宋体"/>
          <w:szCs w:val="21"/>
        </w:rPr>
        <w:t>18.1.2 国家验收是政府有关部门根据法律、规范、规程和政策要求，针对发包人全面组织实施的整个工程正式交付投运前的验收。</w:t>
      </w:r>
    </w:p>
    <w:p w14:paraId="30FA5D13">
      <w:pPr>
        <w:spacing w:line="360" w:lineRule="auto"/>
        <w:ind w:firstLine="420" w:firstLineChars="200"/>
        <w:rPr>
          <w:rFonts w:hint="eastAsia" w:ascii="宋体" w:hAnsi="宋体"/>
          <w:szCs w:val="21"/>
        </w:rPr>
      </w:pPr>
      <w:r>
        <w:rPr>
          <w:rFonts w:hint="eastAsia" w:ascii="宋体" w:hAnsi="宋体"/>
          <w:szCs w:val="21"/>
        </w:rPr>
        <w:t>18.1.3 需要进行国家验收的，竣工验收是国家验收的一部分。竣工验收所采用的各项验收和评定标准应符合国家验收标准。发包人和承包人为竣工验收提供的各项竣工验收资料应符合国家验收的要求。</w:t>
      </w:r>
    </w:p>
    <w:p w14:paraId="13F572D4">
      <w:pPr>
        <w:pStyle w:val="6"/>
        <w:spacing w:before="0" w:beforeAutospacing="0" w:after="0" w:afterAutospacing="0" w:line="360" w:lineRule="auto"/>
        <w:rPr>
          <w:rFonts w:hint="eastAsia"/>
        </w:rPr>
      </w:pPr>
      <w:r>
        <w:rPr>
          <w:rFonts w:hint="eastAsia"/>
        </w:rPr>
        <w:t>18.2 竣工验收申请报告</w:t>
      </w:r>
    </w:p>
    <w:p w14:paraId="783BE0D5">
      <w:pPr>
        <w:spacing w:line="360" w:lineRule="auto"/>
        <w:ind w:firstLine="420" w:firstLineChars="200"/>
        <w:rPr>
          <w:rFonts w:hint="eastAsia" w:ascii="宋体" w:hAnsi="宋体"/>
          <w:szCs w:val="21"/>
        </w:rPr>
      </w:pPr>
      <w:r>
        <w:rPr>
          <w:rFonts w:hint="eastAsia" w:ascii="宋体" w:hAnsi="宋体"/>
          <w:szCs w:val="21"/>
        </w:rPr>
        <w:t>当工程具备以下条件时，承包人即可向监理人报送竣工验收中请报告：</w:t>
      </w:r>
    </w:p>
    <w:p w14:paraId="726E1258">
      <w:pPr>
        <w:spacing w:line="360" w:lineRule="auto"/>
        <w:ind w:firstLine="420" w:firstLineChars="200"/>
        <w:rPr>
          <w:rFonts w:hint="eastAsia" w:ascii="宋体" w:hAnsi="宋体"/>
          <w:szCs w:val="21"/>
        </w:rPr>
      </w:pPr>
      <w:r>
        <w:rPr>
          <w:rFonts w:hint="eastAsia" w:ascii="宋体" w:hAnsi="宋体"/>
          <w:szCs w:val="21"/>
        </w:rPr>
        <w:t>（1）除监理人同意列入缺陷责任期内完成的尾工（甩项）工程和缺陷修补工作外，合同范围内的全部单位工程以及有关工作，包括合同要求的试验、试运行以及检验和验收均</w:t>
      </w:r>
      <w:r>
        <w:rPr>
          <w:rFonts w:hint="eastAsia" w:ascii="宋体" w:hAnsi="宋体"/>
          <w:szCs w:val="21"/>
          <w:lang w:eastAsia="zh-CN"/>
        </w:rPr>
        <w:t>已完成</w:t>
      </w:r>
      <w:r>
        <w:rPr>
          <w:rFonts w:hint="eastAsia" w:ascii="宋体" w:hAnsi="宋体"/>
          <w:szCs w:val="21"/>
        </w:rPr>
        <w:t>，并符合合同要求；</w:t>
      </w:r>
    </w:p>
    <w:p w14:paraId="4106EC89">
      <w:pPr>
        <w:spacing w:line="360" w:lineRule="auto"/>
        <w:ind w:firstLine="420" w:firstLineChars="200"/>
        <w:rPr>
          <w:rFonts w:hint="eastAsia" w:ascii="宋体" w:hAnsi="宋体"/>
          <w:szCs w:val="21"/>
        </w:rPr>
      </w:pPr>
      <w:r>
        <w:rPr>
          <w:rFonts w:hint="eastAsia" w:ascii="宋体" w:hAnsi="宋体"/>
          <w:szCs w:val="21"/>
        </w:rPr>
        <w:t>（2）己按合同约定的内容和份数备齐了符合要求的竣工资料；</w:t>
      </w:r>
    </w:p>
    <w:p w14:paraId="362EBE55">
      <w:pPr>
        <w:spacing w:line="360" w:lineRule="auto"/>
        <w:ind w:firstLine="420" w:firstLineChars="200"/>
        <w:rPr>
          <w:rFonts w:hint="eastAsia" w:ascii="宋体" w:hAnsi="宋体"/>
          <w:szCs w:val="21"/>
        </w:rPr>
      </w:pPr>
      <w:r>
        <w:rPr>
          <w:rFonts w:hint="eastAsia" w:ascii="宋体" w:hAnsi="宋体"/>
          <w:szCs w:val="21"/>
        </w:rPr>
        <w:t>（3）己按监理人的要求编制了在缺陷责任期内完成的尾工（甩项）工程和缺陷修补工作清单以及相应施工计划；</w:t>
      </w:r>
    </w:p>
    <w:p w14:paraId="17DEC9ED">
      <w:pPr>
        <w:spacing w:line="360" w:lineRule="auto"/>
        <w:ind w:firstLine="420" w:firstLineChars="200"/>
        <w:rPr>
          <w:rFonts w:hint="eastAsia" w:ascii="宋体" w:hAnsi="宋体"/>
          <w:szCs w:val="21"/>
        </w:rPr>
      </w:pPr>
      <w:r>
        <w:rPr>
          <w:rFonts w:hint="eastAsia" w:ascii="宋体" w:hAnsi="宋体"/>
          <w:szCs w:val="21"/>
        </w:rPr>
        <w:t>（4）监理人要求在竣工验收前应完成的其他工作：</w:t>
      </w:r>
    </w:p>
    <w:p w14:paraId="272EDDFE">
      <w:pPr>
        <w:spacing w:line="360" w:lineRule="auto"/>
        <w:ind w:firstLine="420" w:firstLineChars="200"/>
        <w:rPr>
          <w:rFonts w:hint="eastAsia" w:ascii="宋体" w:hAnsi="宋体"/>
          <w:szCs w:val="21"/>
        </w:rPr>
      </w:pPr>
      <w:r>
        <w:rPr>
          <w:rFonts w:hint="eastAsia" w:ascii="宋体" w:hAnsi="宋体"/>
          <w:szCs w:val="21"/>
        </w:rPr>
        <w:t>（5）监理人要求提交的竣工验收资料清单。</w:t>
      </w:r>
    </w:p>
    <w:p w14:paraId="4CE275BE">
      <w:pPr>
        <w:pStyle w:val="6"/>
        <w:spacing w:before="0" w:beforeAutospacing="0" w:after="0" w:afterAutospacing="0" w:line="360" w:lineRule="auto"/>
        <w:rPr>
          <w:rFonts w:hint="eastAsia"/>
        </w:rPr>
      </w:pPr>
      <w:r>
        <w:rPr>
          <w:rFonts w:hint="eastAsia"/>
        </w:rPr>
        <w:t>18.3 验收</w:t>
      </w:r>
    </w:p>
    <w:p w14:paraId="4181EDAA">
      <w:pPr>
        <w:spacing w:line="360" w:lineRule="auto"/>
        <w:ind w:firstLine="420" w:firstLineChars="200"/>
        <w:rPr>
          <w:rFonts w:hint="eastAsia" w:ascii="宋体" w:hAnsi="宋体"/>
          <w:szCs w:val="21"/>
        </w:rPr>
      </w:pPr>
      <w:r>
        <w:rPr>
          <w:rFonts w:hint="eastAsia" w:ascii="宋体" w:hAnsi="宋体"/>
          <w:szCs w:val="21"/>
        </w:rPr>
        <w:t>监理人收到承包人按第18.2 款约定提交的竣工验收申请报告后，应审查中请报告的各项内容，并按以下不同情况进行处理。</w:t>
      </w:r>
    </w:p>
    <w:p w14:paraId="2F5ED221">
      <w:pPr>
        <w:spacing w:line="360" w:lineRule="auto"/>
        <w:ind w:firstLine="420" w:firstLineChars="200"/>
        <w:rPr>
          <w:rFonts w:hint="eastAsia" w:ascii="宋体" w:hAnsi="宋体"/>
          <w:szCs w:val="21"/>
        </w:rPr>
      </w:pPr>
      <w:r>
        <w:rPr>
          <w:rFonts w:hint="eastAsia" w:ascii="宋体" w:hAnsi="宋体"/>
          <w:szCs w:val="21"/>
        </w:rPr>
        <w:t>18.3.1 监理人审查后认为尚不具备竣工验收条件的，应在收到竣工验收中请报告后的28天内通知承包人，指出在颁发接收证书前承包人还需进行的工作内容。承包人完成监理人通知的全部工作内容后，应再次提交竣工验收申请报告，直至监理人同意为止。</w:t>
      </w:r>
    </w:p>
    <w:p w14:paraId="52822E6D">
      <w:pPr>
        <w:spacing w:line="360" w:lineRule="auto"/>
        <w:ind w:firstLine="420" w:firstLineChars="200"/>
        <w:rPr>
          <w:rFonts w:hint="eastAsia" w:ascii="宋体" w:hAnsi="宋体"/>
          <w:szCs w:val="21"/>
        </w:rPr>
      </w:pPr>
      <w:r>
        <w:rPr>
          <w:rFonts w:hint="eastAsia" w:ascii="宋体" w:hAnsi="宋体"/>
          <w:szCs w:val="21"/>
        </w:rPr>
        <w:t>18.3.2 监理人审查后认为</w:t>
      </w:r>
      <w:r>
        <w:rPr>
          <w:rFonts w:hint="eastAsia" w:ascii="宋体" w:hAnsi="宋体"/>
          <w:szCs w:val="21"/>
          <w:lang w:eastAsia="zh-CN"/>
        </w:rPr>
        <w:t>已具备</w:t>
      </w:r>
      <w:r>
        <w:rPr>
          <w:rFonts w:hint="eastAsia" w:ascii="宋体" w:hAnsi="宋体"/>
          <w:szCs w:val="21"/>
        </w:rPr>
        <w:t>竣工验收条件的，应在收到竣工验收申请报告后的28天内提请发包人进行工程验收。</w:t>
      </w:r>
    </w:p>
    <w:p w14:paraId="70428D9B">
      <w:pPr>
        <w:spacing w:line="360" w:lineRule="auto"/>
        <w:ind w:firstLine="420" w:firstLineChars="200"/>
        <w:rPr>
          <w:rFonts w:hint="eastAsia" w:ascii="宋体" w:hAnsi="宋体"/>
          <w:szCs w:val="21"/>
        </w:rPr>
      </w:pPr>
      <w:r>
        <w:rPr>
          <w:rFonts w:hint="eastAsia" w:ascii="宋体" w:hAnsi="宋体"/>
          <w:szCs w:val="21"/>
        </w:rPr>
        <w:t>18.3.3 发包人经过验收后同意接受工程的，应在监理人收到竣工验收申请报告后的56天内，由监理人向承包人出具经发包人签认的工程接收证书。发包人验收后同意接收工程但提出整修和完善要求的，限期修好，并缓发工程接收证书。整修和完善工作完成后，监理人复查达到要求的，经发包人同意后，再向承包人出具工程接收证书。</w:t>
      </w:r>
    </w:p>
    <w:p w14:paraId="1CFFBF7B">
      <w:pPr>
        <w:spacing w:line="360" w:lineRule="auto"/>
        <w:ind w:firstLine="420" w:firstLineChars="200"/>
        <w:rPr>
          <w:rFonts w:hint="eastAsia" w:ascii="宋体" w:hAnsi="宋体"/>
          <w:szCs w:val="21"/>
        </w:rPr>
      </w:pPr>
      <w:r>
        <w:rPr>
          <w:rFonts w:hint="eastAsia" w:ascii="宋体" w:hAnsi="宋体"/>
          <w:szCs w:val="21"/>
        </w:rPr>
        <w:t>18.3.4 发包人验收后不同意接收工程的，监理人应按照发包人的验收意见发出指示，要求承包人对不合格工程认真返工重作或进行补救处理，并承担由此产生的费用。承包人在完成不合格工程的返工重作或补救工作后，应重新提交竣工验收中请报告，按第18.3.1 项、第18.3.2 项和第18.3.3 项的约定进行。</w:t>
      </w:r>
    </w:p>
    <w:p w14:paraId="5A76D681">
      <w:pPr>
        <w:spacing w:line="360" w:lineRule="auto"/>
        <w:ind w:firstLine="420" w:firstLineChars="200"/>
        <w:rPr>
          <w:rFonts w:hint="eastAsia" w:ascii="宋体" w:hAnsi="宋体"/>
          <w:szCs w:val="21"/>
        </w:rPr>
      </w:pPr>
      <w:r>
        <w:rPr>
          <w:rFonts w:hint="eastAsia" w:ascii="宋体" w:hAnsi="宋体"/>
          <w:szCs w:val="21"/>
        </w:rPr>
        <w:t>18.3.5 除专用合同条款另有约定外，经验收合格工程的实际竣工日期，以提交竣工验收申请报告的日期为准，并在工程接收证书中写明。</w:t>
      </w:r>
    </w:p>
    <w:p w14:paraId="17FE7985">
      <w:pPr>
        <w:spacing w:line="360" w:lineRule="auto"/>
        <w:ind w:firstLine="420" w:firstLineChars="200"/>
        <w:rPr>
          <w:rFonts w:hint="eastAsia" w:ascii="宋体" w:hAnsi="宋体"/>
          <w:szCs w:val="21"/>
        </w:rPr>
      </w:pPr>
      <w:r>
        <w:rPr>
          <w:rFonts w:hint="eastAsia" w:ascii="宋体" w:hAnsi="宋体"/>
          <w:szCs w:val="21"/>
        </w:rPr>
        <w:t>18.3.6 发包人在收到承包人竣工验收申请报告56 天后未进行验收的，视为验收合格，实际竣工日期以提交竣工验收申请报告的日期为准，但发包人由于不可抗力不能进行验收的除外。</w:t>
      </w:r>
    </w:p>
    <w:p w14:paraId="6034C08B">
      <w:pPr>
        <w:pStyle w:val="6"/>
        <w:spacing w:before="0" w:beforeAutospacing="0" w:after="0" w:afterAutospacing="0" w:line="360" w:lineRule="auto"/>
        <w:rPr>
          <w:rFonts w:hint="eastAsia"/>
        </w:rPr>
      </w:pPr>
      <w:r>
        <w:rPr>
          <w:rFonts w:hint="eastAsia"/>
        </w:rPr>
        <w:t>18.4 单位工程验收</w:t>
      </w:r>
    </w:p>
    <w:p w14:paraId="0CA4CA8F">
      <w:pPr>
        <w:spacing w:line="360" w:lineRule="auto"/>
        <w:ind w:firstLine="420" w:firstLineChars="200"/>
        <w:rPr>
          <w:rFonts w:hint="eastAsia" w:ascii="宋体" w:hAnsi="宋体"/>
          <w:szCs w:val="21"/>
        </w:rPr>
      </w:pPr>
      <w:r>
        <w:rPr>
          <w:rFonts w:hint="eastAsia" w:ascii="宋体" w:hAnsi="宋体"/>
          <w:szCs w:val="21"/>
        </w:rPr>
        <w:t>18.4.1 发包人根据合同进度计划安排，在全部工程竣工前需要使用</w:t>
      </w:r>
      <w:r>
        <w:rPr>
          <w:rFonts w:hint="eastAsia" w:ascii="宋体" w:hAnsi="宋体"/>
          <w:szCs w:val="21"/>
          <w:lang w:eastAsia="zh-CN"/>
        </w:rPr>
        <w:t>已经</w:t>
      </w:r>
      <w:r>
        <w:rPr>
          <w:rFonts w:hint="eastAsia" w:ascii="宋体" w:hAnsi="宋体"/>
          <w:szCs w:val="21"/>
        </w:rPr>
        <w:t>竣工的单位工程时，或承包人提出经发包人同意时，可进行单位工程验收。验收的程序可参照第18.2 款与第18.3 款的约定进行。验收合格后，由监理人向承包人出具经发包人签认的单位工程验收证书。己签发单位工程接收证书的单位工程由发包人负责照管。单位工程的验收成果和结论作为全部工程竣上验收申请报告的附件。</w:t>
      </w:r>
    </w:p>
    <w:p w14:paraId="029F51BC">
      <w:pPr>
        <w:spacing w:line="360" w:lineRule="auto"/>
        <w:ind w:firstLine="420" w:firstLineChars="200"/>
        <w:rPr>
          <w:rFonts w:hint="eastAsia" w:ascii="宋体" w:hAnsi="宋体"/>
          <w:szCs w:val="21"/>
        </w:rPr>
      </w:pPr>
      <w:r>
        <w:rPr>
          <w:rFonts w:hint="eastAsia" w:ascii="宋体" w:hAnsi="宋体"/>
          <w:szCs w:val="21"/>
        </w:rPr>
        <w:t>18.4.2 发包人在全部工程竣工前，使用已接收的单位工程导致承包人费用增加的，发包人应承担由此增加的费用和（或）工期延误，并支付承包人合理利润。</w:t>
      </w:r>
    </w:p>
    <w:p w14:paraId="0841D62E">
      <w:pPr>
        <w:pStyle w:val="6"/>
        <w:spacing w:before="0" w:beforeAutospacing="0" w:after="0" w:afterAutospacing="0" w:line="360" w:lineRule="auto"/>
        <w:rPr>
          <w:rFonts w:hint="eastAsia"/>
        </w:rPr>
      </w:pPr>
      <w:r>
        <w:rPr>
          <w:rFonts w:hint="eastAsia"/>
        </w:rPr>
        <w:t>18.5 施工期运行</w:t>
      </w:r>
    </w:p>
    <w:p w14:paraId="7845E91E">
      <w:pPr>
        <w:spacing w:line="360" w:lineRule="auto"/>
        <w:ind w:firstLine="420" w:firstLineChars="200"/>
        <w:rPr>
          <w:rFonts w:hint="eastAsia" w:ascii="宋体" w:hAnsi="宋体"/>
          <w:szCs w:val="21"/>
        </w:rPr>
      </w:pPr>
      <w:r>
        <w:rPr>
          <w:rFonts w:hint="eastAsia" w:ascii="宋体" w:hAnsi="宋体"/>
          <w:szCs w:val="21"/>
        </w:rPr>
        <w:t>18.5.1 施工期运行是指合同工程尚未全部竣工，其中某项或某几项单位工程或工程设备安装己竣工，根据专用合同条款约定，需要投入施工期运行的，经发包人按第18.4 款的约定验收合格，证明能确保安全后，才能在施工期投入运行。</w:t>
      </w:r>
    </w:p>
    <w:p w14:paraId="409BC9DD">
      <w:pPr>
        <w:spacing w:line="360" w:lineRule="auto"/>
        <w:ind w:firstLine="420" w:firstLineChars="200"/>
        <w:rPr>
          <w:rFonts w:hint="eastAsia" w:ascii="宋体" w:hAnsi="宋体"/>
          <w:szCs w:val="21"/>
        </w:rPr>
      </w:pPr>
      <w:r>
        <w:rPr>
          <w:rFonts w:hint="eastAsia" w:ascii="宋体" w:hAnsi="宋体"/>
          <w:szCs w:val="21"/>
        </w:rPr>
        <w:t>18.5.2 在施工期运行中发现工程或工程设备损坏或存在缺陷的，由承包人按第19.2 款约定进行修复。</w:t>
      </w:r>
    </w:p>
    <w:p w14:paraId="776B07C8">
      <w:pPr>
        <w:pStyle w:val="6"/>
        <w:spacing w:before="0" w:beforeAutospacing="0" w:after="0" w:afterAutospacing="0" w:line="360" w:lineRule="auto"/>
        <w:rPr>
          <w:rFonts w:hint="eastAsia"/>
        </w:rPr>
      </w:pPr>
      <w:r>
        <w:rPr>
          <w:rFonts w:hint="eastAsia"/>
        </w:rPr>
        <w:t>18.6 试运行</w:t>
      </w:r>
    </w:p>
    <w:p w14:paraId="5ED87E07">
      <w:pPr>
        <w:spacing w:line="360" w:lineRule="auto"/>
        <w:ind w:firstLine="420" w:firstLineChars="200"/>
        <w:rPr>
          <w:rFonts w:hint="eastAsia" w:ascii="宋体" w:hAnsi="宋体"/>
          <w:szCs w:val="21"/>
        </w:rPr>
      </w:pPr>
      <w:r>
        <w:rPr>
          <w:rFonts w:hint="eastAsia" w:ascii="宋体" w:hAnsi="宋体"/>
          <w:szCs w:val="21"/>
        </w:rPr>
        <w:t>18.6.1 除专用合同条款另有约定外，承包人应按专用合同条款约定进行工程及工程设备试运行，负责提供试运行所需的人员、器材和必要的条件，并承担全部试运行费用。</w:t>
      </w:r>
    </w:p>
    <w:p w14:paraId="4B564ED9">
      <w:pPr>
        <w:spacing w:line="360" w:lineRule="auto"/>
        <w:ind w:firstLine="420" w:firstLineChars="200"/>
        <w:rPr>
          <w:rFonts w:hint="eastAsia" w:ascii="宋体" w:hAnsi="宋体"/>
          <w:szCs w:val="21"/>
        </w:rPr>
      </w:pPr>
      <w:r>
        <w:rPr>
          <w:rFonts w:hint="eastAsia" w:ascii="宋体" w:hAnsi="宋体"/>
          <w:szCs w:val="21"/>
        </w:rPr>
        <w:t>18.6.2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14:paraId="2A57DE9A">
      <w:pPr>
        <w:pStyle w:val="6"/>
        <w:spacing w:before="0" w:beforeAutospacing="0" w:after="0" w:afterAutospacing="0" w:line="360" w:lineRule="auto"/>
        <w:rPr>
          <w:rFonts w:hint="eastAsia"/>
        </w:rPr>
      </w:pPr>
      <w:r>
        <w:rPr>
          <w:rFonts w:hint="eastAsia"/>
        </w:rPr>
        <w:t>18.7 竣工清场</w:t>
      </w:r>
    </w:p>
    <w:p w14:paraId="654BFE49">
      <w:pPr>
        <w:spacing w:line="360" w:lineRule="auto"/>
        <w:ind w:firstLine="420" w:firstLineChars="200"/>
        <w:rPr>
          <w:rFonts w:hint="eastAsia" w:ascii="宋体" w:hAnsi="宋体"/>
          <w:szCs w:val="21"/>
        </w:rPr>
      </w:pPr>
      <w:r>
        <w:rPr>
          <w:rFonts w:hint="eastAsia" w:ascii="宋体" w:hAnsi="宋体"/>
          <w:szCs w:val="21"/>
        </w:rPr>
        <w:t>18.7.1 除合同另有约定外，工程接收证书颁发后，承包人应按以下要求对施工场地进行清理，直至监理人检验合格为止。竣工清场费用由承包人承担。</w:t>
      </w:r>
    </w:p>
    <w:p w14:paraId="4EBB7B72">
      <w:pPr>
        <w:spacing w:line="360" w:lineRule="auto"/>
        <w:ind w:firstLine="420" w:firstLineChars="200"/>
        <w:rPr>
          <w:rFonts w:hint="eastAsia" w:ascii="宋体" w:hAnsi="宋体"/>
          <w:szCs w:val="21"/>
        </w:rPr>
      </w:pPr>
      <w:r>
        <w:rPr>
          <w:rFonts w:hint="eastAsia" w:ascii="宋体" w:hAnsi="宋体"/>
          <w:szCs w:val="21"/>
        </w:rPr>
        <w:t>（1）施工场地内残留的垃圾已全部清除出场；</w:t>
      </w:r>
    </w:p>
    <w:p w14:paraId="260E2BEA">
      <w:pPr>
        <w:spacing w:line="360" w:lineRule="auto"/>
        <w:ind w:firstLine="420" w:firstLineChars="200"/>
        <w:rPr>
          <w:rFonts w:hint="eastAsia" w:ascii="宋体" w:hAnsi="宋体"/>
          <w:szCs w:val="21"/>
        </w:rPr>
      </w:pPr>
      <w:r>
        <w:rPr>
          <w:rFonts w:hint="eastAsia" w:ascii="宋体" w:hAnsi="宋体"/>
          <w:szCs w:val="21"/>
        </w:rPr>
        <w:t>（2）临时工程已拆除，场地己按合同要求进行清理、平整或复原；</w:t>
      </w:r>
    </w:p>
    <w:p w14:paraId="0254CA25">
      <w:pPr>
        <w:spacing w:line="360" w:lineRule="auto"/>
        <w:ind w:firstLine="420" w:firstLineChars="200"/>
        <w:rPr>
          <w:rFonts w:hint="eastAsia" w:ascii="宋体" w:hAnsi="宋体"/>
          <w:szCs w:val="21"/>
        </w:rPr>
      </w:pPr>
      <w:r>
        <w:rPr>
          <w:rFonts w:hint="eastAsia" w:ascii="宋体" w:hAnsi="宋体"/>
          <w:szCs w:val="21"/>
        </w:rPr>
        <w:t>（3）按合同约定应撤离的承包人设备和剩余的材料，包括废弃的施工设备和材料，已按计划撤离施工场地；</w:t>
      </w:r>
    </w:p>
    <w:p w14:paraId="43B82CC3">
      <w:pPr>
        <w:spacing w:line="360" w:lineRule="auto"/>
        <w:ind w:firstLine="420" w:firstLineChars="200"/>
        <w:rPr>
          <w:rFonts w:hint="eastAsia" w:ascii="宋体" w:hAnsi="宋体"/>
          <w:szCs w:val="21"/>
        </w:rPr>
      </w:pPr>
      <w:r>
        <w:rPr>
          <w:rFonts w:hint="eastAsia" w:ascii="宋体" w:hAnsi="宋体"/>
          <w:szCs w:val="21"/>
        </w:rPr>
        <w:t>（4）工程建筑物周边及其附近道路、河道的施工堆积物，已按监理人指示全部清理；</w:t>
      </w:r>
    </w:p>
    <w:p w14:paraId="60407C6E">
      <w:pPr>
        <w:spacing w:line="360" w:lineRule="auto"/>
        <w:ind w:firstLine="420" w:firstLineChars="200"/>
        <w:rPr>
          <w:rFonts w:hint="eastAsia" w:ascii="宋体" w:hAnsi="宋体"/>
          <w:szCs w:val="21"/>
        </w:rPr>
      </w:pPr>
      <w:r>
        <w:rPr>
          <w:rFonts w:hint="eastAsia" w:ascii="宋体" w:hAnsi="宋体"/>
          <w:szCs w:val="21"/>
        </w:rPr>
        <w:t>（5）监理人指示的其他场地清理工作已全部完成。</w:t>
      </w:r>
    </w:p>
    <w:p w14:paraId="480C7482">
      <w:pPr>
        <w:spacing w:line="360" w:lineRule="auto"/>
        <w:ind w:firstLine="420" w:firstLineChars="200"/>
        <w:rPr>
          <w:rFonts w:hint="eastAsia" w:ascii="宋体" w:hAnsi="宋体"/>
          <w:szCs w:val="21"/>
        </w:rPr>
      </w:pPr>
      <w:r>
        <w:rPr>
          <w:rFonts w:hint="eastAsia" w:ascii="宋体" w:hAnsi="宋体"/>
          <w:szCs w:val="21"/>
        </w:rPr>
        <w:t>18.7.2 承包人未按监理人的要求恢复临时占地，或者场地清理未达到合同约定的，发包人有权委托其他人恢复或清理，所发生的金额从拟支付给承包人的款项中扣除。</w:t>
      </w:r>
    </w:p>
    <w:p w14:paraId="4F247546">
      <w:pPr>
        <w:pStyle w:val="6"/>
        <w:spacing w:before="0" w:beforeAutospacing="0" w:after="0" w:afterAutospacing="0" w:line="360" w:lineRule="auto"/>
        <w:rPr>
          <w:rFonts w:hint="eastAsia"/>
        </w:rPr>
      </w:pPr>
      <w:r>
        <w:rPr>
          <w:rFonts w:hint="eastAsia"/>
        </w:rPr>
        <w:t>18.8 施工队伍的撤离</w:t>
      </w:r>
    </w:p>
    <w:p w14:paraId="4F67607E">
      <w:pPr>
        <w:spacing w:line="360" w:lineRule="auto"/>
        <w:ind w:firstLine="420" w:firstLineChars="200"/>
        <w:rPr>
          <w:rFonts w:hint="eastAsia" w:ascii="宋体" w:hAnsi="宋体"/>
          <w:szCs w:val="21"/>
        </w:rPr>
      </w:pPr>
      <w:r>
        <w:rPr>
          <w:rFonts w:hint="eastAsia" w:ascii="宋体" w:hAnsi="宋体"/>
          <w:szCs w:val="21"/>
        </w:rPr>
        <w:t>工程接收证书颁发后的56天内，除了经监理人同意需在缺陷责任期内继续工作和使用的人员、施工设备和临时工程外，其余的人员、施工设备和临时工程均应撤离施工场地或拆除。除合同另有约定外，缺陷责任期满时，承包人的人员和施工设备应全部撤离施工场地。</w:t>
      </w:r>
    </w:p>
    <w:p w14:paraId="20BF33E8">
      <w:pPr>
        <w:pStyle w:val="5"/>
        <w:spacing w:before="0" w:after="0" w:line="360" w:lineRule="auto"/>
        <w:rPr>
          <w:rFonts w:hint="eastAsia" w:ascii="宋体" w:hAnsi="宋体"/>
        </w:rPr>
      </w:pPr>
      <w:bookmarkStart w:id="543" w:name="_Toc5174"/>
      <w:bookmarkStart w:id="544" w:name="_Toc31901"/>
      <w:bookmarkStart w:id="545" w:name="_Toc32203"/>
      <w:bookmarkStart w:id="546" w:name="_Toc184635116"/>
      <w:bookmarkStart w:id="547" w:name="_Toc57795958"/>
      <w:r>
        <w:rPr>
          <w:rFonts w:hint="eastAsia" w:ascii="宋体" w:hAnsi="宋体"/>
        </w:rPr>
        <w:t>19、缺陷责任与保修责任</w:t>
      </w:r>
      <w:bookmarkEnd w:id="543"/>
      <w:bookmarkEnd w:id="544"/>
      <w:bookmarkEnd w:id="545"/>
      <w:bookmarkEnd w:id="546"/>
      <w:bookmarkEnd w:id="547"/>
    </w:p>
    <w:p w14:paraId="589D361A">
      <w:pPr>
        <w:pStyle w:val="6"/>
        <w:spacing w:before="0" w:beforeAutospacing="0" w:after="0" w:afterAutospacing="0" w:line="360" w:lineRule="auto"/>
        <w:rPr>
          <w:rFonts w:hint="eastAsia"/>
        </w:rPr>
      </w:pPr>
      <w:r>
        <w:rPr>
          <w:rFonts w:hint="eastAsia"/>
        </w:rPr>
        <w:t>19.1 缺陷责任期的起算时间</w:t>
      </w:r>
    </w:p>
    <w:p w14:paraId="5D7DFAEE">
      <w:pPr>
        <w:spacing w:line="360" w:lineRule="auto"/>
        <w:ind w:firstLine="420" w:firstLineChars="200"/>
        <w:rPr>
          <w:rFonts w:hint="eastAsia" w:ascii="宋体" w:hAnsi="宋体"/>
          <w:szCs w:val="21"/>
        </w:rPr>
      </w:pPr>
      <w:r>
        <w:rPr>
          <w:rFonts w:hint="eastAsia" w:ascii="宋体" w:hAnsi="宋体"/>
          <w:szCs w:val="21"/>
        </w:rPr>
        <w:t>缺陷责任期自实际竣工日期起计算。在全部工程竣工验收前，已经发包人提前验收的单位工程，其缺陷责任期的起算日期相应提前。</w:t>
      </w:r>
    </w:p>
    <w:p w14:paraId="3C21D5EE">
      <w:pPr>
        <w:pStyle w:val="6"/>
        <w:spacing w:before="0" w:beforeAutospacing="0" w:after="0" w:afterAutospacing="0" w:line="360" w:lineRule="auto"/>
        <w:rPr>
          <w:rFonts w:hint="eastAsia"/>
        </w:rPr>
      </w:pPr>
      <w:r>
        <w:rPr>
          <w:rFonts w:hint="eastAsia"/>
        </w:rPr>
        <w:t>19.2 缺陷责任</w:t>
      </w:r>
    </w:p>
    <w:p w14:paraId="75990437">
      <w:pPr>
        <w:spacing w:line="360" w:lineRule="auto"/>
        <w:ind w:firstLine="420" w:firstLineChars="200"/>
        <w:rPr>
          <w:rFonts w:hint="eastAsia" w:ascii="宋体" w:hAnsi="宋体"/>
          <w:szCs w:val="21"/>
        </w:rPr>
      </w:pPr>
      <w:r>
        <w:rPr>
          <w:rFonts w:hint="eastAsia" w:ascii="宋体" w:hAnsi="宋体"/>
          <w:szCs w:val="21"/>
        </w:rPr>
        <w:t>19.2.1 承包人应在缺陷责任期内对己交付使用的工程承担缺陷责任。</w:t>
      </w:r>
    </w:p>
    <w:p w14:paraId="0D84C710">
      <w:pPr>
        <w:spacing w:line="360" w:lineRule="auto"/>
        <w:ind w:firstLine="420" w:firstLineChars="200"/>
        <w:rPr>
          <w:rFonts w:hint="eastAsia" w:ascii="宋体" w:hAnsi="宋体"/>
          <w:szCs w:val="21"/>
        </w:rPr>
      </w:pPr>
      <w:r>
        <w:rPr>
          <w:rFonts w:hint="eastAsia" w:ascii="宋体" w:hAnsi="宋体"/>
          <w:szCs w:val="21"/>
        </w:rPr>
        <w:t>19.2.2 缺陷责任期内，发包人对己接收使用的工程负责日常维护工作。发包人在使用过程中，发</w:t>
      </w:r>
      <w:r>
        <w:rPr>
          <w:rFonts w:hint="eastAsia" w:ascii="宋体" w:hAnsi="宋体"/>
          <w:szCs w:val="21"/>
          <w:lang w:eastAsia="zh-CN"/>
        </w:rPr>
        <w:t>现已</w:t>
      </w:r>
      <w:r>
        <w:rPr>
          <w:rFonts w:hint="eastAsia" w:ascii="宋体" w:hAnsi="宋体"/>
          <w:szCs w:val="21"/>
        </w:rPr>
        <w:t>接收的工程存在新的缺陷或已修复的缺陷部位或部件又遭损坏的，承包人应负责修复，直至检验合格为止。</w:t>
      </w:r>
    </w:p>
    <w:p w14:paraId="52F2FF6C">
      <w:pPr>
        <w:spacing w:line="360" w:lineRule="auto"/>
        <w:ind w:firstLine="420" w:firstLineChars="200"/>
        <w:rPr>
          <w:rFonts w:hint="eastAsia" w:ascii="宋体" w:hAnsi="宋体"/>
          <w:szCs w:val="21"/>
        </w:rPr>
      </w:pPr>
      <w:r>
        <w:rPr>
          <w:rFonts w:hint="eastAsia" w:ascii="宋体" w:hAnsi="宋体"/>
          <w:szCs w:val="21"/>
        </w:rPr>
        <w:t>19.2.3 监理人和承包人应共同查清缺陷和（或）损坏的原因。经查明属承包人原因造成的，应由承包人承担修复和查验的费用。经查验属发包人原因造成的，发包人应承担修复和查验的费用，并支付承包人合理利润。</w:t>
      </w:r>
    </w:p>
    <w:p w14:paraId="79DD1808">
      <w:pPr>
        <w:spacing w:line="360" w:lineRule="auto"/>
        <w:ind w:firstLine="420" w:firstLineChars="200"/>
        <w:rPr>
          <w:rFonts w:hint="eastAsia" w:ascii="宋体" w:hAnsi="宋体"/>
          <w:szCs w:val="21"/>
        </w:rPr>
      </w:pPr>
      <w:r>
        <w:rPr>
          <w:rFonts w:hint="eastAsia" w:ascii="宋体" w:hAnsi="宋体"/>
          <w:szCs w:val="21"/>
        </w:rPr>
        <w:t>19.2.4 承包人不能在合理时间内修复缺陷的，发包人可自行修复或委托其他人修复，所需费用和利润的承担，按第19.2.3 项约定办理。</w:t>
      </w:r>
    </w:p>
    <w:p w14:paraId="4F86CD27">
      <w:pPr>
        <w:pStyle w:val="6"/>
        <w:spacing w:before="0" w:beforeAutospacing="0" w:after="0" w:afterAutospacing="0" w:line="360" w:lineRule="auto"/>
        <w:rPr>
          <w:rFonts w:hint="eastAsia"/>
        </w:rPr>
      </w:pPr>
      <w:r>
        <w:rPr>
          <w:rFonts w:hint="eastAsia"/>
        </w:rPr>
        <w:t>19.3 缺陷责任期的延长</w:t>
      </w:r>
    </w:p>
    <w:p w14:paraId="7893ACDC">
      <w:pPr>
        <w:spacing w:line="360" w:lineRule="auto"/>
        <w:ind w:firstLine="420" w:firstLineChars="200"/>
        <w:rPr>
          <w:rFonts w:hint="eastAsia" w:ascii="宋体" w:hAnsi="宋体"/>
          <w:szCs w:val="21"/>
        </w:rPr>
      </w:pPr>
      <w:r>
        <w:rPr>
          <w:rFonts w:hint="eastAsia" w:ascii="宋体" w:hAnsi="宋体"/>
          <w:szCs w:val="21"/>
        </w:rPr>
        <w:t>由于承包人原因造成某项缺陷或损坏使某项工程或工程设备不能按原．定目标使用而需要再次检查、检验和修复的，发包人有权要求承包人相应延长缺陷责任期，但缺陷责任期最长不超过2年。</w:t>
      </w:r>
    </w:p>
    <w:p w14:paraId="2C8C47B6">
      <w:pPr>
        <w:pStyle w:val="6"/>
        <w:spacing w:before="0" w:beforeAutospacing="0" w:after="0" w:afterAutospacing="0" w:line="360" w:lineRule="auto"/>
        <w:rPr>
          <w:rFonts w:hint="eastAsia"/>
        </w:rPr>
      </w:pPr>
      <w:r>
        <w:rPr>
          <w:rFonts w:hint="eastAsia"/>
        </w:rPr>
        <w:t>19.4 进一步试验和试运行</w:t>
      </w:r>
    </w:p>
    <w:p w14:paraId="5191D10E">
      <w:pPr>
        <w:spacing w:line="360" w:lineRule="auto"/>
        <w:ind w:firstLine="420" w:firstLineChars="200"/>
        <w:rPr>
          <w:rFonts w:hint="eastAsia" w:ascii="宋体" w:hAnsi="宋体"/>
          <w:szCs w:val="21"/>
        </w:rPr>
      </w:pPr>
      <w:r>
        <w:rPr>
          <w:rFonts w:hint="eastAsia" w:ascii="宋体" w:hAnsi="宋体"/>
          <w:szCs w:val="21"/>
        </w:rPr>
        <w:t>任何一项缺陷或损坏修复后，经检查证明其影响了工程或工程设备的使用性能，承包人应重新进行合同约定的试验和试运行，试验和试运行的全部费用应由责任方承担。</w:t>
      </w:r>
    </w:p>
    <w:p w14:paraId="23C25381">
      <w:pPr>
        <w:pStyle w:val="6"/>
        <w:spacing w:before="0" w:beforeAutospacing="0" w:after="0" w:afterAutospacing="0" w:line="360" w:lineRule="auto"/>
        <w:rPr>
          <w:rFonts w:hint="eastAsia"/>
        </w:rPr>
      </w:pPr>
      <w:r>
        <w:rPr>
          <w:rFonts w:hint="eastAsia"/>
        </w:rPr>
        <w:t>19.5 承包人的进入权</w:t>
      </w:r>
    </w:p>
    <w:p w14:paraId="687C6786">
      <w:pPr>
        <w:spacing w:line="360" w:lineRule="auto"/>
        <w:ind w:firstLine="420" w:firstLineChars="200"/>
        <w:rPr>
          <w:rFonts w:ascii="宋体" w:hAnsi="宋体"/>
          <w:szCs w:val="21"/>
        </w:rPr>
      </w:pPr>
      <w:r>
        <w:rPr>
          <w:rFonts w:hint="eastAsia" w:ascii="宋体" w:hAnsi="宋体"/>
          <w:szCs w:val="21"/>
        </w:rPr>
        <w:t>缺陷责任期内承包人为缺陷修复工作需要，有权进入工程现场，但应遵守发包人的保安和保密规定。</w:t>
      </w:r>
    </w:p>
    <w:p w14:paraId="061D28B9">
      <w:pPr>
        <w:pStyle w:val="6"/>
        <w:spacing w:before="0" w:beforeAutospacing="0" w:after="0" w:afterAutospacing="0" w:line="360" w:lineRule="auto"/>
        <w:rPr>
          <w:rFonts w:hint="eastAsia"/>
        </w:rPr>
      </w:pPr>
      <w:r>
        <w:rPr>
          <w:rFonts w:hint="eastAsia"/>
        </w:rPr>
        <w:t>19.6 缺陷责任期终止证书</w:t>
      </w:r>
    </w:p>
    <w:p w14:paraId="7EC71A62">
      <w:pPr>
        <w:spacing w:line="360" w:lineRule="auto"/>
        <w:ind w:firstLine="420" w:firstLineChars="200"/>
        <w:rPr>
          <w:rFonts w:hint="eastAsia" w:ascii="宋体" w:hAnsi="宋体"/>
          <w:szCs w:val="21"/>
        </w:rPr>
      </w:pPr>
      <w:r>
        <w:rPr>
          <w:rFonts w:hint="eastAsia" w:ascii="宋体" w:hAnsi="宋体"/>
          <w:szCs w:val="21"/>
        </w:rPr>
        <w:t>在第1.1.4.5目约定的缺陷责任期，包括根据第19.3款延长的期限终止后14天内，由监理人向承包人出具经发包人签认的缺陷责任期终止证书，并退还剩余的质量保证金。</w:t>
      </w:r>
    </w:p>
    <w:p w14:paraId="6612C7C5">
      <w:pPr>
        <w:pStyle w:val="6"/>
        <w:spacing w:before="0" w:beforeAutospacing="0" w:after="0" w:afterAutospacing="0" w:line="360" w:lineRule="auto"/>
        <w:rPr>
          <w:rFonts w:hint="eastAsia"/>
        </w:rPr>
      </w:pPr>
      <w:r>
        <w:rPr>
          <w:rFonts w:hint="eastAsia"/>
        </w:rPr>
        <w:t>19.7 保修责任</w:t>
      </w:r>
    </w:p>
    <w:p w14:paraId="08485C12">
      <w:pPr>
        <w:spacing w:line="360" w:lineRule="auto"/>
        <w:ind w:firstLine="420" w:firstLineChars="200"/>
        <w:rPr>
          <w:rFonts w:hint="eastAsia" w:ascii="宋体" w:hAnsi="宋体"/>
          <w:szCs w:val="21"/>
        </w:rPr>
      </w:pPr>
      <w:r>
        <w:rPr>
          <w:rFonts w:hint="eastAsia" w:ascii="宋体" w:hAnsi="宋体"/>
          <w:szCs w:val="21"/>
        </w:rPr>
        <w:t>合同当事人根据有关法律规定，在专用合同条款中约定工程质量保修范围、期限和责任。保修期自实际竣工日期起计算。在全部工程竣工验收前，已经发包人提前验收的单位工程，其保修期的起算日期相应提前。</w:t>
      </w:r>
    </w:p>
    <w:p w14:paraId="4A9215F8">
      <w:pPr>
        <w:pStyle w:val="5"/>
        <w:spacing w:before="0" w:after="0" w:line="360" w:lineRule="auto"/>
        <w:rPr>
          <w:rFonts w:hint="eastAsia" w:ascii="宋体" w:hAnsi="宋体"/>
        </w:rPr>
      </w:pPr>
      <w:bookmarkStart w:id="548" w:name="_Toc184635117"/>
      <w:bookmarkStart w:id="549" w:name="_Toc23811"/>
      <w:bookmarkStart w:id="550" w:name="_Toc5076"/>
      <w:bookmarkStart w:id="551" w:name="_Toc57795959"/>
      <w:bookmarkStart w:id="552" w:name="_Toc27678"/>
      <w:r>
        <w:rPr>
          <w:rFonts w:hint="eastAsia" w:ascii="宋体" w:hAnsi="宋体"/>
        </w:rPr>
        <w:t>20、保险</w:t>
      </w:r>
      <w:bookmarkEnd w:id="548"/>
      <w:bookmarkEnd w:id="549"/>
      <w:bookmarkEnd w:id="550"/>
      <w:bookmarkEnd w:id="551"/>
      <w:bookmarkEnd w:id="552"/>
    </w:p>
    <w:p w14:paraId="111D3E5B">
      <w:pPr>
        <w:pStyle w:val="6"/>
        <w:spacing w:before="0" w:beforeAutospacing="0" w:after="0" w:afterAutospacing="0" w:line="360" w:lineRule="auto"/>
        <w:rPr>
          <w:rFonts w:hint="eastAsia"/>
        </w:rPr>
      </w:pPr>
      <w:r>
        <w:rPr>
          <w:rFonts w:hint="eastAsia"/>
        </w:rPr>
        <w:t>20.1 工程保险</w:t>
      </w:r>
    </w:p>
    <w:p w14:paraId="0A8449B0">
      <w:pPr>
        <w:spacing w:line="360" w:lineRule="auto"/>
        <w:ind w:firstLine="420" w:firstLineChars="200"/>
        <w:rPr>
          <w:rFonts w:hint="eastAsia" w:ascii="宋体" w:hAnsi="宋体"/>
          <w:szCs w:val="21"/>
        </w:rPr>
      </w:pPr>
      <w:r>
        <w:rPr>
          <w:rFonts w:hint="eastAsia" w:ascii="宋体" w:hAnsi="宋体"/>
          <w:szCs w:val="21"/>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14:paraId="2B28D2D8">
      <w:pPr>
        <w:pStyle w:val="6"/>
        <w:spacing w:before="0" w:beforeAutospacing="0" w:after="0" w:afterAutospacing="0" w:line="360" w:lineRule="auto"/>
        <w:rPr>
          <w:rFonts w:hint="eastAsia"/>
        </w:rPr>
      </w:pPr>
      <w:r>
        <w:rPr>
          <w:rFonts w:hint="eastAsia"/>
        </w:rPr>
        <w:t>20.2 人员工伤事故的保险</w:t>
      </w:r>
    </w:p>
    <w:p w14:paraId="3D003B72">
      <w:pPr>
        <w:spacing w:line="360" w:lineRule="auto"/>
        <w:ind w:firstLine="420" w:firstLineChars="200"/>
        <w:rPr>
          <w:rFonts w:hint="eastAsia" w:ascii="宋体" w:hAnsi="宋体"/>
          <w:szCs w:val="21"/>
        </w:rPr>
      </w:pPr>
      <w:r>
        <w:rPr>
          <w:rFonts w:hint="eastAsia" w:ascii="宋体" w:hAnsi="宋体"/>
          <w:szCs w:val="21"/>
        </w:rPr>
        <w:t>20.2.1 承包人员工伤事故的保险</w:t>
      </w:r>
    </w:p>
    <w:p w14:paraId="5DF6E429">
      <w:pPr>
        <w:spacing w:line="360" w:lineRule="auto"/>
        <w:ind w:firstLine="420" w:firstLineChars="200"/>
        <w:rPr>
          <w:rFonts w:hint="eastAsia" w:ascii="宋体" w:hAnsi="宋体"/>
          <w:szCs w:val="21"/>
        </w:rPr>
      </w:pPr>
      <w:r>
        <w:rPr>
          <w:rFonts w:hint="eastAsia" w:ascii="宋体" w:hAnsi="宋体"/>
          <w:szCs w:val="21"/>
        </w:rPr>
        <w:t>承包人应依照有关法律规定参加工伤保险，为其履行合同所雇佣的全部人员，交纳工伤保险费，并要求其分包人也进行此项保险。</w:t>
      </w:r>
    </w:p>
    <w:p w14:paraId="064FE626">
      <w:pPr>
        <w:spacing w:line="360" w:lineRule="auto"/>
        <w:ind w:firstLine="420" w:firstLineChars="200"/>
        <w:rPr>
          <w:rFonts w:hint="eastAsia" w:ascii="宋体" w:hAnsi="宋体"/>
          <w:szCs w:val="21"/>
        </w:rPr>
      </w:pPr>
      <w:r>
        <w:rPr>
          <w:rFonts w:hint="eastAsia" w:ascii="宋体" w:hAnsi="宋体"/>
          <w:szCs w:val="21"/>
        </w:rPr>
        <w:t>20.2.2 发包人员工伤事故的保险</w:t>
      </w:r>
    </w:p>
    <w:p w14:paraId="3A14AA9D">
      <w:pPr>
        <w:spacing w:line="360" w:lineRule="auto"/>
        <w:ind w:firstLine="420" w:firstLineChars="200"/>
        <w:rPr>
          <w:rFonts w:hint="eastAsia" w:ascii="宋体" w:hAnsi="宋体"/>
          <w:szCs w:val="21"/>
        </w:rPr>
      </w:pPr>
      <w:r>
        <w:rPr>
          <w:rFonts w:hint="eastAsia" w:ascii="宋体" w:hAnsi="宋体"/>
          <w:szCs w:val="21"/>
        </w:rPr>
        <w:t>发包人应依照有关法律规定参加工伤保险，为其现场机构雇佣的全部人员，交纳工伤保险费，并要求其监理人也进行此项保险。</w:t>
      </w:r>
    </w:p>
    <w:p w14:paraId="5A031F8F">
      <w:pPr>
        <w:pStyle w:val="6"/>
        <w:spacing w:before="0" w:beforeAutospacing="0" w:after="0" w:afterAutospacing="0" w:line="360" w:lineRule="auto"/>
        <w:rPr>
          <w:rFonts w:hint="eastAsia"/>
        </w:rPr>
      </w:pPr>
      <w:r>
        <w:rPr>
          <w:rFonts w:hint="eastAsia"/>
        </w:rPr>
        <w:t>20.3 人身意外伤害险</w:t>
      </w:r>
    </w:p>
    <w:p w14:paraId="0DF01540">
      <w:pPr>
        <w:spacing w:line="360" w:lineRule="auto"/>
        <w:ind w:firstLine="420" w:firstLineChars="200"/>
        <w:rPr>
          <w:rFonts w:hint="eastAsia" w:ascii="宋体" w:hAnsi="宋体"/>
          <w:szCs w:val="21"/>
        </w:rPr>
      </w:pPr>
      <w:r>
        <w:rPr>
          <w:rFonts w:hint="eastAsia" w:ascii="宋体" w:hAnsi="宋体"/>
          <w:szCs w:val="21"/>
        </w:rPr>
        <w:t>20.3.1 发包人应在整个施工期间为其现场机构雇用的全部人员，投保人身意外伤害险，交纳保险费，并要求其监理人也进行此项保险。</w:t>
      </w:r>
    </w:p>
    <w:p w14:paraId="4771C75C">
      <w:pPr>
        <w:spacing w:line="360" w:lineRule="auto"/>
        <w:ind w:firstLine="420" w:firstLineChars="200"/>
        <w:rPr>
          <w:rFonts w:hint="eastAsia" w:ascii="宋体" w:hAnsi="宋体"/>
          <w:szCs w:val="21"/>
        </w:rPr>
      </w:pPr>
      <w:r>
        <w:rPr>
          <w:rFonts w:hint="eastAsia" w:ascii="宋体" w:hAnsi="宋体"/>
          <w:szCs w:val="21"/>
        </w:rPr>
        <w:t>20.3.2 承包人应在整个施工期间为其现场机构雇用的全部人员，投保人身意外伤害险，交纳保险费，并要求其分包人也进行此项保险。</w:t>
      </w:r>
    </w:p>
    <w:p w14:paraId="771522B6">
      <w:pPr>
        <w:pStyle w:val="6"/>
        <w:spacing w:before="0" w:beforeAutospacing="0" w:after="0" w:afterAutospacing="0" w:line="360" w:lineRule="auto"/>
        <w:rPr>
          <w:rFonts w:hint="eastAsia"/>
        </w:rPr>
      </w:pPr>
      <w:r>
        <w:rPr>
          <w:rFonts w:hint="eastAsia"/>
        </w:rPr>
        <w:t>20.4 第三者责任险</w:t>
      </w:r>
    </w:p>
    <w:p w14:paraId="48A543A2">
      <w:pPr>
        <w:spacing w:line="360" w:lineRule="auto"/>
        <w:ind w:firstLine="420" w:firstLineChars="200"/>
        <w:rPr>
          <w:rFonts w:hint="eastAsia" w:ascii="宋体" w:hAnsi="宋体"/>
          <w:szCs w:val="21"/>
        </w:rPr>
      </w:pPr>
      <w:r>
        <w:rPr>
          <w:rFonts w:hint="eastAsia" w:ascii="宋体" w:hAnsi="宋体"/>
          <w:szCs w:val="21"/>
        </w:rPr>
        <w:t>20.4.1 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14:paraId="3A27368C">
      <w:pPr>
        <w:spacing w:line="360" w:lineRule="auto"/>
        <w:ind w:firstLine="420" w:firstLineChars="200"/>
        <w:rPr>
          <w:rFonts w:hint="eastAsia" w:ascii="宋体" w:hAnsi="宋体"/>
          <w:szCs w:val="21"/>
        </w:rPr>
      </w:pPr>
      <w:r>
        <w:rPr>
          <w:rFonts w:hint="eastAsia" w:ascii="宋体" w:hAnsi="宋体"/>
          <w:szCs w:val="21"/>
        </w:rPr>
        <w:t>20.4.2 在缺陷责任期终止证书颁发前，承包人应以承包人和发包人的共同名义，投保第20.4.1 项约定的第三者责任险，其保险费率、保险金额等有关内容在专用合同条款中约定。</w:t>
      </w:r>
    </w:p>
    <w:p w14:paraId="771033BA">
      <w:pPr>
        <w:pStyle w:val="6"/>
        <w:spacing w:before="0" w:beforeAutospacing="0" w:after="0" w:afterAutospacing="0" w:line="360" w:lineRule="auto"/>
        <w:rPr>
          <w:rFonts w:hint="eastAsia"/>
        </w:rPr>
      </w:pPr>
      <w:r>
        <w:rPr>
          <w:rFonts w:hint="eastAsia"/>
        </w:rPr>
        <w:t>20.5 其他保险</w:t>
      </w:r>
    </w:p>
    <w:p w14:paraId="113E3434">
      <w:pPr>
        <w:spacing w:line="360" w:lineRule="auto"/>
        <w:ind w:firstLine="420" w:firstLineChars="200"/>
        <w:rPr>
          <w:rFonts w:hint="eastAsia" w:ascii="宋体" w:hAnsi="宋体"/>
          <w:szCs w:val="21"/>
        </w:rPr>
      </w:pPr>
      <w:r>
        <w:rPr>
          <w:rFonts w:hint="eastAsia" w:ascii="宋体" w:hAnsi="宋体"/>
          <w:szCs w:val="21"/>
        </w:rPr>
        <w:t>除专用合同条款另有约定外，承包人应为其施工设备、进场的材料和工程设备等办理保险。</w:t>
      </w:r>
    </w:p>
    <w:p w14:paraId="396272B2">
      <w:pPr>
        <w:pStyle w:val="6"/>
        <w:spacing w:before="0" w:beforeAutospacing="0" w:after="0" w:afterAutospacing="0" w:line="360" w:lineRule="auto"/>
        <w:rPr>
          <w:rFonts w:hint="eastAsia"/>
        </w:rPr>
      </w:pPr>
      <w:r>
        <w:rPr>
          <w:rFonts w:hint="eastAsia"/>
        </w:rPr>
        <w:t>20.6 对各项保险的一般要求</w:t>
      </w:r>
    </w:p>
    <w:p w14:paraId="1329ABCC">
      <w:pPr>
        <w:spacing w:line="360" w:lineRule="auto"/>
        <w:ind w:firstLine="420" w:firstLineChars="200"/>
        <w:rPr>
          <w:rFonts w:ascii="宋体" w:hAnsi="宋体"/>
          <w:szCs w:val="21"/>
        </w:rPr>
      </w:pPr>
      <w:r>
        <w:rPr>
          <w:rFonts w:hint="eastAsia" w:ascii="宋体" w:hAnsi="宋体"/>
          <w:szCs w:val="21"/>
        </w:rPr>
        <w:t>20.6.1 保险凭证</w:t>
      </w:r>
    </w:p>
    <w:p w14:paraId="53C07793">
      <w:pPr>
        <w:spacing w:line="360" w:lineRule="auto"/>
        <w:ind w:firstLine="420" w:firstLineChars="200"/>
        <w:rPr>
          <w:rFonts w:hint="eastAsia" w:ascii="宋体" w:hAnsi="宋体"/>
          <w:szCs w:val="21"/>
        </w:rPr>
      </w:pPr>
      <w:r>
        <w:rPr>
          <w:rFonts w:hint="eastAsia" w:ascii="宋体" w:hAnsi="宋体"/>
          <w:szCs w:val="21"/>
        </w:rPr>
        <w:t>承包人应在专用合同条款约定的期限内向发包人提交各项保险生效的证据和保险单副本，保险单必须与专用合同条款约定的条件保持一致。</w:t>
      </w:r>
    </w:p>
    <w:p w14:paraId="6AB293F2">
      <w:pPr>
        <w:spacing w:line="360" w:lineRule="auto"/>
        <w:ind w:firstLine="420" w:firstLineChars="200"/>
        <w:rPr>
          <w:rFonts w:hint="eastAsia" w:ascii="宋体" w:hAnsi="宋体"/>
          <w:szCs w:val="21"/>
        </w:rPr>
      </w:pPr>
      <w:r>
        <w:rPr>
          <w:rFonts w:hint="eastAsia" w:ascii="宋体" w:hAnsi="宋体"/>
          <w:szCs w:val="21"/>
        </w:rPr>
        <w:t>20.6.2 保险合同条款的变动</w:t>
      </w:r>
    </w:p>
    <w:p w14:paraId="5CD28606">
      <w:pPr>
        <w:spacing w:line="360" w:lineRule="auto"/>
        <w:ind w:firstLine="420" w:firstLineChars="200"/>
        <w:rPr>
          <w:rFonts w:hint="eastAsia" w:ascii="宋体" w:hAnsi="宋体"/>
          <w:szCs w:val="21"/>
        </w:rPr>
      </w:pPr>
      <w:r>
        <w:rPr>
          <w:rFonts w:hint="eastAsia" w:ascii="宋体" w:hAnsi="宋体"/>
          <w:szCs w:val="21"/>
        </w:rPr>
        <w:t>承包人需要变动保险合同条款时，应事先征得发包人同意，并通知监理人。保险人作出变动的，承包人应在收到保险人通知后立即通知发包人和监理人。</w:t>
      </w:r>
    </w:p>
    <w:p w14:paraId="6D08042F">
      <w:pPr>
        <w:spacing w:line="360" w:lineRule="auto"/>
        <w:ind w:firstLine="420" w:firstLineChars="200"/>
        <w:rPr>
          <w:rFonts w:hint="eastAsia" w:ascii="宋体" w:hAnsi="宋体"/>
          <w:szCs w:val="21"/>
        </w:rPr>
      </w:pPr>
      <w:r>
        <w:rPr>
          <w:rFonts w:hint="eastAsia" w:ascii="宋体" w:hAnsi="宋体"/>
          <w:szCs w:val="21"/>
        </w:rPr>
        <w:t>20.6.3 持续保险</w:t>
      </w:r>
    </w:p>
    <w:p w14:paraId="273B1430">
      <w:pPr>
        <w:spacing w:line="360" w:lineRule="auto"/>
        <w:ind w:firstLine="420" w:firstLineChars="200"/>
        <w:rPr>
          <w:rFonts w:hint="eastAsia" w:ascii="宋体" w:hAnsi="宋体"/>
          <w:szCs w:val="21"/>
        </w:rPr>
      </w:pPr>
      <w:r>
        <w:rPr>
          <w:rFonts w:hint="eastAsia" w:ascii="宋体" w:hAnsi="宋体"/>
          <w:szCs w:val="21"/>
        </w:rPr>
        <w:t>承包人应与保险人保持联系，使保险人能够随时了解工程实施中的变动，并确保按保险合同条款要求持续保险。</w:t>
      </w:r>
    </w:p>
    <w:p w14:paraId="3DE60B48">
      <w:pPr>
        <w:spacing w:line="360" w:lineRule="auto"/>
        <w:ind w:firstLine="420" w:firstLineChars="200"/>
        <w:rPr>
          <w:rFonts w:hint="eastAsia" w:ascii="宋体" w:hAnsi="宋体"/>
          <w:szCs w:val="21"/>
        </w:rPr>
      </w:pPr>
      <w:r>
        <w:rPr>
          <w:rFonts w:hint="eastAsia" w:ascii="宋体" w:hAnsi="宋体"/>
          <w:szCs w:val="21"/>
        </w:rPr>
        <w:t>20.6.4 保险金不足的补偿</w:t>
      </w:r>
    </w:p>
    <w:p w14:paraId="0BD0A393">
      <w:pPr>
        <w:spacing w:line="360" w:lineRule="auto"/>
        <w:ind w:firstLine="420" w:firstLineChars="200"/>
        <w:rPr>
          <w:rFonts w:hint="eastAsia" w:ascii="宋体" w:hAnsi="宋体"/>
          <w:szCs w:val="21"/>
        </w:rPr>
      </w:pPr>
      <w:r>
        <w:rPr>
          <w:rFonts w:hint="eastAsia" w:ascii="宋体" w:hAnsi="宋体"/>
          <w:szCs w:val="21"/>
        </w:rPr>
        <w:t>保险金不足以补偿损失的，应由承包人和（或）发包人按合同约定负责补偿。</w:t>
      </w:r>
    </w:p>
    <w:p w14:paraId="743B2E94">
      <w:pPr>
        <w:spacing w:line="360" w:lineRule="auto"/>
        <w:ind w:firstLine="420" w:firstLineChars="200"/>
        <w:rPr>
          <w:rFonts w:hint="eastAsia" w:ascii="宋体" w:hAnsi="宋体"/>
          <w:szCs w:val="21"/>
        </w:rPr>
      </w:pPr>
      <w:r>
        <w:rPr>
          <w:rFonts w:hint="eastAsia" w:ascii="宋体" w:hAnsi="宋体"/>
          <w:szCs w:val="21"/>
        </w:rPr>
        <w:t>20.6.5 未按约定投保的补救</w:t>
      </w:r>
    </w:p>
    <w:p w14:paraId="5729529C">
      <w:pPr>
        <w:spacing w:line="360" w:lineRule="auto"/>
        <w:ind w:firstLine="420" w:firstLineChars="200"/>
        <w:rPr>
          <w:rFonts w:hint="eastAsia" w:ascii="宋体" w:hAnsi="宋体"/>
          <w:szCs w:val="21"/>
        </w:rPr>
      </w:pPr>
      <w:r>
        <w:rPr>
          <w:rFonts w:hint="eastAsia" w:ascii="宋体" w:hAnsi="宋体"/>
          <w:szCs w:val="21"/>
        </w:rPr>
        <w:t>（1）由于负有投保义务的一方当事人未按合同约定办理保险，或未能使保险持续有效的，另一方当事人可代为办理，所需费用由对方当事人承担。</w:t>
      </w:r>
    </w:p>
    <w:p w14:paraId="070D4231">
      <w:pPr>
        <w:spacing w:line="360" w:lineRule="auto"/>
        <w:ind w:firstLine="420" w:firstLineChars="200"/>
        <w:rPr>
          <w:rFonts w:hint="eastAsia" w:ascii="宋体" w:hAnsi="宋体"/>
          <w:szCs w:val="21"/>
        </w:rPr>
      </w:pPr>
      <w:r>
        <w:rPr>
          <w:rFonts w:hint="eastAsia" w:ascii="宋体" w:hAnsi="宋体"/>
          <w:szCs w:val="21"/>
        </w:rPr>
        <w:t>（2）由于负有投保义务的一方当事人未按合同约定办理某项保险，导致受益人未能得到保险人的赔偿，原应从该项保险得到的保险金应由负有投保义务的一方当事人支付。</w:t>
      </w:r>
    </w:p>
    <w:p w14:paraId="51F071DD">
      <w:pPr>
        <w:spacing w:line="360" w:lineRule="auto"/>
        <w:ind w:firstLine="420" w:firstLineChars="200"/>
        <w:rPr>
          <w:rFonts w:hint="eastAsia" w:ascii="宋体" w:hAnsi="宋体"/>
          <w:szCs w:val="21"/>
        </w:rPr>
      </w:pPr>
      <w:r>
        <w:rPr>
          <w:rFonts w:hint="eastAsia" w:ascii="宋体" w:hAnsi="宋体"/>
          <w:szCs w:val="21"/>
        </w:rPr>
        <w:t>20.6.6 报告义务</w:t>
      </w:r>
    </w:p>
    <w:p w14:paraId="59ECE15C">
      <w:pPr>
        <w:spacing w:line="360" w:lineRule="auto"/>
        <w:ind w:firstLine="420" w:firstLineChars="200"/>
        <w:rPr>
          <w:rFonts w:hint="eastAsia" w:ascii="宋体" w:hAnsi="宋体"/>
          <w:szCs w:val="21"/>
        </w:rPr>
      </w:pPr>
      <w:r>
        <w:rPr>
          <w:rFonts w:hint="eastAsia" w:ascii="宋体" w:hAnsi="宋体"/>
          <w:szCs w:val="21"/>
        </w:rPr>
        <w:t>当保险事故发生时，投保人应按照保险单规定的条件和期限及时向保险人报告。</w:t>
      </w:r>
    </w:p>
    <w:p w14:paraId="31DEA88E">
      <w:pPr>
        <w:pStyle w:val="5"/>
        <w:spacing w:before="0" w:after="0" w:line="360" w:lineRule="auto"/>
        <w:rPr>
          <w:rFonts w:hint="eastAsia" w:ascii="宋体" w:hAnsi="宋体"/>
        </w:rPr>
      </w:pPr>
      <w:bookmarkStart w:id="553" w:name="_Toc17677"/>
      <w:bookmarkStart w:id="554" w:name="_Toc18559"/>
      <w:bookmarkStart w:id="555" w:name="_Toc57795960"/>
      <w:bookmarkStart w:id="556" w:name="_Toc19133"/>
      <w:bookmarkStart w:id="557" w:name="_Toc184635118"/>
      <w:r>
        <w:rPr>
          <w:rFonts w:hint="eastAsia" w:ascii="宋体" w:hAnsi="宋体"/>
        </w:rPr>
        <w:t>21、不可抗力</w:t>
      </w:r>
      <w:bookmarkEnd w:id="553"/>
      <w:bookmarkEnd w:id="554"/>
      <w:bookmarkEnd w:id="555"/>
      <w:bookmarkEnd w:id="556"/>
      <w:bookmarkEnd w:id="557"/>
    </w:p>
    <w:p w14:paraId="5A0EFB37">
      <w:pPr>
        <w:pStyle w:val="6"/>
        <w:spacing w:before="0" w:beforeAutospacing="0" w:after="0" w:afterAutospacing="0" w:line="360" w:lineRule="auto"/>
        <w:rPr>
          <w:rFonts w:hint="eastAsia"/>
        </w:rPr>
      </w:pPr>
      <w:r>
        <w:rPr>
          <w:rFonts w:hint="eastAsia"/>
        </w:rPr>
        <w:t>21.1 不可抗力的确认</w:t>
      </w:r>
    </w:p>
    <w:p w14:paraId="34A33A40">
      <w:pPr>
        <w:spacing w:line="360" w:lineRule="auto"/>
        <w:ind w:firstLine="420" w:firstLineChars="200"/>
        <w:rPr>
          <w:rFonts w:hint="eastAsia" w:ascii="宋体" w:hAnsi="宋体"/>
          <w:szCs w:val="21"/>
        </w:rPr>
      </w:pPr>
      <w:r>
        <w:rPr>
          <w:rFonts w:hint="eastAsia" w:ascii="宋体" w:hAnsi="宋体"/>
          <w:szCs w:val="21"/>
        </w:rPr>
        <w:t>21.1.1 不可抗力是指承包人和发包人在订立合同时不可预见，在工程施工过程中不可避免发生并不能克服的自然灾害和社会性突发事件，如地震、海啸、瘟疫、水灾、骚乱、暴动、战争和专用合同条款约定的其他情形。</w:t>
      </w:r>
    </w:p>
    <w:p w14:paraId="659A637E">
      <w:pPr>
        <w:spacing w:line="360" w:lineRule="auto"/>
        <w:ind w:firstLine="420" w:firstLineChars="200"/>
        <w:rPr>
          <w:rFonts w:hint="eastAsia" w:ascii="宋体" w:hAnsi="宋体"/>
          <w:szCs w:val="21"/>
        </w:rPr>
      </w:pPr>
      <w:r>
        <w:rPr>
          <w:rFonts w:hint="eastAsia" w:ascii="宋体" w:hAnsi="宋体"/>
          <w:szCs w:val="21"/>
        </w:rPr>
        <w:t>21.1.2 不可抗力发生后，发包人和承包人应及时认真统计所造成的损失，收集不可抗力造成损失的证据。合同双方对是否属于不可抗力或其损失的意见不一致的，由监理人按第3.5 款商定或确定。发生争议时，按第24条的约定办理。</w:t>
      </w:r>
    </w:p>
    <w:p w14:paraId="74F4FDA0">
      <w:pPr>
        <w:pStyle w:val="6"/>
        <w:spacing w:before="0" w:beforeAutospacing="0" w:after="0" w:afterAutospacing="0" w:line="360" w:lineRule="auto"/>
        <w:rPr>
          <w:rFonts w:hint="eastAsia"/>
        </w:rPr>
      </w:pPr>
      <w:r>
        <w:rPr>
          <w:rFonts w:hint="eastAsia"/>
        </w:rPr>
        <w:t>21.2 不可抗力的通知</w:t>
      </w:r>
    </w:p>
    <w:p w14:paraId="27D25BB3">
      <w:pPr>
        <w:spacing w:line="360" w:lineRule="auto"/>
        <w:ind w:firstLine="420" w:firstLineChars="200"/>
        <w:rPr>
          <w:rFonts w:hint="eastAsia" w:ascii="宋体" w:hAnsi="宋体"/>
          <w:szCs w:val="21"/>
        </w:rPr>
      </w:pPr>
      <w:r>
        <w:rPr>
          <w:rFonts w:hint="eastAsia" w:ascii="宋体" w:hAnsi="宋体"/>
          <w:szCs w:val="21"/>
        </w:rPr>
        <w:t>21.2.1 合同一方当事人遇到不可抗力事件，使其履行合同义务受到阻碍时，应立即通知合同另一方当事人和监理人，书面说明不可抗力和受阻碍的详细情况，并提供必要的证明。</w:t>
      </w:r>
    </w:p>
    <w:p w14:paraId="4764306A">
      <w:pPr>
        <w:spacing w:line="360" w:lineRule="auto"/>
        <w:ind w:firstLine="420" w:firstLineChars="200"/>
        <w:rPr>
          <w:rFonts w:hint="eastAsia" w:ascii="宋体" w:hAnsi="宋体"/>
          <w:szCs w:val="21"/>
        </w:rPr>
      </w:pPr>
      <w:r>
        <w:rPr>
          <w:rFonts w:hint="eastAsia" w:ascii="宋体" w:hAnsi="宋体"/>
          <w:szCs w:val="21"/>
        </w:rPr>
        <w:t>21.2.2 如不可抗力持续发生，合同一方当事人应及时向合同另一方当事人和监理人提交中间报告，说明不可抗力和履行合同受阻的情况，并于不可抗力事件结束后28天内提交最终报告及有关资料。</w:t>
      </w:r>
    </w:p>
    <w:p w14:paraId="17015FEE">
      <w:pPr>
        <w:pStyle w:val="6"/>
        <w:spacing w:before="0" w:beforeAutospacing="0" w:after="0" w:afterAutospacing="0" w:line="360" w:lineRule="auto"/>
        <w:rPr>
          <w:rFonts w:hint="eastAsia"/>
        </w:rPr>
      </w:pPr>
      <w:r>
        <w:rPr>
          <w:rFonts w:hint="eastAsia"/>
        </w:rPr>
        <w:t>21.3 不可抗力后果及其处理</w:t>
      </w:r>
    </w:p>
    <w:p w14:paraId="5D9F7F01">
      <w:pPr>
        <w:spacing w:line="360" w:lineRule="auto"/>
        <w:ind w:firstLine="420" w:firstLineChars="200"/>
        <w:rPr>
          <w:rFonts w:hint="eastAsia" w:ascii="宋体" w:hAnsi="宋体"/>
          <w:szCs w:val="21"/>
        </w:rPr>
      </w:pPr>
      <w:r>
        <w:rPr>
          <w:rFonts w:hint="eastAsia" w:ascii="宋体" w:hAnsi="宋体"/>
          <w:szCs w:val="21"/>
        </w:rPr>
        <w:t>21.3.1 不可抗力造成损害的责任</w:t>
      </w:r>
    </w:p>
    <w:p w14:paraId="4A2BDFFC">
      <w:pPr>
        <w:spacing w:line="360" w:lineRule="auto"/>
        <w:ind w:firstLine="420" w:firstLineChars="200"/>
        <w:rPr>
          <w:rFonts w:ascii="宋体" w:hAnsi="宋体"/>
          <w:szCs w:val="21"/>
        </w:rPr>
      </w:pPr>
      <w:r>
        <w:rPr>
          <w:rFonts w:hint="eastAsia" w:ascii="宋体" w:hAnsi="宋体"/>
          <w:szCs w:val="21"/>
        </w:rPr>
        <w:t>除专用合同条款另有约定外，不可抗力导致的人员伤亡、财产损失、费用增加和（或）工期延误等后果，由合同双方按以下原则承担：</w:t>
      </w:r>
    </w:p>
    <w:p w14:paraId="14492B2D">
      <w:pPr>
        <w:spacing w:line="360" w:lineRule="auto"/>
        <w:ind w:firstLine="420" w:firstLineChars="200"/>
        <w:rPr>
          <w:rFonts w:hint="eastAsia" w:ascii="宋体" w:hAnsi="宋体"/>
          <w:szCs w:val="21"/>
        </w:rPr>
      </w:pPr>
      <w:r>
        <w:rPr>
          <w:rFonts w:hint="eastAsia" w:ascii="宋体" w:hAnsi="宋体"/>
          <w:szCs w:val="21"/>
        </w:rPr>
        <w:t>（1）永久工程，包括己运至施工场地的材料和工程设备的损害，以及因工程损害造成的第三者人员伤亡和财产损失由发包人承担；</w:t>
      </w:r>
    </w:p>
    <w:p w14:paraId="1DF94A24">
      <w:pPr>
        <w:spacing w:line="360" w:lineRule="auto"/>
        <w:ind w:firstLine="420" w:firstLineChars="200"/>
        <w:rPr>
          <w:rFonts w:hint="eastAsia" w:ascii="宋体" w:hAnsi="宋体"/>
          <w:szCs w:val="21"/>
        </w:rPr>
      </w:pPr>
      <w:r>
        <w:rPr>
          <w:rFonts w:hint="eastAsia" w:ascii="宋体" w:hAnsi="宋体"/>
          <w:szCs w:val="21"/>
        </w:rPr>
        <w:t>（2）承包人设备的损坏由承包人承担；</w:t>
      </w:r>
    </w:p>
    <w:p w14:paraId="6C77FA5F">
      <w:pPr>
        <w:spacing w:line="360" w:lineRule="auto"/>
        <w:ind w:firstLine="420" w:firstLineChars="200"/>
        <w:rPr>
          <w:rFonts w:hint="eastAsia" w:ascii="宋体" w:hAnsi="宋体"/>
          <w:szCs w:val="21"/>
        </w:rPr>
      </w:pPr>
      <w:r>
        <w:rPr>
          <w:rFonts w:hint="eastAsia" w:ascii="宋体" w:hAnsi="宋体"/>
          <w:szCs w:val="21"/>
        </w:rPr>
        <w:t>（3）发包人和承包人各自承担其人员伤亡和其他财产损失及其相关费用；</w:t>
      </w:r>
    </w:p>
    <w:p w14:paraId="509F15E0">
      <w:pPr>
        <w:spacing w:line="360" w:lineRule="auto"/>
        <w:ind w:firstLine="420" w:firstLineChars="200"/>
        <w:rPr>
          <w:rFonts w:hint="eastAsia" w:ascii="宋体" w:hAnsi="宋体"/>
          <w:szCs w:val="21"/>
        </w:rPr>
      </w:pPr>
      <w:r>
        <w:rPr>
          <w:rFonts w:hint="eastAsia" w:ascii="宋体" w:hAnsi="宋体"/>
          <w:szCs w:val="21"/>
        </w:rPr>
        <w:t>（4）承包人的停工损失由承包人承担，但停工期间应监理人要求照管工程和清理、修复工程的金额由发包人承担；</w:t>
      </w:r>
    </w:p>
    <w:p w14:paraId="7F89F001">
      <w:pPr>
        <w:spacing w:line="360" w:lineRule="auto"/>
        <w:ind w:firstLine="420" w:firstLineChars="200"/>
        <w:rPr>
          <w:rFonts w:hint="eastAsia" w:ascii="宋体" w:hAnsi="宋体"/>
          <w:szCs w:val="21"/>
        </w:rPr>
      </w:pPr>
      <w:r>
        <w:rPr>
          <w:rFonts w:hint="eastAsia" w:ascii="宋体" w:hAnsi="宋体"/>
          <w:szCs w:val="21"/>
        </w:rPr>
        <w:t>（5）不能按期竣工的，应合理延长工期，承包人不需支付逾期竣工违约金。发包人要求赶工的，承包人应采取赶工措施，赶工费用由发包人承担。</w:t>
      </w:r>
    </w:p>
    <w:p w14:paraId="013767D4">
      <w:pPr>
        <w:spacing w:line="360" w:lineRule="auto"/>
        <w:ind w:firstLine="420" w:firstLineChars="200"/>
        <w:rPr>
          <w:rFonts w:hint="eastAsia" w:ascii="宋体" w:hAnsi="宋体"/>
          <w:szCs w:val="21"/>
        </w:rPr>
      </w:pPr>
      <w:r>
        <w:rPr>
          <w:rFonts w:hint="eastAsia" w:ascii="宋体" w:hAnsi="宋体"/>
          <w:szCs w:val="21"/>
        </w:rPr>
        <w:t>21.3.2 延迟履行期间发生的不可抗力</w:t>
      </w:r>
    </w:p>
    <w:p w14:paraId="04A9C9DD">
      <w:pPr>
        <w:spacing w:line="360" w:lineRule="auto"/>
        <w:ind w:firstLine="420" w:firstLineChars="200"/>
        <w:rPr>
          <w:rFonts w:hint="eastAsia" w:ascii="宋体" w:hAnsi="宋体"/>
          <w:szCs w:val="21"/>
        </w:rPr>
      </w:pPr>
      <w:r>
        <w:rPr>
          <w:rFonts w:hint="eastAsia" w:ascii="宋体" w:hAnsi="宋体"/>
          <w:szCs w:val="21"/>
        </w:rPr>
        <w:t>合同一方当事人延迟履行，在延迟履行期间发生不可抗力的，不免除其责任。</w:t>
      </w:r>
    </w:p>
    <w:p w14:paraId="412E8120">
      <w:pPr>
        <w:spacing w:line="360" w:lineRule="auto"/>
        <w:ind w:firstLine="420" w:firstLineChars="200"/>
        <w:rPr>
          <w:rFonts w:hint="eastAsia" w:ascii="宋体" w:hAnsi="宋体"/>
          <w:szCs w:val="21"/>
        </w:rPr>
      </w:pPr>
      <w:r>
        <w:rPr>
          <w:rFonts w:hint="eastAsia" w:ascii="宋体" w:hAnsi="宋体"/>
          <w:szCs w:val="21"/>
        </w:rPr>
        <w:t>21.3.3 避免和减少不可抗力损失</w:t>
      </w:r>
    </w:p>
    <w:p w14:paraId="4F79291D">
      <w:pPr>
        <w:spacing w:line="360" w:lineRule="auto"/>
        <w:ind w:firstLine="420" w:firstLineChars="200"/>
        <w:rPr>
          <w:rFonts w:hint="eastAsia" w:ascii="宋体" w:hAnsi="宋体"/>
          <w:szCs w:val="21"/>
        </w:rPr>
      </w:pPr>
      <w:r>
        <w:rPr>
          <w:rFonts w:hint="eastAsia" w:ascii="宋体" w:hAnsi="宋体"/>
          <w:szCs w:val="21"/>
        </w:rPr>
        <w:t>不可抗力发生后，发包人和承包人均应采取措施尽量避免和减少损失的扩大，任何一方没有采取有效措施导致损失扩大的，应对扩大的损失承担责任。</w:t>
      </w:r>
    </w:p>
    <w:p w14:paraId="5789E03A">
      <w:pPr>
        <w:spacing w:line="360" w:lineRule="auto"/>
        <w:ind w:firstLine="420" w:firstLineChars="200"/>
        <w:rPr>
          <w:rFonts w:hint="eastAsia" w:ascii="宋体" w:hAnsi="宋体"/>
          <w:szCs w:val="21"/>
        </w:rPr>
      </w:pPr>
      <w:r>
        <w:rPr>
          <w:rFonts w:hint="eastAsia" w:ascii="宋体" w:hAnsi="宋体"/>
          <w:szCs w:val="21"/>
        </w:rPr>
        <w:t>21.3.4 因不可抗力解除合同</w:t>
      </w:r>
    </w:p>
    <w:p w14:paraId="4B22B47E">
      <w:pPr>
        <w:spacing w:line="360" w:lineRule="auto"/>
        <w:ind w:firstLine="420" w:firstLineChars="200"/>
        <w:rPr>
          <w:rFonts w:hint="eastAsia" w:ascii="宋体" w:hAnsi="宋体"/>
          <w:szCs w:val="21"/>
        </w:rPr>
      </w:pPr>
      <w:r>
        <w:rPr>
          <w:rFonts w:hint="eastAsia" w:ascii="宋体" w:hAnsi="宋体"/>
          <w:szCs w:val="21"/>
        </w:rPr>
        <w:t>合同一方当事人因不可抗力不能履行合同的，应当及时通知对方解除合同。合同解除后，承包人应按照第22.2.5 项约定撤离施工场地。已经订货的材料、设备由订货方负责退货或解除订货合同，不能退还的货款和因退货、解除订货合同发生的费用，由发包人承担，因未及时退货造成的损失由责任方承担。合同解除后的付款，参照第22.2.4 项约定，由监理人按第3.5 款商定或确定。</w:t>
      </w:r>
    </w:p>
    <w:p w14:paraId="57FC3B02">
      <w:pPr>
        <w:pStyle w:val="5"/>
        <w:spacing w:before="0" w:after="0" w:line="360" w:lineRule="auto"/>
        <w:rPr>
          <w:rFonts w:hint="eastAsia" w:ascii="宋体" w:hAnsi="宋体"/>
        </w:rPr>
      </w:pPr>
      <w:bookmarkStart w:id="558" w:name="_Toc7442"/>
      <w:bookmarkStart w:id="559" w:name="_Toc184635119"/>
      <w:bookmarkStart w:id="560" w:name="_Toc4543"/>
      <w:bookmarkStart w:id="561" w:name="_Toc4352"/>
      <w:bookmarkStart w:id="562" w:name="_Toc57795961"/>
      <w:r>
        <w:rPr>
          <w:rFonts w:hint="eastAsia" w:ascii="宋体" w:hAnsi="宋体"/>
        </w:rPr>
        <w:t>22、违约</w:t>
      </w:r>
      <w:bookmarkEnd w:id="558"/>
      <w:bookmarkEnd w:id="559"/>
      <w:bookmarkEnd w:id="560"/>
      <w:bookmarkEnd w:id="561"/>
      <w:bookmarkEnd w:id="562"/>
    </w:p>
    <w:p w14:paraId="157E5056">
      <w:pPr>
        <w:pStyle w:val="6"/>
        <w:spacing w:before="0" w:beforeAutospacing="0" w:after="0" w:afterAutospacing="0" w:line="360" w:lineRule="auto"/>
        <w:rPr>
          <w:rFonts w:hint="eastAsia"/>
        </w:rPr>
      </w:pPr>
      <w:r>
        <w:rPr>
          <w:rFonts w:hint="eastAsia"/>
        </w:rPr>
        <w:t>22.1 承包人违约</w:t>
      </w:r>
    </w:p>
    <w:p w14:paraId="69FF920F">
      <w:pPr>
        <w:spacing w:line="360" w:lineRule="auto"/>
        <w:ind w:firstLine="420" w:firstLineChars="200"/>
        <w:rPr>
          <w:rFonts w:hint="eastAsia" w:ascii="宋体" w:hAnsi="宋体"/>
          <w:szCs w:val="21"/>
        </w:rPr>
      </w:pPr>
      <w:r>
        <w:rPr>
          <w:rFonts w:hint="eastAsia" w:ascii="宋体" w:hAnsi="宋体"/>
          <w:szCs w:val="21"/>
        </w:rPr>
        <w:t>22.1.1 承包人违约的情形</w:t>
      </w:r>
    </w:p>
    <w:p w14:paraId="319E0E53">
      <w:pPr>
        <w:spacing w:line="360" w:lineRule="auto"/>
        <w:ind w:firstLine="420" w:firstLineChars="200"/>
        <w:rPr>
          <w:rFonts w:hint="eastAsia" w:ascii="宋体" w:hAnsi="宋体"/>
          <w:szCs w:val="21"/>
        </w:rPr>
      </w:pPr>
      <w:r>
        <w:rPr>
          <w:rFonts w:hint="eastAsia" w:ascii="宋体" w:hAnsi="宋体"/>
          <w:szCs w:val="21"/>
        </w:rPr>
        <w:t>在履行合同过程中发生的下列情况属承包人违约：</w:t>
      </w:r>
    </w:p>
    <w:p w14:paraId="638F3A6F">
      <w:pPr>
        <w:spacing w:line="360" w:lineRule="auto"/>
        <w:ind w:firstLine="420" w:firstLineChars="200"/>
        <w:rPr>
          <w:rFonts w:hint="eastAsia" w:ascii="宋体" w:hAnsi="宋体"/>
          <w:szCs w:val="21"/>
        </w:rPr>
      </w:pPr>
      <w:r>
        <w:rPr>
          <w:rFonts w:hint="eastAsia" w:ascii="宋体" w:hAnsi="宋体"/>
          <w:szCs w:val="21"/>
        </w:rPr>
        <w:t>（1）承包人违反第1.8 款或第4.3 款的约定，私自将合同的全部或部分权利转让给其他人，或私自将合同的全部或部分义务转移给其他人；</w:t>
      </w:r>
    </w:p>
    <w:p w14:paraId="5F616608">
      <w:pPr>
        <w:spacing w:line="360" w:lineRule="auto"/>
        <w:ind w:firstLine="420" w:firstLineChars="200"/>
        <w:rPr>
          <w:rFonts w:hint="eastAsia" w:ascii="宋体" w:hAnsi="宋体"/>
          <w:szCs w:val="21"/>
        </w:rPr>
      </w:pPr>
      <w:r>
        <w:rPr>
          <w:rFonts w:hint="eastAsia" w:ascii="宋体" w:hAnsi="宋体"/>
          <w:szCs w:val="21"/>
        </w:rPr>
        <w:t>（2）承包人违反第5.3 款或第6.4 款的约定，未经监理人批准，私自将己按合同约定进入施工场地的施工设备、临时设施或材料撤离施工场地；</w:t>
      </w:r>
    </w:p>
    <w:p w14:paraId="252ACDEA">
      <w:pPr>
        <w:spacing w:line="360" w:lineRule="auto"/>
        <w:ind w:firstLine="420" w:firstLineChars="200"/>
        <w:rPr>
          <w:rFonts w:hint="eastAsia" w:ascii="宋体" w:hAnsi="宋体"/>
          <w:szCs w:val="21"/>
        </w:rPr>
      </w:pPr>
      <w:r>
        <w:rPr>
          <w:rFonts w:hint="eastAsia" w:ascii="宋体" w:hAnsi="宋体"/>
          <w:szCs w:val="21"/>
        </w:rPr>
        <w:t>（3）承包人违反第5.4 款的约定使用了不合格材料或工程设备，工程质量达不到标准要求，又拒绝清除不合格工程；</w:t>
      </w:r>
    </w:p>
    <w:p w14:paraId="512F0FF5">
      <w:pPr>
        <w:spacing w:line="360" w:lineRule="auto"/>
        <w:ind w:firstLine="420" w:firstLineChars="200"/>
        <w:rPr>
          <w:rFonts w:hint="eastAsia" w:ascii="宋体" w:hAnsi="宋体"/>
          <w:szCs w:val="21"/>
        </w:rPr>
      </w:pPr>
      <w:r>
        <w:rPr>
          <w:rFonts w:hint="eastAsia" w:ascii="宋体" w:hAnsi="宋体"/>
          <w:szCs w:val="21"/>
        </w:rPr>
        <w:t>（4）承包人未能按合同进度计划及时完成合同约定的工作，已造成或预期造成工期延误；</w:t>
      </w:r>
    </w:p>
    <w:p w14:paraId="2FB1BA04">
      <w:pPr>
        <w:spacing w:line="360" w:lineRule="auto"/>
        <w:ind w:firstLine="420" w:firstLineChars="200"/>
        <w:rPr>
          <w:rFonts w:hint="eastAsia" w:ascii="宋体" w:hAnsi="宋体"/>
          <w:szCs w:val="21"/>
        </w:rPr>
      </w:pPr>
      <w:r>
        <w:rPr>
          <w:rFonts w:hint="eastAsia" w:ascii="宋体" w:hAnsi="宋体"/>
          <w:szCs w:val="21"/>
        </w:rPr>
        <w:t>（5）承包人在缺陷责任期内，未能对工程接收证书所列的缺陷清单的内容或缺陷责任期内发生的缺陷进行修复，而又拒绝按监理人指示再进行修补；</w:t>
      </w:r>
    </w:p>
    <w:p w14:paraId="02B181F9">
      <w:pPr>
        <w:spacing w:line="360" w:lineRule="auto"/>
        <w:ind w:firstLine="420" w:firstLineChars="200"/>
        <w:rPr>
          <w:rFonts w:ascii="宋体" w:hAnsi="宋体"/>
          <w:szCs w:val="21"/>
        </w:rPr>
      </w:pPr>
      <w:r>
        <w:rPr>
          <w:rFonts w:hint="eastAsia" w:ascii="宋体" w:hAnsi="宋体"/>
          <w:szCs w:val="21"/>
        </w:rPr>
        <w:t>（6）承包人无法继续履行或明确表示不履行或实质上己停止履行合同；</w:t>
      </w:r>
    </w:p>
    <w:p w14:paraId="55D348F0">
      <w:pPr>
        <w:spacing w:line="360" w:lineRule="auto"/>
        <w:ind w:firstLine="420" w:firstLineChars="200"/>
        <w:rPr>
          <w:rFonts w:hint="eastAsia" w:ascii="宋体" w:hAnsi="宋体"/>
          <w:szCs w:val="21"/>
        </w:rPr>
      </w:pPr>
      <w:r>
        <w:rPr>
          <w:rFonts w:hint="eastAsia" w:ascii="宋体" w:hAnsi="宋体"/>
          <w:szCs w:val="21"/>
        </w:rPr>
        <w:t>（7）承包人不按合同约定履行义务的其他情况。</w:t>
      </w:r>
    </w:p>
    <w:p w14:paraId="7D7524B9">
      <w:pPr>
        <w:spacing w:line="360" w:lineRule="auto"/>
        <w:ind w:firstLine="420" w:firstLineChars="200"/>
        <w:rPr>
          <w:rFonts w:hint="eastAsia" w:ascii="宋体" w:hAnsi="宋体"/>
          <w:szCs w:val="21"/>
        </w:rPr>
      </w:pPr>
      <w:r>
        <w:rPr>
          <w:rFonts w:hint="eastAsia" w:ascii="宋体" w:hAnsi="宋体"/>
          <w:szCs w:val="21"/>
        </w:rPr>
        <w:t>22.1.2 对承包人违约的处理</w:t>
      </w:r>
    </w:p>
    <w:p w14:paraId="1EEB3105">
      <w:pPr>
        <w:spacing w:line="360" w:lineRule="auto"/>
        <w:ind w:firstLine="420" w:firstLineChars="200"/>
        <w:rPr>
          <w:rFonts w:hint="eastAsia" w:ascii="宋体" w:hAnsi="宋体"/>
          <w:szCs w:val="21"/>
        </w:rPr>
      </w:pPr>
      <w:r>
        <w:rPr>
          <w:rFonts w:hint="eastAsia" w:ascii="宋体" w:hAnsi="宋体"/>
          <w:szCs w:val="21"/>
        </w:rPr>
        <w:t>（1）承包人发生第22.1.1（6）目约定的违约情况时，发包人可通知承包人立即解除合同，并按有关法律处理。</w:t>
      </w:r>
    </w:p>
    <w:p w14:paraId="67F1D2B0">
      <w:pPr>
        <w:spacing w:line="360" w:lineRule="auto"/>
        <w:ind w:firstLine="420" w:firstLineChars="200"/>
        <w:rPr>
          <w:rFonts w:hint="eastAsia" w:ascii="宋体" w:hAnsi="宋体"/>
          <w:szCs w:val="21"/>
        </w:rPr>
      </w:pPr>
      <w:r>
        <w:rPr>
          <w:rFonts w:hint="eastAsia" w:ascii="宋体" w:hAnsi="宋体"/>
          <w:szCs w:val="21"/>
        </w:rPr>
        <w:t>（2）承包人发生除第22.1.1（6）目约定以外的其他违约情况时，监理人可向承包人发出整改通知，要求其在指定的期限内改正。承包人应承担其违约所引起的费用增加和（或）工期延误。</w:t>
      </w:r>
    </w:p>
    <w:p w14:paraId="6D3B4573">
      <w:pPr>
        <w:spacing w:line="360" w:lineRule="auto"/>
        <w:ind w:firstLine="420" w:firstLineChars="200"/>
        <w:rPr>
          <w:rFonts w:hint="eastAsia" w:ascii="宋体" w:hAnsi="宋体"/>
          <w:szCs w:val="21"/>
        </w:rPr>
      </w:pPr>
      <w:r>
        <w:rPr>
          <w:rFonts w:hint="eastAsia" w:ascii="宋体" w:hAnsi="宋体"/>
          <w:szCs w:val="21"/>
        </w:rPr>
        <w:t>（3）经检查证明承包人已采取了有效措施纠正违约行为，具备复工条件的，可由监理人签发复工通知复工。</w:t>
      </w:r>
    </w:p>
    <w:p w14:paraId="128C61A0">
      <w:pPr>
        <w:spacing w:line="360" w:lineRule="auto"/>
        <w:ind w:firstLine="420" w:firstLineChars="200"/>
        <w:rPr>
          <w:rFonts w:hint="eastAsia" w:ascii="宋体" w:hAnsi="宋体"/>
          <w:szCs w:val="21"/>
        </w:rPr>
      </w:pPr>
      <w:r>
        <w:rPr>
          <w:rFonts w:hint="eastAsia" w:ascii="宋体" w:hAnsi="宋体"/>
          <w:szCs w:val="21"/>
        </w:rPr>
        <w:t>22.1.3 承包人违约解除合同</w:t>
      </w:r>
    </w:p>
    <w:p w14:paraId="4A63E58E">
      <w:pPr>
        <w:spacing w:line="360" w:lineRule="auto"/>
        <w:ind w:firstLine="420" w:firstLineChars="200"/>
        <w:rPr>
          <w:rFonts w:hint="eastAsia" w:ascii="宋体" w:hAnsi="宋体"/>
          <w:szCs w:val="21"/>
        </w:rPr>
      </w:pPr>
      <w:r>
        <w:rPr>
          <w:rFonts w:hint="eastAsia" w:ascii="宋体" w:hAnsi="宋体"/>
          <w:szCs w:val="21"/>
        </w:rPr>
        <w:t>监理人发出整改通知28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14:paraId="2E9B5B40">
      <w:pPr>
        <w:spacing w:line="360" w:lineRule="auto"/>
        <w:ind w:firstLine="420" w:firstLineChars="200"/>
        <w:rPr>
          <w:rFonts w:hint="eastAsia" w:ascii="宋体" w:hAnsi="宋体"/>
          <w:szCs w:val="21"/>
        </w:rPr>
      </w:pPr>
      <w:r>
        <w:rPr>
          <w:rFonts w:hint="eastAsia" w:ascii="宋体" w:hAnsi="宋体"/>
          <w:szCs w:val="21"/>
        </w:rPr>
        <w:t>22.1.4 合同解除后的估价、付款和结清</w:t>
      </w:r>
    </w:p>
    <w:p w14:paraId="2E08BDFE">
      <w:pPr>
        <w:spacing w:line="360" w:lineRule="auto"/>
        <w:ind w:firstLine="420" w:firstLineChars="200"/>
        <w:rPr>
          <w:rFonts w:hint="eastAsia" w:ascii="宋体" w:hAnsi="宋体"/>
          <w:szCs w:val="21"/>
        </w:rPr>
      </w:pPr>
      <w:r>
        <w:rPr>
          <w:rFonts w:hint="eastAsia" w:ascii="宋体" w:hAnsi="宋体"/>
          <w:szCs w:val="21"/>
        </w:rPr>
        <w:t>（1）合同解除后，监理人按第3.5 款商定或确定承包人实际完成工作的价值，以及承包人己提供的材料、施工设备、工程设备和临时工程等的价值。</w:t>
      </w:r>
    </w:p>
    <w:p w14:paraId="06AAB825">
      <w:pPr>
        <w:spacing w:line="360" w:lineRule="auto"/>
        <w:ind w:firstLine="420" w:firstLineChars="200"/>
        <w:rPr>
          <w:rFonts w:hint="eastAsia" w:ascii="宋体" w:hAnsi="宋体"/>
          <w:szCs w:val="21"/>
        </w:rPr>
      </w:pPr>
      <w:r>
        <w:rPr>
          <w:rFonts w:hint="eastAsia" w:ascii="宋体" w:hAnsi="宋体"/>
          <w:szCs w:val="21"/>
        </w:rPr>
        <w:t>（2）合同解除后，发包人应暂停对承包人的一切付款，查清各项付款和己扣款金额，包括承包人应支付的违约金。</w:t>
      </w:r>
    </w:p>
    <w:p w14:paraId="5E2556B4">
      <w:pPr>
        <w:spacing w:line="360" w:lineRule="auto"/>
        <w:ind w:firstLine="420" w:firstLineChars="200"/>
        <w:rPr>
          <w:rFonts w:hint="eastAsia" w:ascii="宋体" w:hAnsi="宋体"/>
          <w:szCs w:val="21"/>
        </w:rPr>
      </w:pPr>
      <w:r>
        <w:rPr>
          <w:rFonts w:hint="eastAsia" w:ascii="宋体" w:hAnsi="宋体"/>
          <w:szCs w:val="21"/>
        </w:rPr>
        <w:t>（3）合同解除后，发包人应按第23.4 款的约定向承包人索赔由于解除合同给发包人造成的损失。</w:t>
      </w:r>
    </w:p>
    <w:p w14:paraId="1CC58501">
      <w:pPr>
        <w:spacing w:line="360" w:lineRule="auto"/>
        <w:ind w:firstLine="420" w:firstLineChars="200"/>
        <w:rPr>
          <w:rFonts w:hint="eastAsia" w:ascii="宋体" w:hAnsi="宋体"/>
          <w:szCs w:val="21"/>
        </w:rPr>
      </w:pPr>
      <w:r>
        <w:rPr>
          <w:rFonts w:hint="eastAsia" w:ascii="宋体" w:hAnsi="宋体"/>
          <w:szCs w:val="21"/>
        </w:rPr>
        <w:t>（4）合同双方确认上述往来款项后，出具最终结清付款证书，结清全部合同款项。</w:t>
      </w:r>
    </w:p>
    <w:p w14:paraId="60C0B739">
      <w:pPr>
        <w:spacing w:line="360" w:lineRule="auto"/>
        <w:ind w:firstLine="420" w:firstLineChars="200"/>
        <w:rPr>
          <w:rFonts w:hint="eastAsia" w:ascii="宋体" w:hAnsi="宋体"/>
          <w:szCs w:val="21"/>
        </w:rPr>
      </w:pPr>
      <w:r>
        <w:rPr>
          <w:rFonts w:hint="eastAsia" w:ascii="宋体" w:hAnsi="宋体"/>
          <w:szCs w:val="21"/>
        </w:rPr>
        <w:t>（5）发包人和承包人未能就解除合同后的结清达成一致而形成争议的，按第24条的约定办理。</w:t>
      </w:r>
    </w:p>
    <w:p w14:paraId="27C2B462">
      <w:pPr>
        <w:spacing w:line="360" w:lineRule="auto"/>
        <w:ind w:firstLine="420" w:firstLineChars="200"/>
        <w:rPr>
          <w:rFonts w:hint="eastAsia" w:ascii="宋体" w:hAnsi="宋体"/>
          <w:szCs w:val="21"/>
        </w:rPr>
      </w:pPr>
      <w:r>
        <w:rPr>
          <w:rFonts w:hint="eastAsia" w:ascii="宋体" w:hAnsi="宋体"/>
          <w:szCs w:val="21"/>
        </w:rPr>
        <w:t>22.1.5 协议利益的转让</w:t>
      </w:r>
    </w:p>
    <w:p w14:paraId="6CEFDB70">
      <w:pPr>
        <w:spacing w:line="360" w:lineRule="auto"/>
        <w:ind w:firstLine="420" w:firstLineChars="200"/>
        <w:rPr>
          <w:rFonts w:hint="eastAsia" w:ascii="宋体" w:hAnsi="宋体"/>
          <w:szCs w:val="21"/>
        </w:rPr>
      </w:pPr>
      <w:r>
        <w:rPr>
          <w:rFonts w:hint="eastAsia" w:ascii="宋体" w:hAnsi="宋体"/>
          <w:szCs w:val="21"/>
        </w:rPr>
        <w:t>因承包人违约解除合同的，发包人有权要求承包人将其为实施合同而签订的材料和设备的订货协议或任何服务协议利益转让给发包人，并在解除合同后的14天内，依法办理转让手续。</w:t>
      </w:r>
    </w:p>
    <w:p w14:paraId="2413A69B">
      <w:pPr>
        <w:spacing w:line="360" w:lineRule="auto"/>
        <w:ind w:firstLine="420" w:firstLineChars="200"/>
        <w:rPr>
          <w:rFonts w:hint="eastAsia" w:ascii="宋体" w:hAnsi="宋体"/>
          <w:szCs w:val="21"/>
        </w:rPr>
      </w:pPr>
      <w:r>
        <w:rPr>
          <w:rFonts w:hint="eastAsia" w:ascii="宋体" w:hAnsi="宋体"/>
          <w:szCs w:val="21"/>
        </w:rPr>
        <w:t>22.1.6 紧急情况下无能力或不愿进行抢救</w:t>
      </w:r>
    </w:p>
    <w:p w14:paraId="6892BA64">
      <w:pPr>
        <w:spacing w:line="360" w:lineRule="auto"/>
        <w:ind w:firstLine="420" w:firstLineChars="200"/>
        <w:rPr>
          <w:rFonts w:ascii="宋体" w:hAnsi="宋体"/>
          <w:szCs w:val="21"/>
        </w:rPr>
      </w:pPr>
      <w:r>
        <w:rPr>
          <w:rFonts w:hint="eastAsia" w:ascii="宋体" w:hAnsi="宋体"/>
          <w:szCs w:val="21"/>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14:paraId="2C31564B">
      <w:pPr>
        <w:pStyle w:val="6"/>
        <w:spacing w:before="0" w:beforeAutospacing="0" w:after="0" w:afterAutospacing="0" w:line="360" w:lineRule="auto"/>
        <w:rPr>
          <w:rFonts w:hint="eastAsia"/>
        </w:rPr>
      </w:pPr>
      <w:r>
        <w:rPr>
          <w:rFonts w:hint="eastAsia"/>
        </w:rPr>
        <w:t>22.2 发包人违约</w:t>
      </w:r>
    </w:p>
    <w:p w14:paraId="4B090BBA">
      <w:pPr>
        <w:spacing w:line="360" w:lineRule="auto"/>
        <w:ind w:firstLine="420" w:firstLineChars="200"/>
        <w:rPr>
          <w:rFonts w:hint="eastAsia" w:ascii="宋体" w:hAnsi="宋体"/>
          <w:szCs w:val="21"/>
        </w:rPr>
      </w:pPr>
      <w:r>
        <w:rPr>
          <w:rFonts w:hint="eastAsia" w:ascii="宋体" w:hAnsi="宋体"/>
          <w:szCs w:val="21"/>
        </w:rPr>
        <w:t>22.2.1 发包人违约的情形</w:t>
      </w:r>
    </w:p>
    <w:p w14:paraId="50604EBD">
      <w:pPr>
        <w:spacing w:line="360" w:lineRule="auto"/>
        <w:ind w:firstLine="420" w:firstLineChars="200"/>
        <w:rPr>
          <w:rFonts w:hint="eastAsia" w:ascii="宋体" w:hAnsi="宋体"/>
          <w:szCs w:val="21"/>
        </w:rPr>
      </w:pPr>
      <w:r>
        <w:rPr>
          <w:rFonts w:hint="eastAsia" w:ascii="宋体" w:hAnsi="宋体"/>
          <w:szCs w:val="21"/>
        </w:rPr>
        <w:t>在履行合同过程中发生的下列情形，属发包人违约：</w:t>
      </w:r>
    </w:p>
    <w:p w14:paraId="25DF2BAF">
      <w:pPr>
        <w:spacing w:line="360" w:lineRule="auto"/>
        <w:ind w:firstLine="420" w:firstLineChars="200"/>
        <w:rPr>
          <w:rFonts w:hint="eastAsia" w:ascii="宋体" w:hAnsi="宋体"/>
          <w:szCs w:val="21"/>
        </w:rPr>
      </w:pPr>
      <w:r>
        <w:rPr>
          <w:rFonts w:hint="eastAsia" w:ascii="宋体" w:hAnsi="宋体"/>
          <w:szCs w:val="21"/>
        </w:rPr>
        <w:t>（l）发包人未能按合同约定支付预付款或合同价款，或拖延、拒绝批准付款申请和支付凭证，导致付款延误的；</w:t>
      </w:r>
    </w:p>
    <w:p w14:paraId="669D26A5">
      <w:pPr>
        <w:spacing w:line="360" w:lineRule="auto"/>
        <w:ind w:firstLine="420" w:firstLineChars="200"/>
        <w:rPr>
          <w:rFonts w:hint="eastAsia" w:ascii="宋体" w:hAnsi="宋体"/>
          <w:szCs w:val="21"/>
        </w:rPr>
      </w:pPr>
      <w:r>
        <w:rPr>
          <w:rFonts w:hint="eastAsia" w:ascii="宋体" w:hAnsi="宋体"/>
          <w:szCs w:val="21"/>
        </w:rPr>
        <w:t>（2）发包人原因造成停工的；</w:t>
      </w:r>
    </w:p>
    <w:p w14:paraId="7181B955">
      <w:pPr>
        <w:spacing w:line="360" w:lineRule="auto"/>
        <w:ind w:firstLine="420" w:firstLineChars="200"/>
        <w:rPr>
          <w:rFonts w:hint="eastAsia" w:ascii="宋体" w:hAnsi="宋体"/>
          <w:szCs w:val="21"/>
        </w:rPr>
      </w:pPr>
      <w:r>
        <w:rPr>
          <w:rFonts w:hint="eastAsia" w:ascii="宋体" w:hAnsi="宋体"/>
          <w:szCs w:val="21"/>
        </w:rPr>
        <w:t>（3）监理人无正当理由没有在约定期限内发出复工指示，导致承包人无法复工的；</w:t>
      </w:r>
    </w:p>
    <w:p w14:paraId="3EF954E7">
      <w:pPr>
        <w:spacing w:line="360" w:lineRule="auto"/>
        <w:ind w:firstLine="420" w:firstLineChars="200"/>
        <w:rPr>
          <w:rFonts w:hint="eastAsia" w:ascii="宋体" w:hAnsi="宋体"/>
          <w:szCs w:val="21"/>
        </w:rPr>
      </w:pPr>
      <w:r>
        <w:rPr>
          <w:rFonts w:hint="eastAsia" w:ascii="宋体" w:hAnsi="宋体"/>
          <w:szCs w:val="21"/>
        </w:rPr>
        <w:t>（4）发包人无法继续履行或明确表示不履行或实质上已停止履行合同的；</w:t>
      </w:r>
    </w:p>
    <w:p w14:paraId="569387B5">
      <w:pPr>
        <w:spacing w:line="360" w:lineRule="auto"/>
        <w:ind w:firstLine="420" w:firstLineChars="200"/>
        <w:rPr>
          <w:rFonts w:hint="eastAsia" w:ascii="宋体" w:hAnsi="宋体"/>
          <w:szCs w:val="21"/>
        </w:rPr>
      </w:pPr>
      <w:r>
        <w:rPr>
          <w:rFonts w:hint="eastAsia" w:ascii="宋体" w:hAnsi="宋体"/>
          <w:szCs w:val="21"/>
        </w:rPr>
        <w:t>（5）发包人不履行合同约定其他义务的。</w:t>
      </w:r>
    </w:p>
    <w:p w14:paraId="7B462FAD">
      <w:pPr>
        <w:spacing w:line="360" w:lineRule="auto"/>
        <w:ind w:firstLine="420" w:firstLineChars="200"/>
        <w:rPr>
          <w:rFonts w:hint="eastAsia" w:ascii="宋体" w:hAnsi="宋体"/>
          <w:szCs w:val="21"/>
        </w:rPr>
      </w:pPr>
      <w:r>
        <w:rPr>
          <w:rFonts w:hint="eastAsia" w:ascii="宋体" w:hAnsi="宋体"/>
          <w:szCs w:val="21"/>
        </w:rPr>
        <w:t>22.2.2 承包人有权暂停施工</w:t>
      </w:r>
    </w:p>
    <w:p w14:paraId="5986110A">
      <w:pPr>
        <w:spacing w:line="360" w:lineRule="auto"/>
        <w:ind w:firstLine="420" w:firstLineChars="200"/>
        <w:rPr>
          <w:rFonts w:hint="eastAsia" w:ascii="宋体" w:hAnsi="宋体"/>
          <w:szCs w:val="21"/>
        </w:rPr>
      </w:pPr>
      <w:r>
        <w:rPr>
          <w:rFonts w:hint="eastAsia" w:ascii="宋体" w:hAnsi="宋体"/>
          <w:szCs w:val="21"/>
        </w:rPr>
        <w:t>发包人发生除第22.2.1（4）目以外的违约情况时，承包人可向发包人发出通知，要求发包人采取有效措施纠正违约行为。发包人收到承包人通知后的28天内仍不履行合同义务，承包人有权暂停施工，并通知监理人，发包人应承担由此增加的费用和（或）工期延误，并支付承包人合理利润。</w:t>
      </w:r>
    </w:p>
    <w:p w14:paraId="10787156">
      <w:pPr>
        <w:spacing w:line="360" w:lineRule="auto"/>
        <w:ind w:firstLine="420" w:firstLineChars="200"/>
        <w:rPr>
          <w:rFonts w:hint="eastAsia" w:ascii="宋体" w:hAnsi="宋体"/>
          <w:szCs w:val="21"/>
        </w:rPr>
      </w:pPr>
      <w:r>
        <w:rPr>
          <w:rFonts w:hint="eastAsia" w:ascii="宋体" w:hAnsi="宋体"/>
          <w:szCs w:val="21"/>
        </w:rPr>
        <w:t>22.2.3 发包人违约解除合同</w:t>
      </w:r>
    </w:p>
    <w:p w14:paraId="2F8BB5ED">
      <w:pPr>
        <w:spacing w:line="360" w:lineRule="auto"/>
        <w:ind w:firstLine="420" w:firstLineChars="200"/>
        <w:rPr>
          <w:rFonts w:hint="eastAsia" w:ascii="宋体" w:hAnsi="宋体"/>
          <w:szCs w:val="21"/>
        </w:rPr>
      </w:pPr>
      <w:r>
        <w:rPr>
          <w:rFonts w:hint="eastAsia" w:ascii="宋体" w:hAnsi="宋体"/>
          <w:szCs w:val="21"/>
        </w:rPr>
        <w:t>（1）发生第22.2.1（4）目的违约情况时，承包人可书面通知发包人解除合同。</w:t>
      </w:r>
    </w:p>
    <w:p w14:paraId="08DBCE5A">
      <w:pPr>
        <w:spacing w:line="360" w:lineRule="auto"/>
        <w:ind w:firstLine="420" w:firstLineChars="200"/>
        <w:rPr>
          <w:rFonts w:hint="eastAsia" w:ascii="宋体" w:hAnsi="宋体"/>
          <w:szCs w:val="21"/>
        </w:rPr>
      </w:pPr>
      <w:r>
        <w:rPr>
          <w:rFonts w:hint="eastAsia" w:ascii="宋体" w:hAnsi="宋体"/>
          <w:szCs w:val="21"/>
        </w:rPr>
        <w:t>（2）承包人按22.2.2 项暂停施工28天后，发包人仍不纠正违约行为的，承包人可向发包人发出解除合同通知。但承包人的这一行动不免除发包人承担的违约责任，也不影响承包人根据合同约定享有的索赔权利。</w:t>
      </w:r>
    </w:p>
    <w:p w14:paraId="40FB7D27">
      <w:pPr>
        <w:spacing w:line="360" w:lineRule="auto"/>
        <w:ind w:firstLine="420" w:firstLineChars="200"/>
        <w:rPr>
          <w:rFonts w:hint="eastAsia" w:ascii="宋体" w:hAnsi="宋体"/>
          <w:szCs w:val="21"/>
        </w:rPr>
      </w:pPr>
      <w:r>
        <w:rPr>
          <w:rFonts w:hint="eastAsia" w:ascii="宋体" w:hAnsi="宋体"/>
          <w:szCs w:val="21"/>
        </w:rPr>
        <w:t>22.2.4 解除合同后的付款</w:t>
      </w:r>
    </w:p>
    <w:p w14:paraId="017576A5">
      <w:pPr>
        <w:spacing w:line="360" w:lineRule="auto"/>
        <w:ind w:firstLine="420" w:firstLineChars="200"/>
        <w:rPr>
          <w:rFonts w:hint="eastAsia" w:ascii="宋体" w:hAnsi="宋体"/>
          <w:szCs w:val="21"/>
        </w:rPr>
      </w:pPr>
      <w:r>
        <w:rPr>
          <w:rFonts w:hint="eastAsia" w:ascii="宋体" w:hAnsi="宋体"/>
          <w:szCs w:val="21"/>
        </w:rPr>
        <w:t>因发包人违约解除合同的，发包人应在解除合同后28天内向承包人支付下列金额，承包人应在此期限内及时向发包人提交要求支付下列金额的有关资料和凭证：</w:t>
      </w:r>
    </w:p>
    <w:p w14:paraId="18A10F62">
      <w:pPr>
        <w:spacing w:line="360" w:lineRule="auto"/>
        <w:ind w:firstLine="420" w:firstLineChars="200"/>
        <w:rPr>
          <w:rFonts w:hint="eastAsia" w:ascii="宋体" w:hAnsi="宋体"/>
          <w:szCs w:val="21"/>
        </w:rPr>
      </w:pPr>
      <w:r>
        <w:rPr>
          <w:rFonts w:hint="eastAsia" w:ascii="宋体" w:hAnsi="宋体"/>
          <w:szCs w:val="21"/>
        </w:rPr>
        <w:t>（l）合同解除日以前所完成工作的价款；</w:t>
      </w:r>
    </w:p>
    <w:p w14:paraId="7779B092">
      <w:pPr>
        <w:spacing w:line="360" w:lineRule="auto"/>
        <w:ind w:firstLine="420" w:firstLineChars="200"/>
        <w:rPr>
          <w:rFonts w:hint="eastAsia" w:ascii="宋体" w:hAnsi="宋体"/>
          <w:szCs w:val="21"/>
        </w:rPr>
      </w:pPr>
      <w:r>
        <w:rPr>
          <w:rFonts w:hint="eastAsia" w:ascii="宋体" w:hAnsi="宋体"/>
          <w:szCs w:val="21"/>
        </w:rPr>
        <w:t>（2）承包人为该工程施工订购并己付款的材料、工程设备和其他物品的金额。发包人付还后，该材料、工程设备和其他物品归发包人所有；</w:t>
      </w:r>
    </w:p>
    <w:p w14:paraId="325DA705">
      <w:pPr>
        <w:spacing w:line="360" w:lineRule="auto"/>
        <w:ind w:firstLine="420" w:firstLineChars="200"/>
        <w:rPr>
          <w:rFonts w:hint="eastAsia" w:ascii="宋体" w:hAnsi="宋体"/>
          <w:szCs w:val="21"/>
        </w:rPr>
      </w:pPr>
      <w:r>
        <w:rPr>
          <w:rFonts w:hint="eastAsia" w:ascii="宋体" w:hAnsi="宋体"/>
          <w:szCs w:val="21"/>
        </w:rPr>
        <w:t>（3）承包人为完成工程所发生的，而发包人未支付的金额；</w:t>
      </w:r>
    </w:p>
    <w:p w14:paraId="5A87AA26">
      <w:pPr>
        <w:spacing w:line="360" w:lineRule="auto"/>
        <w:ind w:firstLine="420" w:firstLineChars="200"/>
        <w:rPr>
          <w:rFonts w:hint="eastAsia" w:ascii="宋体" w:hAnsi="宋体"/>
          <w:szCs w:val="21"/>
        </w:rPr>
      </w:pPr>
      <w:r>
        <w:rPr>
          <w:rFonts w:hint="eastAsia" w:ascii="宋体" w:hAnsi="宋体"/>
          <w:szCs w:val="21"/>
        </w:rPr>
        <w:t>（4）承包人撤离施工场地以及遣散承包人人员的金额；</w:t>
      </w:r>
    </w:p>
    <w:p w14:paraId="6D653861">
      <w:pPr>
        <w:spacing w:line="360" w:lineRule="auto"/>
        <w:ind w:firstLine="420" w:firstLineChars="200"/>
        <w:rPr>
          <w:rFonts w:hint="eastAsia" w:ascii="宋体" w:hAnsi="宋体"/>
          <w:szCs w:val="21"/>
        </w:rPr>
      </w:pPr>
      <w:r>
        <w:rPr>
          <w:rFonts w:hint="eastAsia" w:ascii="宋体" w:hAnsi="宋体"/>
          <w:szCs w:val="21"/>
        </w:rPr>
        <w:t>（5）由于解除合同应赔偿的承包人损失；</w:t>
      </w:r>
    </w:p>
    <w:p w14:paraId="409DDEE0">
      <w:pPr>
        <w:spacing w:line="360" w:lineRule="auto"/>
        <w:ind w:firstLine="420" w:firstLineChars="200"/>
        <w:rPr>
          <w:rFonts w:hint="eastAsia" w:ascii="宋体" w:hAnsi="宋体"/>
          <w:szCs w:val="21"/>
        </w:rPr>
      </w:pPr>
      <w:r>
        <w:rPr>
          <w:rFonts w:hint="eastAsia" w:ascii="宋体" w:hAnsi="宋体"/>
          <w:szCs w:val="21"/>
        </w:rPr>
        <w:t>（6）按合同约定在合同解除日前应支付给承包人的其他金额。</w:t>
      </w:r>
    </w:p>
    <w:p w14:paraId="160160FC">
      <w:pPr>
        <w:spacing w:line="360" w:lineRule="auto"/>
        <w:ind w:firstLine="420" w:firstLineChars="200"/>
        <w:rPr>
          <w:rFonts w:hint="eastAsia" w:ascii="宋体" w:hAnsi="宋体"/>
          <w:szCs w:val="21"/>
        </w:rPr>
      </w:pPr>
      <w:r>
        <w:rPr>
          <w:rFonts w:hint="eastAsia" w:ascii="宋体" w:hAnsi="宋体"/>
          <w:szCs w:val="21"/>
        </w:rPr>
        <w:t>发包人应按本项约定支付上述金额并退还质量保证金和履约保证金，但有权要求承包人支付应偿还给发包人的各项金额。</w:t>
      </w:r>
    </w:p>
    <w:p w14:paraId="1FFD84CA">
      <w:pPr>
        <w:spacing w:line="360" w:lineRule="auto"/>
        <w:ind w:firstLine="420" w:firstLineChars="200"/>
        <w:rPr>
          <w:rFonts w:hint="eastAsia" w:ascii="宋体" w:hAnsi="宋体"/>
          <w:szCs w:val="21"/>
        </w:rPr>
      </w:pPr>
      <w:r>
        <w:rPr>
          <w:rFonts w:hint="eastAsia" w:ascii="宋体" w:hAnsi="宋体"/>
          <w:szCs w:val="21"/>
        </w:rPr>
        <w:t>22.2.5 解除合同后的承包人撤离</w:t>
      </w:r>
    </w:p>
    <w:p w14:paraId="2BF6C98B">
      <w:pPr>
        <w:spacing w:line="360" w:lineRule="auto"/>
        <w:ind w:firstLine="420" w:firstLineChars="200"/>
        <w:rPr>
          <w:rFonts w:hint="eastAsia" w:ascii="宋体" w:hAnsi="宋体"/>
          <w:szCs w:val="21"/>
        </w:rPr>
      </w:pPr>
      <w:r>
        <w:rPr>
          <w:rFonts w:hint="eastAsia" w:ascii="宋体" w:hAnsi="宋体"/>
          <w:szCs w:val="21"/>
        </w:rPr>
        <w:t>因发包人违约而解除合同后，承包人应妥善做好已竣工工程和己购材料、设备的保护和移交工作，按发包人要求将承包人设备和人员撤出施工场地。承包人撤出施工场地应遵守第18.7.1 项的约定，发包人应为承包人撤出提供必要条件。</w:t>
      </w:r>
    </w:p>
    <w:p w14:paraId="1918E142">
      <w:pPr>
        <w:pStyle w:val="6"/>
        <w:spacing w:before="0" w:beforeAutospacing="0" w:after="0" w:afterAutospacing="0" w:line="360" w:lineRule="auto"/>
        <w:rPr>
          <w:rFonts w:hint="eastAsia"/>
        </w:rPr>
      </w:pPr>
      <w:r>
        <w:rPr>
          <w:rFonts w:hint="eastAsia"/>
        </w:rPr>
        <w:t>22.3 第三人造成的违约</w:t>
      </w:r>
    </w:p>
    <w:p w14:paraId="79C9E249">
      <w:pPr>
        <w:spacing w:line="360" w:lineRule="auto"/>
        <w:ind w:firstLine="420" w:firstLineChars="200"/>
        <w:rPr>
          <w:rFonts w:hint="eastAsia" w:ascii="宋体" w:hAnsi="宋体"/>
          <w:szCs w:val="21"/>
        </w:rPr>
      </w:pPr>
      <w:r>
        <w:rPr>
          <w:rFonts w:hint="eastAsia" w:ascii="宋体" w:hAnsi="宋体"/>
          <w:szCs w:val="21"/>
        </w:rPr>
        <w:t>在履行合同过程中，一方当事人因第三人的原因造成违约的，应当向对方当事人承担违约责任。一方当事人和第三人之间的纠纷，依照法律规定或者按照约定解决。</w:t>
      </w:r>
    </w:p>
    <w:p w14:paraId="308191BE">
      <w:pPr>
        <w:pStyle w:val="5"/>
        <w:spacing w:before="0" w:after="0" w:line="360" w:lineRule="auto"/>
        <w:rPr>
          <w:rFonts w:hint="eastAsia" w:ascii="宋体" w:hAnsi="宋体"/>
        </w:rPr>
      </w:pPr>
      <w:bookmarkStart w:id="563" w:name="_Toc16580"/>
      <w:bookmarkStart w:id="564" w:name="_Toc184635120"/>
      <w:bookmarkStart w:id="565" w:name="_Toc16615"/>
      <w:bookmarkStart w:id="566" w:name="_Toc5465"/>
      <w:bookmarkStart w:id="567" w:name="_Toc57795962"/>
      <w:r>
        <w:rPr>
          <w:rFonts w:hint="eastAsia" w:ascii="宋体" w:hAnsi="宋体"/>
        </w:rPr>
        <w:t>23、索赔</w:t>
      </w:r>
      <w:bookmarkEnd w:id="563"/>
      <w:bookmarkEnd w:id="564"/>
      <w:bookmarkEnd w:id="565"/>
      <w:bookmarkEnd w:id="566"/>
      <w:bookmarkEnd w:id="567"/>
    </w:p>
    <w:p w14:paraId="0713EC10">
      <w:pPr>
        <w:pStyle w:val="6"/>
        <w:spacing w:before="0" w:beforeAutospacing="0" w:after="0" w:afterAutospacing="0" w:line="360" w:lineRule="auto"/>
        <w:rPr>
          <w:rFonts w:hint="eastAsia"/>
        </w:rPr>
      </w:pPr>
      <w:r>
        <w:rPr>
          <w:rFonts w:hint="eastAsia"/>
        </w:rPr>
        <w:t>23.1 承包人索赔的提出</w:t>
      </w:r>
    </w:p>
    <w:p w14:paraId="111669A9">
      <w:pPr>
        <w:spacing w:line="360" w:lineRule="auto"/>
        <w:ind w:firstLine="420" w:firstLineChars="200"/>
        <w:rPr>
          <w:rFonts w:hint="eastAsia" w:ascii="宋体" w:hAnsi="宋体"/>
          <w:szCs w:val="21"/>
        </w:rPr>
      </w:pPr>
      <w:r>
        <w:rPr>
          <w:rFonts w:hint="eastAsia" w:ascii="宋体" w:hAnsi="宋体"/>
          <w:szCs w:val="21"/>
        </w:rPr>
        <w:t>根据合同约定，承包人认为有权得到追加付款和（或）延长工期的，应按以下程序向发包人提出索赔：</w:t>
      </w:r>
    </w:p>
    <w:p w14:paraId="7722EFF9">
      <w:pPr>
        <w:spacing w:line="360" w:lineRule="auto"/>
        <w:ind w:firstLine="420" w:firstLineChars="200"/>
        <w:rPr>
          <w:rFonts w:hint="eastAsia" w:ascii="宋体" w:hAnsi="宋体"/>
          <w:szCs w:val="21"/>
        </w:rPr>
      </w:pPr>
      <w:r>
        <w:rPr>
          <w:rFonts w:hint="eastAsia" w:ascii="宋体" w:hAnsi="宋体"/>
          <w:szCs w:val="21"/>
        </w:rPr>
        <w:t>（l）承包人应在知道或应当知道索赔事件发生后28 天内，向监理人递交索赔意向通知书，并说明发生索赔事件的事由。承包人未在前述28天内发出索赔意向通知书的，丧失要求追加付款和（或）延长工期的权利：</w:t>
      </w:r>
    </w:p>
    <w:p w14:paraId="4D79BA9E">
      <w:pPr>
        <w:spacing w:line="360" w:lineRule="auto"/>
        <w:ind w:firstLine="420" w:firstLineChars="200"/>
        <w:rPr>
          <w:rFonts w:hint="eastAsia" w:ascii="宋体" w:hAnsi="宋体"/>
          <w:szCs w:val="21"/>
        </w:rPr>
      </w:pPr>
      <w:r>
        <w:rPr>
          <w:rFonts w:hint="eastAsia" w:ascii="宋体" w:hAnsi="宋体"/>
          <w:szCs w:val="21"/>
        </w:rPr>
        <w:t>（2）承包人应在发出索赔意向通知书后28天内，向监理人正式递交索赔通知书。索赔通知书应详细说明索赔理由以及要求追加的付款金额和（或）延长的工期，并附必要的记录和证明材料；</w:t>
      </w:r>
    </w:p>
    <w:p w14:paraId="5B37EAFE">
      <w:pPr>
        <w:spacing w:line="360" w:lineRule="auto"/>
        <w:ind w:firstLine="420" w:firstLineChars="200"/>
        <w:rPr>
          <w:rFonts w:hint="eastAsia" w:ascii="宋体" w:hAnsi="宋体"/>
          <w:szCs w:val="21"/>
        </w:rPr>
      </w:pPr>
      <w:r>
        <w:rPr>
          <w:rFonts w:hint="eastAsia" w:ascii="宋体" w:hAnsi="宋体"/>
          <w:szCs w:val="21"/>
        </w:rPr>
        <w:t>（3）索赔事件具有连续影响的，承包人应按合理时间间隔继续递交延续索赔通知，说明连续影响的实际情况和记录，列出累计的追加付款金额和（或）工期延长天数；</w:t>
      </w:r>
    </w:p>
    <w:p w14:paraId="0E6A1814">
      <w:pPr>
        <w:spacing w:line="360" w:lineRule="auto"/>
        <w:ind w:firstLine="420" w:firstLineChars="200"/>
        <w:rPr>
          <w:rFonts w:hint="eastAsia" w:ascii="宋体" w:hAnsi="宋体"/>
          <w:szCs w:val="21"/>
        </w:rPr>
      </w:pPr>
      <w:r>
        <w:rPr>
          <w:rFonts w:hint="eastAsia" w:ascii="宋体" w:hAnsi="宋体"/>
          <w:szCs w:val="21"/>
        </w:rPr>
        <w:t>（4）在索赔事件影响结束后的28 天内，承包人应向监理人递交最终索赔通知书，说明最终要求索赔的追加付款金额和延长的工期，并附必要的记录和证明材料。</w:t>
      </w:r>
    </w:p>
    <w:p w14:paraId="73BDB47C">
      <w:pPr>
        <w:pStyle w:val="6"/>
        <w:spacing w:before="0" w:beforeAutospacing="0" w:after="0" w:afterAutospacing="0" w:line="360" w:lineRule="auto"/>
        <w:rPr>
          <w:rFonts w:hint="eastAsia"/>
        </w:rPr>
      </w:pPr>
      <w:r>
        <w:rPr>
          <w:rFonts w:hint="eastAsia"/>
        </w:rPr>
        <w:t>23.2 承包人索赔处理程序</w:t>
      </w:r>
    </w:p>
    <w:p w14:paraId="423AB0B1">
      <w:pPr>
        <w:spacing w:line="360" w:lineRule="auto"/>
        <w:ind w:firstLine="420" w:firstLineChars="200"/>
        <w:rPr>
          <w:rFonts w:hint="eastAsia" w:ascii="宋体" w:hAnsi="宋体"/>
          <w:szCs w:val="21"/>
        </w:rPr>
      </w:pPr>
      <w:r>
        <w:rPr>
          <w:rFonts w:hint="eastAsia" w:ascii="宋体" w:hAnsi="宋体"/>
          <w:szCs w:val="21"/>
        </w:rPr>
        <w:t>（1）监理人收到承包人提交的索赔通知书后，应及时审查索赔通知书的内容、杳验承包人的记录和证明材料，必要时监理人可要求承包人提交全部原始记录副本。</w:t>
      </w:r>
    </w:p>
    <w:p w14:paraId="4AF7ABF4">
      <w:pPr>
        <w:spacing w:line="360" w:lineRule="auto"/>
        <w:ind w:firstLine="420" w:firstLineChars="200"/>
        <w:rPr>
          <w:rFonts w:hint="eastAsia" w:ascii="宋体" w:hAnsi="宋体"/>
          <w:szCs w:val="21"/>
        </w:rPr>
      </w:pPr>
      <w:r>
        <w:rPr>
          <w:rFonts w:hint="eastAsia" w:ascii="宋体" w:hAnsi="宋体"/>
          <w:szCs w:val="21"/>
        </w:rPr>
        <w:t>（2）监理人应按第3.5 款商定或确定追加的付款和（或）延长的工期，并在收到上述索赔通知书或有关索赔的进一步证明材料后的42天内，将索赔处理结果答复承包人。</w:t>
      </w:r>
    </w:p>
    <w:p w14:paraId="63F05993">
      <w:pPr>
        <w:spacing w:line="360" w:lineRule="auto"/>
        <w:ind w:firstLine="420" w:firstLineChars="200"/>
        <w:rPr>
          <w:rFonts w:hint="eastAsia" w:ascii="宋体" w:hAnsi="宋体"/>
          <w:szCs w:val="21"/>
        </w:rPr>
      </w:pPr>
      <w:r>
        <w:rPr>
          <w:rFonts w:hint="eastAsia" w:ascii="宋体" w:hAnsi="宋体"/>
          <w:szCs w:val="21"/>
        </w:rPr>
        <w:t>（3）承包人接受索赔处理结果的，发包人应在作出索赔处理结果答复后28 天内完成赔付。承包人不接受索赔处理结果的，按第24条的约定办理。</w:t>
      </w:r>
    </w:p>
    <w:p w14:paraId="6BB2874D">
      <w:pPr>
        <w:pStyle w:val="6"/>
        <w:spacing w:before="0" w:beforeAutospacing="0" w:after="0" w:afterAutospacing="0" w:line="360" w:lineRule="auto"/>
        <w:rPr>
          <w:rFonts w:hint="eastAsia"/>
        </w:rPr>
      </w:pPr>
      <w:r>
        <w:rPr>
          <w:rFonts w:hint="eastAsia"/>
        </w:rPr>
        <w:t>23.3 承包人提出索赔的期限</w:t>
      </w:r>
    </w:p>
    <w:p w14:paraId="6D91768E">
      <w:pPr>
        <w:spacing w:line="360" w:lineRule="auto"/>
        <w:ind w:firstLine="420" w:firstLineChars="200"/>
        <w:rPr>
          <w:rFonts w:hint="eastAsia" w:ascii="宋体" w:hAnsi="宋体"/>
          <w:szCs w:val="21"/>
        </w:rPr>
      </w:pPr>
      <w:r>
        <w:rPr>
          <w:rFonts w:hint="eastAsia" w:ascii="宋体" w:hAnsi="宋体"/>
          <w:szCs w:val="21"/>
        </w:rPr>
        <w:t>23.3.1 承包人按第17.5 款的约定接受了竣工付款证书后，应被认为己无权再提出在合同工程接收证书颁发前所发生的任何索赔。</w:t>
      </w:r>
    </w:p>
    <w:p w14:paraId="74D09CB7">
      <w:pPr>
        <w:spacing w:line="360" w:lineRule="auto"/>
        <w:ind w:firstLine="420" w:firstLineChars="200"/>
        <w:rPr>
          <w:rFonts w:hint="eastAsia" w:ascii="宋体" w:hAnsi="宋体"/>
          <w:szCs w:val="21"/>
        </w:rPr>
      </w:pPr>
      <w:r>
        <w:rPr>
          <w:rFonts w:hint="eastAsia" w:ascii="宋体" w:hAnsi="宋体"/>
          <w:szCs w:val="21"/>
        </w:rPr>
        <w:t>23.3.2 承包人按第17.6 款的约定提交的最终结清申请单中，只限于提出工程接收证书颁发后发生的索赔。提出索赔的期限自接受最终结清证书时终止。</w:t>
      </w:r>
    </w:p>
    <w:p w14:paraId="0F698DB6">
      <w:pPr>
        <w:pStyle w:val="6"/>
        <w:spacing w:before="0" w:beforeAutospacing="0" w:after="0" w:afterAutospacing="0" w:line="360" w:lineRule="auto"/>
        <w:rPr>
          <w:rFonts w:hint="eastAsia"/>
        </w:rPr>
      </w:pPr>
      <w:r>
        <w:rPr>
          <w:rFonts w:hint="eastAsia"/>
        </w:rPr>
        <w:t>23.4 发包人的索赔</w:t>
      </w:r>
    </w:p>
    <w:p w14:paraId="0C79DE63">
      <w:pPr>
        <w:spacing w:line="360" w:lineRule="auto"/>
        <w:ind w:firstLine="420" w:firstLineChars="200"/>
        <w:rPr>
          <w:rFonts w:ascii="宋体" w:hAnsi="宋体"/>
          <w:szCs w:val="21"/>
        </w:rPr>
      </w:pPr>
      <w:r>
        <w:rPr>
          <w:rFonts w:hint="eastAsia" w:ascii="宋体" w:hAnsi="宋体"/>
          <w:szCs w:val="21"/>
        </w:rPr>
        <w:t>23.4.1 发生索赔事件后，监理人应及时书面通知承包人，详细说明发包人有权得到的索赔金额和（或）延长缺陷责任期的细节和依据。发包人提出索赔的期限和要求与第23.3 款的约定相同，延长缺陷责任期的通知应在缺陷责任期届满前发出。</w:t>
      </w:r>
    </w:p>
    <w:p w14:paraId="6C2354E3">
      <w:pPr>
        <w:spacing w:line="360" w:lineRule="auto"/>
        <w:ind w:firstLine="420" w:firstLineChars="200"/>
        <w:rPr>
          <w:rFonts w:hint="eastAsia" w:ascii="宋体" w:hAnsi="宋体"/>
          <w:szCs w:val="21"/>
        </w:rPr>
      </w:pPr>
      <w:r>
        <w:rPr>
          <w:rFonts w:hint="eastAsia" w:ascii="宋体" w:hAnsi="宋体"/>
          <w:szCs w:val="21"/>
        </w:rPr>
        <w:t>23.4.2 监理人按第3.5 款商定或确定发包人从承包人处得到赔付的金额和（或）缺陷责任期的延长期。承包人应付给发包人的金额可从拟支付给承包人的合同价款中扣除，或由承包人以其他方式支付给发包人。</w:t>
      </w:r>
    </w:p>
    <w:p w14:paraId="669F4C35">
      <w:pPr>
        <w:pStyle w:val="5"/>
        <w:spacing w:before="0" w:after="0" w:line="360" w:lineRule="auto"/>
        <w:rPr>
          <w:rFonts w:hint="eastAsia" w:ascii="宋体" w:hAnsi="宋体"/>
        </w:rPr>
      </w:pPr>
      <w:bookmarkStart w:id="568" w:name="_Toc17646"/>
      <w:bookmarkStart w:id="569" w:name="_Toc9504"/>
      <w:bookmarkStart w:id="570" w:name="_Toc28432"/>
      <w:bookmarkStart w:id="571" w:name="_Toc184635121"/>
      <w:bookmarkStart w:id="572" w:name="_Toc57795963"/>
      <w:r>
        <w:rPr>
          <w:rFonts w:hint="eastAsia" w:ascii="宋体" w:hAnsi="宋体"/>
        </w:rPr>
        <w:t>24、争议的解决</w:t>
      </w:r>
      <w:bookmarkEnd w:id="568"/>
      <w:bookmarkEnd w:id="569"/>
      <w:bookmarkEnd w:id="570"/>
      <w:bookmarkEnd w:id="571"/>
      <w:bookmarkEnd w:id="572"/>
    </w:p>
    <w:p w14:paraId="4241E52C">
      <w:pPr>
        <w:pStyle w:val="6"/>
        <w:spacing w:before="0" w:beforeAutospacing="0" w:after="0" w:afterAutospacing="0" w:line="360" w:lineRule="auto"/>
        <w:rPr>
          <w:rFonts w:hint="eastAsia"/>
        </w:rPr>
      </w:pPr>
      <w:r>
        <w:rPr>
          <w:rFonts w:hint="eastAsia"/>
        </w:rPr>
        <w:t>24.1 争议的解决方式</w:t>
      </w:r>
    </w:p>
    <w:p w14:paraId="5C96BEED">
      <w:pPr>
        <w:spacing w:line="360" w:lineRule="auto"/>
        <w:ind w:firstLine="420" w:firstLineChars="200"/>
        <w:rPr>
          <w:rFonts w:hint="eastAsia" w:ascii="宋体" w:hAnsi="宋体"/>
          <w:szCs w:val="21"/>
        </w:rPr>
      </w:pPr>
      <w:r>
        <w:rPr>
          <w:rFonts w:hint="eastAsia" w:ascii="宋体" w:hAnsi="宋体"/>
          <w:szCs w:val="21"/>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14:paraId="3BA694EE">
      <w:pPr>
        <w:spacing w:line="360" w:lineRule="auto"/>
        <w:ind w:firstLine="420" w:firstLineChars="200"/>
        <w:rPr>
          <w:rFonts w:hint="eastAsia" w:ascii="宋体" w:hAnsi="宋体"/>
          <w:szCs w:val="21"/>
        </w:rPr>
      </w:pPr>
      <w:r>
        <w:rPr>
          <w:rFonts w:hint="eastAsia" w:ascii="宋体" w:hAnsi="宋体"/>
          <w:szCs w:val="21"/>
        </w:rPr>
        <w:t>（l）向约定的仲裁委员会申请仲裁；</w:t>
      </w:r>
    </w:p>
    <w:p w14:paraId="64657279">
      <w:pPr>
        <w:spacing w:line="360" w:lineRule="auto"/>
        <w:ind w:firstLine="420" w:firstLineChars="200"/>
        <w:rPr>
          <w:rFonts w:hint="eastAsia" w:ascii="宋体" w:hAnsi="宋体"/>
          <w:szCs w:val="21"/>
        </w:rPr>
      </w:pPr>
      <w:r>
        <w:rPr>
          <w:rFonts w:hint="eastAsia" w:ascii="宋体" w:hAnsi="宋体"/>
          <w:szCs w:val="21"/>
        </w:rPr>
        <w:t>（2）向有管辖权的人民法院提起诉讼。</w:t>
      </w:r>
    </w:p>
    <w:p w14:paraId="13A24C32">
      <w:pPr>
        <w:pStyle w:val="6"/>
        <w:spacing w:before="0" w:beforeAutospacing="0" w:after="0" w:afterAutospacing="0" w:line="360" w:lineRule="auto"/>
        <w:rPr>
          <w:rFonts w:hint="eastAsia"/>
        </w:rPr>
      </w:pPr>
      <w:r>
        <w:rPr>
          <w:rFonts w:hint="eastAsia"/>
        </w:rPr>
        <w:t>24.2 友好解决</w:t>
      </w:r>
    </w:p>
    <w:p w14:paraId="4386DBCB">
      <w:pPr>
        <w:spacing w:line="360" w:lineRule="auto"/>
        <w:ind w:firstLine="420" w:firstLineChars="200"/>
        <w:rPr>
          <w:rFonts w:hint="eastAsia" w:ascii="宋体" w:hAnsi="宋体"/>
          <w:szCs w:val="21"/>
        </w:rPr>
      </w:pPr>
      <w:r>
        <w:rPr>
          <w:rFonts w:hint="eastAsia" w:ascii="宋体" w:hAnsi="宋体"/>
          <w:szCs w:val="21"/>
        </w:rPr>
        <w:t>在提请争议评审、仲裁或者诉讼前，以及在争议评审、仲裁或诉讼过程中，发包人和承包人均可共同努力友好协商解决争议。</w:t>
      </w:r>
    </w:p>
    <w:p w14:paraId="0DBBFC85">
      <w:pPr>
        <w:pStyle w:val="6"/>
        <w:spacing w:before="0" w:beforeAutospacing="0" w:after="0" w:afterAutospacing="0" w:line="360" w:lineRule="auto"/>
        <w:rPr>
          <w:rFonts w:hint="eastAsia"/>
        </w:rPr>
      </w:pPr>
      <w:r>
        <w:rPr>
          <w:rFonts w:hint="eastAsia"/>
        </w:rPr>
        <w:t>24.3 争议评审</w:t>
      </w:r>
    </w:p>
    <w:p w14:paraId="0549FC65">
      <w:pPr>
        <w:spacing w:line="360" w:lineRule="auto"/>
        <w:ind w:firstLine="420" w:firstLineChars="200"/>
        <w:rPr>
          <w:rFonts w:hint="eastAsia" w:ascii="宋体" w:hAnsi="宋体"/>
          <w:szCs w:val="21"/>
        </w:rPr>
      </w:pPr>
      <w:r>
        <w:rPr>
          <w:rFonts w:hint="eastAsia" w:ascii="宋体" w:hAnsi="宋体"/>
          <w:szCs w:val="21"/>
        </w:rPr>
        <w:t>24.3.1 采用争议评审的，发包人和承包人应在开工日后的28天内或在争议发生后，协商成立争议评审组。争议评审组由有合同管理和工程实践经验的专家组成。</w:t>
      </w:r>
    </w:p>
    <w:p w14:paraId="47EAC8C3">
      <w:pPr>
        <w:spacing w:line="360" w:lineRule="auto"/>
        <w:ind w:firstLine="420" w:firstLineChars="200"/>
        <w:rPr>
          <w:rFonts w:hint="eastAsia" w:ascii="宋体" w:hAnsi="宋体"/>
          <w:szCs w:val="21"/>
        </w:rPr>
      </w:pPr>
      <w:r>
        <w:rPr>
          <w:rFonts w:hint="eastAsia" w:ascii="宋体" w:hAnsi="宋体"/>
          <w:szCs w:val="21"/>
        </w:rPr>
        <w:t>24.3.2 合同双方的争议，应首先由申请人向争议评审组提交一份详细的评审申请报告，并附必要的文件、图纸和证明材料，申请人还应将上述报告的副本同时提交给被申请人和监理人。</w:t>
      </w:r>
    </w:p>
    <w:p w14:paraId="0E09EB7C">
      <w:pPr>
        <w:spacing w:line="360" w:lineRule="auto"/>
        <w:ind w:firstLine="420" w:firstLineChars="200"/>
        <w:rPr>
          <w:rFonts w:hint="eastAsia" w:ascii="宋体" w:hAnsi="宋体"/>
          <w:szCs w:val="21"/>
        </w:rPr>
      </w:pPr>
      <w:r>
        <w:rPr>
          <w:rFonts w:hint="eastAsia" w:ascii="宋体" w:hAnsi="宋体"/>
          <w:szCs w:val="21"/>
        </w:rPr>
        <w:t>24.3.3 被申请人在收到申请人评审申请报告副本后的28 天内，向争议评审组提交一份答辩报告，并附证明材料。被申请人应将答辩报告的副本同时提交给申请人和监理人。</w:t>
      </w:r>
    </w:p>
    <w:p w14:paraId="7FA9A7A8">
      <w:pPr>
        <w:spacing w:line="360" w:lineRule="auto"/>
        <w:ind w:firstLine="420" w:firstLineChars="200"/>
        <w:rPr>
          <w:rFonts w:hint="eastAsia" w:ascii="宋体" w:hAnsi="宋体"/>
          <w:szCs w:val="21"/>
        </w:rPr>
      </w:pPr>
      <w:r>
        <w:rPr>
          <w:rFonts w:hint="eastAsia" w:ascii="宋体" w:hAnsi="宋体"/>
          <w:szCs w:val="21"/>
        </w:rPr>
        <w:t>24.3.4 除专用合同条款另有约定外，争议评审组在收到合同双方报告后的14天内，邀请双方代表和有关人员举行调查会，向双方调查争议细节；必要时争议评审组可要求双方进一步提供补充材料。</w:t>
      </w:r>
    </w:p>
    <w:p w14:paraId="6EEC47CC">
      <w:pPr>
        <w:spacing w:line="360" w:lineRule="auto"/>
        <w:ind w:firstLine="420" w:firstLineChars="200"/>
        <w:rPr>
          <w:rFonts w:hint="eastAsia" w:ascii="宋体" w:hAnsi="宋体"/>
          <w:szCs w:val="21"/>
        </w:rPr>
      </w:pPr>
      <w:r>
        <w:rPr>
          <w:rFonts w:hint="eastAsia" w:ascii="宋体" w:hAnsi="宋体"/>
          <w:szCs w:val="21"/>
        </w:rPr>
        <w:t>24.3.5 除专用合同条款另有约定外，在调查会结束后的14天内，争议评审组应在不受任何干扰的情况下进行独立、公正的评审，作出书面评审意见，并说明理由。在争议评审期间，争议双方暂按总监理工程师的确定执行。</w:t>
      </w:r>
    </w:p>
    <w:p w14:paraId="354C9201">
      <w:pPr>
        <w:spacing w:line="360" w:lineRule="auto"/>
        <w:ind w:firstLine="420" w:firstLineChars="200"/>
        <w:rPr>
          <w:rFonts w:hint="eastAsia" w:ascii="宋体" w:hAnsi="宋体"/>
          <w:szCs w:val="21"/>
        </w:rPr>
      </w:pPr>
      <w:r>
        <w:rPr>
          <w:rFonts w:hint="eastAsia" w:ascii="宋体" w:hAnsi="宋体"/>
          <w:szCs w:val="21"/>
        </w:rPr>
        <w:t>24.3.6 发包人和承包人接受评审意见的，由监理人根据评审意见拟定执行协议，经争议双方签名后作为合同的补充文件，并遵照执行。</w:t>
      </w:r>
    </w:p>
    <w:p w14:paraId="2402C1E4">
      <w:pPr>
        <w:spacing w:line="360" w:lineRule="auto"/>
        <w:ind w:firstLine="420" w:firstLineChars="200"/>
        <w:rPr>
          <w:rFonts w:ascii="宋体" w:hAnsi="宋体"/>
          <w:szCs w:val="21"/>
        </w:rPr>
        <w:sectPr>
          <w:pgSz w:w="11906" w:h="16838"/>
          <w:pgMar w:top="1304" w:right="1134" w:bottom="1304" w:left="1304" w:header="851" w:footer="992" w:gutter="0"/>
          <w:cols w:space="720" w:num="1"/>
          <w:docGrid w:type="lines" w:linePitch="312" w:charSpace="0"/>
        </w:sectPr>
      </w:pPr>
      <w:r>
        <w:rPr>
          <w:rFonts w:hint="eastAsia" w:ascii="宋体" w:hAnsi="宋体"/>
          <w:szCs w:val="21"/>
        </w:rPr>
        <w:t>24.3.7 发包人或承包人不接受评审意见，并要求提交仲裁或提起诉讼的，应在收到评审意见后的14 天内将仲裁或起诉意向书面通知另一方，并抄送监理人，但在仲裁或诉讼结束前应暂按总监理工程师的确定执行。</w:t>
      </w:r>
    </w:p>
    <w:p w14:paraId="2D9E1A64">
      <w:pPr>
        <w:pStyle w:val="4"/>
        <w:jc w:val="center"/>
        <w:rPr>
          <w:rStyle w:val="38"/>
          <w:rFonts w:hint="eastAsia" w:ascii="宋体" w:hAnsi="宋体"/>
          <w:b/>
          <w:bCs/>
        </w:rPr>
      </w:pPr>
      <w:bookmarkStart w:id="573" w:name="_Toc57795964"/>
      <w:bookmarkStart w:id="574" w:name="_Toc24336"/>
      <w:r>
        <w:rPr>
          <w:rStyle w:val="38"/>
          <w:rFonts w:hint="eastAsia" w:ascii="宋体" w:hAnsi="宋体"/>
          <w:b/>
          <w:bCs/>
        </w:rPr>
        <w:t xml:space="preserve">第二节 </w:t>
      </w:r>
      <w:r>
        <w:rPr>
          <w:rStyle w:val="38"/>
          <w:rFonts w:ascii="宋体" w:hAnsi="宋体"/>
          <w:b/>
          <w:bCs/>
        </w:rPr>
        <w:t>专用合同条款</w:t>
      </w:r>
      <w:bookmarkEnd w:id="573"/>
      <w:bookmarkEnd w:id="574"/>
    </w:p>
    <w:p w14:paraId="68E63727">
      <w:pPr>
        <w:spacing w:line="360" w:lineRule="auto"/>
        <w:ind w:firstLine="420" w:firstLineChars="200"/>
        <w:jc w:val="left"/>
        <w:rPr>
          <w:rFonts w:ascii="宋体" w:hAnsi="宋体"/>
          <w:i/>
        </w:rPr>
      </w:pPr>
      <w:r>
        <w:rPr>
          <w:rFonts w:hint="eastAsia" w:ascii="宋体" w:hAnsi="宋体"/>
          <w:i/>
        </w:rPr>
        <w:t>[提示：“专用合同条款”中宋体字部分采用《中华人民共和国公路工程标准施工招标文件（2018版）》第四章第二节的“专用合同条款”。“专用合同条款”中仿宋字体部分由招标人根据项目实际情况进行补充、细化，补充和细化的内容不得与“通用合同条款”的内容相抵触。]</w:t>
      </w:r>
    </w:p>
    <w:p w14:paraId="58D5D426">
      <w:pPr>
        <w:rPr>
          <w:rFonts w:ascii="宋体" w:hAnsi="宋体"/>
        </w:rPr>
      </w:pPr>
      <w:r>
        <w:br w:type="page"/>
      </w:r>
    </w:p>
    <w:p w14:paraId="6AC51ACE">
      <w:pPr>
        <w:pStyle w:val="5"/>
        <w:spacing w:before="0" w:after="0" w:line="360" w:lineRule="auto"/>
        <w:rPr>
          <w:rFonts w:hint="eastAsia" w:ascii="宋体" w:hAnsi="宋体"/>
        </w:rPr>
      </w:pPr>
      <w:bookmarkStart w:id="575" w:name="_Toc15621"/>
      <w:bookmarkStart w:id="576" w:name="_Toc29314"/>
      <w:bookmarkStart w:id="577" w:name="_Toc17234"/>
      <w:bookmarkStart w:id="578" w:name="_Toc57795965"/>
      <w:r>
        <w:rPr>
          <w:rFonts w:hint="eastAsia" w:ascii="宋体" w:hAnsi="宋体"/>
        </w:rPr>
        <w:t>1、一般约定</w:t>
      </w:r>
      <w:bookmarkEnd w:id="575"/>
      <w:bookmarkEnd w:id="576"/>
      <w:bookmarkEnd w:id="577"/>
      <w:bookmarkEnd w:id="578"/>
    </w:p>
    <w:p w14:paraId="211F25EB">
      <w:pPr>
        <w:pStyle w:val="6"/>
        <w:spacing w:before="0" w:beforeAutospacing="0" w:after="0" w:afterAutospacing="0" w:line="360" w:lineRule="auto"/>
        <w:rPr>
          <w:rFonts w:hint="eastAsia"/>
        </w:rPr>
      </w:pPr>
      <w:r>
        <w:rPr>
          <w:rFonts w:hint="eastAsia"/>
        </w:rPr>
        <w:t>1.1 词语定义</w:t>
      </w:r>
    </w:p>
    <w:p w14:paraId="41444BC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1.1.1 合同</w:t>
      </w:r>
    </w:p>
    <w:p w14:paraId="53CB29B5">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1.1.1.6 目细化为：</w:t>
      </w:r>
    </w:p>
    <w:p w14:paraId="354D1BE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技术规范：指本合同所约定的技术标准和要求，是合同文件的组成部分。通用合同条款中“技术标准和要求”一词具有相同含义。</w:t>
      </w:r>
    </w:p>
    <w:p w14:paraId="72C4EEB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1.1.1.8 目细化为：</w:t>
      </w:r>
    </w:p>
    <w:p w14:paraId="76636FA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已标价工程量清单：指构成合同文件组成部分的已标明价格、经算术性错误修正及其他错误修正（如有）且承包人已确认的最终的工程量清单，包括工程量清单说明、投标报价说明、计日工说明、其他说明及工程量清单各项表格（工程量清单表 5.1～表 5.5）。</w:t>
      </w:r>
    </w:p>
    <w:p w14:paraId="2215D3D1">
      <w:pPr>
        <w:pStyle w:val="2"/>
        <w:spacing w:after="0"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本项补充第 1.1.1.10</w:t>
      </w:r>
      <w:r>
        <w:rPr>
          <w:rFonts w:hint="eastAsia" w:ascii="宋体" w:hAnsi="宋体"/>
          <w:kern w:val="0"/>
          <w:szCs w:val="21"/>
        </w:rPr>
        <w:t>～</w:t>
      </w:r>
      <w:r>
        <w:rPr>
          <w:rFonts w:ascii="宋体" w:hAnsi="宋体"/>
          <w:kern w:val="0"/>
          <w:szCs w:val="21"/>
          <w:lang w:bidi="ar"/>
        </w:rPr>
        <w:t>1.1.1.12</w:t>
      </w:r>
      <w:r>
        <w:rPr>
          <w:rFonts w:hint="eastAsia" w:ascii="宋体" w:hAnsi="宋体" w:cs="宋体"/>
          <w:kern w:val="0"/>
          <w:szCs w:val="21"/>
          <w:lang w:bidi="ar"/>
        </w:rPr>
        <w:t>目：</w:t>
      </w:r>
    </w:p>
    <w:p w14:paraId="5BE3A4D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1.1.1.10 补遗书：指发出招标文件之后由招标人向已取得招标文件的投标人发出的、编号的对招标文件所作的澄清、修改书。</w:t>
      </w:r>
    </w:p>
    <w:p w14:paraId="7B58B111">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1.1.1.11 公章：专指法定单位名称章。</w:t>
      </w:r>
    </w:p>
    <w:p w14:paraId="40D03ED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1.1.2 合同当事人和人员 </w:t>
      </w:r>
    </w:p>
    <w:p w14:paraId="383A693A">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1.1.2.2 发包人：</w:t>
      </w:r>
    </w:p>
    <w:p w14:paraId="7A3C6694">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发包人：</w:t>
      </w:r>
      <w:r>
        <w:rPr>
          <w:rFonts w:hint="eastAsia" w:ascii="仿宋_GB2312" w:hAnsi="宋体" w:eastAsia="仿宋_GB2312" w:cs="宋体"/>
          <w:kern w:val="0"/>
          <w:szCs w:val="21"/>
          <w:u w:val="single"/>
          <w:lang w:bidi="ar"/>
        </w:rPr>
        <w:t xml:space="preserve">        </w:t>
      </w:r>
      <w:r>
        <w:rPr>
          <w:rFonts w:hint="eastAsia" w:ascii="仿宋_GB2312" w:hAnsi="宋体" w:eastAsia="仿宋_GB2312" w:cs="宋体"/>
          <w:kern w:val="0"/>
          <w:szCs w:val="21"/>
          <w:lang w:bidi="ar"/>
        </w:rPr>
        <w:t>。</w:t>
      </w:r>
    </w:p>
    <w:p w14:paraId="1E98DCA7">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地址：</w:t>
      </w:r>
      <w:r>
        <w:rPr>
          <w:rFonts w:hint="eastAsia" w:ascii="仿宋_GB2312" w:eastAsia="仿宋_GB2312"/>
          <w:u w:val="single"/>
          <w:lang w:bidi="ar"/>
        </w:rPr>
        <w:t xml:space="preserve">        </w:t>
      </w:r>
      <w:r>
        <w:rPr>
          <w:rFonts w:hint="eastAsia" w:ascii="仿宋_GB2312" w:eastAsia="仿宋_GB2312"/>
          <w:lang w:bidi="ar"/>
        </w:rPr>
        <w:t>。</w:t>
      </w:r>
    </w:p>
    <w:p w14:paraId="642C288F">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邮编：</w:t>
      </w:r>
      <w:r>
        <w:rPr>
          <w:rFonts w:hint="eastAsia" w:ascii="仿宋_GB2312" w:eastAsia="仿宋_GB2312"/>
          <w:u w:val="single"/>
          <w:lang w:bidi="ar"/>
        </w:rPr>
        <w:t xml:space="preserve">        </w:t>
      </w:r>
      <w:r>
        <w:rPr>
          <w:rFonts w:hint="eastAsia" w:ascii="仿宋_GB2312" w:eastAsia="仿宋_GB2312"/>
          <w:lang w:bidi="ar"/>
        </w:rPr>
        <w:t>。</w:t>
      </w:r>
    </w:p>
    <w:p w14:paraId="6464C8A0">
      <w:pPr>
        <w:pStyle w:val="2"/>
        <w:spacing w:after="0" w:line="360" w:lineRule="auto"/>
        <w:ind w:firstLine="420" w:firstLineChars="200"/>
        <w:rPr>
          <w:rFonts w:hint="eastAsia" w:ascii="仿宋_GB2312" w:eastAsia="仿宋_GB2312"/>
          <w:lang w:bidi="ar"/>
        </w:rPr>
      </w:pPr>
      <w:r>
        <w:rPr>
          <w:rFonts w:hint="eastAsia" w:ascii="仿宋_GB2312" w:hAnsi="宋体" w:eastAsia="仿宋_GB2312"/>
          <w:lang w:bidi="ar"/>
        </w:rPr>
        <w:t xml:space="preserve">1.1.2.6 </w:t>
      </w:r>
      <w:r>
        <w:rPr>
          <w:rFonts w:hint="eastAsia" w:ascii="仿宋_GB2312" w:eastAsia="仿宋_GB2312"/>
          <w:lang w:bidi="ar"/>
        </w:rPr>
        <w:t>监理单位：</w:t>
      </w:r>
    </w:p>
    <w:p w14:paraId="4807992C">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监理单位：</w:t>
      </w:r>
      <w:r>
        <w:rPr>
          <w:rFonts w:hint="eastAsia" w:ascii="仿宋_GB2312" w:eastAsia="仿宋_GB2312"/>
          <w:u w:val="single"/>
          <w:lang w:bidi="ar"/>
        </w:rPr>
        <w:t xml:space="preserve">        </w:t>
      </w:r>
      <w:r>
        <w:rPr>
          <w:rFonts w:hint="eastAsia" w:ascii="仿宋_GB2312" w:eastAsia="仿宋_GB2312"/>
          <w:lang w:bidi="ar"/>
        </w:rPr>
        <w:t>。</w:t>
      </w:r>
    </w:p>
    <w:p w14:paraId="57D581EB">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地址：</w:t>
      </w:r>
      <w:r>
        <w:rPr>
          <w:rFonts w:hint="eastAsia" w:ascii="仿宋_GB2312" w:eastAsia="仿宋_GB2312"/>
          <w:u w:val="single"/>
          <w:lang w:bidi="ar"/>
        </w:rPr>
        <w:t xml:space="preserve">        </w:t>
      </w:r>
      <w:r>
        <w:rPr>
          <w:rFonts w:hint="eastAsia" w:ascii="仿宋_GB2312" w:eastAsia="仿宋_GB2312"/>
          <w:lang w:bidi="ar"/>
        </w:rPr>
        <w:t>。</w:t>
      </w:r>
    </w:p>
    <w:p w14:paraId="758D91BE">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邮编：</w:t>
      </w:r>
      <w:r>
        <w:rPr>
          <w:rFonts w:hint="eastAsia" w:ascii="仿宋_GB2312" w:eastAsia="仿宋_GB2312"/>
          <w:u w:val="single"/>
          <w:lang w:bidi="ar"/>
        </w:rPr>
        <w:t xml:space="preserve">        </w:t>
      </w:r>
      <w:r>
        <w:rPr>
          <w:rFonts w:hint="eastAsia" w:ascii="仿宋_GB2312" w:eastAsia="仿宋_GB2312"/>
          <w:lang w:bidi="ar"/>
        </w:rPr>
        <w:t>。</w:t>
      </w:r>
    </w:p>
    <w:p w14:paraId="481E6FC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本项补充第 1.1.2.8 目：</w:t>
      </w:r>
    </w:p>
    <w:p w14:paraId="4E33495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1.1.2.8 承包人项目总工：指由承包人书面委派常驻现场负责管理本合同工程的总工程师或技术总负责人。</w:t>
      </w:r>
    </w:p>
    <w:p w14:paraId="070025CF">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1.1.3 工程和设备</w:t>
      </w:r>
    </w:p>
    <w:p w14:paraId="326A8BD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1.1.3.4 目细化为：</w:t>
      </w:r>
    </w:p>
    <w:p w14:paraId="2D3028B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单位工程：指在建设项目中，根据签订的合同，具有独立施工条件的工程。</w:t>
      </w:r>
    </w:p>
    <w:p w14:paraId="5B8F5E9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1.1.3.10 目细化为：</w:t>
      </w:r>
    </w:p>
    <w:p w14:paraId="25241F0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永久占地：指为实施本合同工程而需要的一切永久占用的土地，包括公路两侧路权范围内的用地。</w:t>
      </w:r>
    </w:p>
    <w:p w14:paraId="7135AEB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1.1.3.11 目细化为：</w:t>
      </w:r>
    </w:p>
    <w:p w14:paraId="7B52495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临时占地：指为实施本合同工程而需要的一切临时占用的土地，包括施工所用的临时支线、便道、便桥和现场的临时出入通道，以及生产（办公）、生活等临时设施用地等。</w:t>
      </w:r>
    </w:p>
    <w:p w14:paraId="2CA7F2E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本项补充第 1.1.3.12 ～1.1.3.13 目：</w:t>
      </w:r>
    </w:p>
    <w:p w14:paraId="2614041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1.1.3.12 分部工程：指在单位工程中，按结构部位、路段长度及施工特点或施工任务划分的若干个工程。</w:t>
      </w:r>
    </w:p>
    <w:p w14:paraId="7EEFFF6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1.1.3.13 分项工程：指在分部工程中，按不同的施工方法、材料、工序及路段长度等划分的若干个工程。</w:t>
      </w:r>
    </w:p>
    <w:p w14:paraId="1B0C481D">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1.1.4 日期</w:t>
      </w:r>
    </w:p>
    <w:p w14:paraId="0ECCFF4D">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第 1.1.4.5 细化为：</w:t>
      </w:r>
    </w:p>
    <w:p w14:paraId="515BF751">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缺陷责任期：自实际交工日期起计算</w:t>
      </w:r>
      <w:r>
        <w:rPr>
          <w:rFonts w:hint="eastAsia" w:ascii="仿宋_GB2312" w:hAnsi="宋体" w:eastAsia="仿宋_GB2312" w:cs="宋体"/>
          <w:kern w:val="0"/>
          <w:szCs w:val="21"/>
          <w:u w:val="single"/>
          <w:lang w:bidi="ar"/>
        </w:rPr>
        <w:t xml:space="preserve">    月</w:t>
      </w:r>
      <w:r>
        <w:rPr>
          <w:rFonts w:hint="eastAsia" w:ascii="仿宋_GB2312" w:hAnsi="宋体" w:eastAsia="仿宋_GB2312" w:cs="宋体"/>
          <w:kern w:val="0"/>
          <w:szCs w:val="21"/>
          <w:lang w:bidi="ar"/>
        </w:rPr>
        <w:t>。</w:t>
      </w:r>
    </w:p>
    <w:p w14:paraId="6CA25C5F">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 其他</w:t>
      </w:r>
    </w:p>
    <w:p w14:paraId="1D4C0645">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本项补充第 1.1.6.2 ～1.1.6.9 目：</w:t>
      </w:r>
    </w:p>
    <w:p w14:paraId="1DD3770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1.1.6.2 竣工验收：参考《公路工程竣（交）工验收办法》</w:t>
      </w:r>
      <w:r>
        <w:rPr>
          <w:rFonts w:ascii="宋体" w:hAnsi="宋体" w:cs="宋体"/>
          <w:kern w:val="0"/>
          <w:szCs w:val="21"/>
          <w:lang w:bidi="ar"/>
        </w:rPr>
        <w:t>中的</w:t>
      </w:r>
      <w:r>
        <w:rPr>
          <w:rFonts w:hint="eastAsia" w:ascii="宋体" w:hAnsi="宋体" w:cs="宋体"/>
          <w:kern w:val="0"/>
          <w:szCs w:val="21"/>
          <w:lang w:bidi="ar"/>
        </w:rPr>
        <w:t>竣工验收。通用合同条款中“国家验收”一词具有相同含义。</w:t>
      </w:r>
    </w:p>
    <w:p w14:paraId="713EEB9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1.1.6.3 交工：参考《公路工程竣（交）工验收办法》中的交工。通用合同条款中“竣工”一词具有相同含义。</w:t>
      </w:r>
    </w:p>
    <w:p w14:paraId="0CCB99D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1.1.6.4 交工验收：参考《公路工程竣（交）工验收办法》中的交工验收。通用合同条款中“竣工验收”一词具有相同含义。</w:t>
      </w:r>
    </w:p>
    <w:p w14:paraId="7735B04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1.1.6.5 转包：指承包人违反法律和不履行合同规定的责任和义务，将中标工程全部委托或以专业分包的名义将中标工程肢解后全部委托给其他施工企业施工的行为。</w:t>
      </w:r>
    </w:p>
    <w:p w14:paraId="0EAB9FE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1.1.6.6 专业分包：指承包人与具有相应资格的施工企业签订专业分包合同，由分包人承担承包人委托的分部工程、分项工程或适合专业化队伍施工的其他工程，整体结算，并能独立控制工程质量、施工进度、材料采购、生产安全的施工行为。</w:t>
      </w:r>
    </w:p>
    <w:p w14:paraId="7297D08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1.1.6.7 雇用民工：指承包人与具有相应劳动能力的自然人签订劳动合同，由承包人统一组织管理，从事分项工程施工或配套工程施工的行为。</w:t>
      </w:r>
    </w:p>
    <w:p w14:paraId="60C34558">
      <w:pPr>
        <w:pStyle w:val="6"/>
        <w:spacing w:before="0" w:beforeAutospacing="0" w:after="0" w:afterAutospacing="0" w:line="360" w:lineRule="auto"/>
        <w:rPr>
          <w:rFonts w:hint="eastAsia"/>
        </w:rPr>
      </w:pPr>
      <w:r>
        <w:rPr>
          <w:rFonts w:hint="eastAsia"/>
        </w:rPr>
        <w:t>1.4 合同文件的优先顺序</w:t>
      </w:r>
    </w:p>
    <w:p w14:paraId="228E767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本款约定为：</w:t>
      </w:r>
    </w:p>
    <w:p w14:paraId="4A6291D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组成合同的各项文件应互相解释，互为说明，解释合同文件的优先顺序如下：</w:t>
      </w:r>
    </w:p>
    <w:p w14:paraId="06BFA46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（1）合同协议书及各种合同附件（含评标期间和合同谈判过程中的澄清文件和补充资料）；</w:t>
      </w:r>
    </w:p>
    <w:p w14:paraId="5B5945E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（2）中标通知书；</w:t>
      </w:r>
    </w:p>
    <w:p w14:paraId="0DD8F54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（3）投标函及投标函附录；</w:t>
      </w:r>
    </w:p>
    <w:p w14:paraId="42F8087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（4）专用合同条款；</w:t>
      </w:r>
    </w:p>
    <w:p w14:paraId="1F98A59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（5）通用合同条款；</w:t>
      </w:r>
    </w:p>
    <w:p w14:paraId="7292793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（6）工程量清单计量规则；</w:t>
      </w:r>
    </w:p>
    <w:p w14:paraId="4D81DC0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（7）技术规范；</w:t>
      </w:r>
    </w:p>
    <w:p w14:paraId="78FA8B0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（8）图纸；</w:t>
      </w:r>
    </w:p>
    <w:p w14:paraId="0CDC3F6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（9）已标价工程量清单；</w:t>
      </w:r>
    </w:p>
    <w:p w14:paraId="59E32D58">
      <w:pPr>
        <w:widowControl/>
        <w:spacing w:line="360" w:lineRule="auto"/>
        <w:ind w:firstLine="420" w:firstLineChars="200"/>
        <w:jc w:val="left"/>
      </w:pPr>
      <w:r>
        <w:rPr>
          <w:rFonts w:hint="eastAsia" w:ascii="宋体" w:hAnsi="宋体" w:cs="宋体"/>
          <w:kern w:val="0"/>
          <w:szCs w:val="21"/>
          <w:lang w:bidi="ar"/>
        </w:rPr>
        <w:t>（10）承包人有关人员、设备投入的承诺及投标文件中的施工组织设计；</w:t>
      </w:r>
    </w:p>
    <w:p w14:paraId="71B0FF4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（11）</w:t>
      </w:r>
      <w:r>
        <w:rPr>
          <w:rFonts w:hint="eastAsia" w:ascii="宋体" w:hAnsi="宋体" w:cs="宋体"/>
          <w:kern w:val="0"/>
          <w:szCs w:val="21"/>
          <w:u w:val="single"/>
          <w:lang w:bidi="ar"/>
        </w:rPr>
        <w:t>其他合同文件</w:t>
      </w:r>
      <w:r>
        <w:rPr>
          <w:rFonts w:hint="eastAsia" w:ascii="宋体" w:hAnsi="宋体" w:cs="宋体"/>
          <w:kern w:val="0"/>
          <w:szCs w:val="21"/>
          <w:lang w:bidi="ar"/>
        </w:rPr>
        <w:t>。</w:t>
      </w:r>
    </w:p>
    <w:p w14:paraId="732C3E6A">
      <w:pPr>
        <w:pStyle w:val="6"/>
        <w:spacing w:before="0" w:beforeAutospacing="0" w:after="0" w:afterAutospacing="0" w:line="360" w:lineRule="auto"/>
        <w:rPr>
          <w:rFonts w:hint="eastAsia"/>
        </w:rPr>
      </w:pPr>
      <w:r>
        <w:rPr>
          <w:rFonts w:hint="eastAsia"/>
        </w:rPr>
        <w:t>1.5 合同协议书</w:t>
      </w:r>
    </w:p>
    <w:p w14:paraId="63356DF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14:paraId="04894125">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制备本合同文件的费用由发包人承担。在合同协议书签订并生效之前，投标函和中标通知书将对双方具有约束力。</w:t>
      </w:r>
    </w:p>
    <w:p w14:paraId="5BEA8350">
      <w:pPr>
        <w:pStyle w:val="6"/>
        <w:spacing w:before="0" w:beforeAutospacing="0" w:after="0" w:afterAutospacing="0" w:line="360" w:lineRule="auto"/>
        <w:rPr>
          <w:rFonts w:hint="eastAsia"/>
        </w:rPr>
      </w:pPr>
      <w:r>
        <w:rPr>
          <w:rFonts w:hint="eastAsia"/>
        </w:rPr>
        <w:t>1.6 图纸和承包人文件</w:t>
      </w:r>
    </w:p>
    <w:p w14:paraId="190E59B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1.6.1 图纸的提供</w:t>
      </w:r>
    </w:p>
    <w:p w14:paraId="2AF9430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14:paraId="663D02A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发包人应在发出中标通知书之后</w:t>
      </w:r>
      <w:r>
        <w:rPr>
          <w:rFonts w:hint="eastAsia" w:ascii="宋体" w:hAnsi="宋体" w:cs="宋体"/>
          <w:kern w:val="0"/>
          <w:szCs w:val="21"/>
          <w:u w:val="single"/>
          <w:lang w:bidi="ar"/>
        </w:rPr>
        <w:t xml:space="preserve"> 42 </w:t>
      </w:r>
      <w:r>
        <w:rPr>
          <w:rFonts w:hint="eastAsia" w:ascii="宋体" w:hAnsi="宋体" w:cs="宋体"/>
          <w:kern w:val="0"/>
          <w:szCs w:val="21"/>
          <w:lang w:bidi="ar"/>
        </w:rPr>
        <w:t>天内，向承包人免费提供由发包人或其委托的设计单位设计的施工图纸、技术规范和其他技术资料 2 份，并向承包人进行技术交底。承包人需要更多份数时，应自费复制。由于发包人未按时提供图纸造成工期延误的，按第 11.3 款的约定办理。</w:t>
      </w:r>
    </w:p>
    <w:p w14:paraId="0AE8BD6A">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1.6.3 图纸的修改</w:t>
      </w:r>
    </w:p>
    <w:p w14:paraId="5FC52416">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szCs w:val="21"/>
        </w:rPr>
        <w:t>图纸需要修改和补充的，应由监理人取得发包人同意后，在该工程或工程相应部位施工前</w:t>
      </w:r>
      <w:r>
        <w:rPr>
          <w:rFonts w:hint="eastAsia" w:ascii="仿宋_GB2312" w:hAnsi="宋体" w:eastAsia="仿宋_GB2312"/>
          <w:szCs w:val="21"/>
          <w:u w:val="single"/>
        </w:rPr>
        <w:t xml:space="preserve">    </w:t>
      </w:r>
      <w:r>
        <w:rPr>
          <w:rFonts w:hint="eastAsia" w:ascii="仿宋_GB2312" w:hAnsi="宋体" w:eastAsia="仿宋_GB2312"/>
          <w:szCs w:val="21"/>
        </w:rPr>
        <w:t>天签发修改图纸给承包人。</w:t>
      </w:r>
    </w:p>
    <w:p w14:paraId="6F548DD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1.6.2 承包人提供的文件</w:t>
      </w:r>
    </w:p>
    <w:p w14:paraId="39A8DCB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14:paraId="00D78E4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有下列情形之一的，承包人应免费向监理人提交相关部分工程的施工图纸 3 份，并附必要的计算书、技术资料，或施工工艺图、设备安装图及安装设备的使用和维护手册各 2 份供监理人批准。</w:t>
      </w:r>
    </w:p>
    <w:p w14:paraId="7F7E3F9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（1）为使第 1.6.1 项所述的施工图纸适合于经施工测量后的纵、横断面；</w:t>
      </w:r>
    </w:p>
    <w:p w14:paraId="6AC91A9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（2）为使第 1.6.1 项所述的施工图纸适合于现场具体地形；</w:t>
      </w:r>
    </w:p>
    <w:p w14:paraId="4522F1E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（3）为使第 1.6.1 项所述的施工图纸适合于因尺寸与位置变化而引起局部变更；</w:t>
      </w:r>
    </w:p>
    <w:p w14:paraId="408D248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（4）由于合同要求与施工需要。</w:t>
      </w:r>
    </w:p>
    <w:p w14:paraId="66808FF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此类图纸应按监理人规定的格式和图幅绘制。监理人在收到由承包人绘制的上述工程、工艺图纸、计算书和有关技术资料后</w:t>
      </w:r>
      <w:r>
        <w:rPr>
          <w:rFonts w:hint="eastAsia" w:ascii="宋体" w:hAnsi="宋体" w:cs="宋体"/>
          <w:kern w:val="0"/>
          <w:szCs w:val="21"/>
          <w:u w:val="single"/>
          <w:lang w:bidi="ar"/>
        </w:rPr>
        <w:t xml:space="preserve"> 14 天</w:t>
      </w:r>
      <w:r>
        <w:rPr>
          <w:rFonts w:hint="eastAsia" w:ascii="宋体" w:hAnsi="宋体" w:cs="宋体"/>
          <w:kern w:val="0"/>
          <w:szCs w:val="21"/>
          <w:lang w:bidi="ar"/>
        </w:rPr>
        <w:t>内应予批准或提出修改要求，承包人应按监理人提出的要求作出修改，重新向监理人提交，监理人应在</w:t>
      </w:r>
      <w:r>
        <w:rPr>
          <w:rFonts w:hint="eastAsia" w:ascii="宋体" w:hAnsi="宋体" w:cs="宋体"/>
          <w:kern w:val="0"/>
          <w:szCs w:val="21"/>
          <w:u w:val="single"/>
          <w:lang w:bidi="ar"/>
        </w:rPr>
        <w:t xml:space="preserve"> 7 天</w:t>
      </w:r>
      <w:r>
        <w:rPr>
          <w:rFonts w:hint="eastAsia" w:ascii="宋体" w:hAnsi="宋体" w:cs="宋体"/>
          <w:kern w:val="0"/>
          <w:szCs w:val="21"/>
          <w:lang w:bidi="ar"/>
        </w:rPr>
        <w:t>内批准或提出进一步的修改意见。</w:t>
      </w:r>
    </w:p>
    <w:p w14:paraId="0D90834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1.6.4 图纸的错误</w:t>
      </w:r>
    </w:p>
    <w:p w14:paraId="1512A7BE">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14:paraId="2D0DF99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当承包人在查阅合同文件或在本合同工程实施过程中，发现有关的工程设计、技术规范、图纸或其他资料中的任何差错、遗漏或缺陷后，应及时通知监理人。监理人接到该通知后，应立即就此作出决定，并通知承包人和发包人。</w:t>
      </w:r>
    </w:p>
    <w:p w14:paraId="66B97DC5">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在收到发包人提供的图纸后，承包人应对收到的图纸进行仔细核查，并在开始施工前，将发现的图纸存在的差错、遗漏或缺陷及时通知监理人。监理人接到该通知后，应附相关意见并立即报送发包人，发包人应在收到监理人报送的通知后作出决定。</w:t>
      </w:r>
    </w:p>
    <w:p w14:paraId="1631A677">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承包人不得利用图纸的差错、遗漏或缺陷，从中获得不正当的利益。</w:t>
      </w:r>
    </w:p>
    <w:p w14:paraId="3638785F">
      <w:pPr>
        <w:pStyle w:val="6"/>
        <w:spacing w:before="0" w:beforeAutospacing="0" w:after="0" w:afterAutospacing="0" w:line="360" w:lineRule="auto"/>
        <w:rPr>
          <w:rFonts w:hint="eastAsia"/>
        </w:rPr>
      </w:pPr>
      <w:r>
        <w:rPr>
          <w:rFonts w:hint="eastAsia"/>
        </w:rPr>
        <w:t>1.9 严禁贿赂</w:t>
      </w:r>
    </w:p>
    <w:p w14:paraId="7DDDEFF8">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本款补充：</w:t>
      </w:r>
    </w:p>
    <w:p w14:paraId="60C6125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在合同执行过程中，发包人和承包人应严格履行《廉政合同》约定的双方在廉政建设方面的权利和义务以及应承担的违约责任。承包人如果用行贿、送礼或其他不正当手段企图影响或已经影响了发包人或监理人的行为和（或）欲获得或已获得超出合同规定以外的额外费用，则发包人应按有关法纪严肃处理当事人，且承包人应对其上述行为造成的工程损害、发包人的经济损失等承担一切责任，并予赔偿。情节严重者，发包人有权终止承包人在本合同项下的承包。</w:t>
      </w:r>
    </w:p>
    <w:p w14:paraId="3B109BEB">
      <w:pPr>
        <w:widowControl/>
        <w:spacing w:line="360" w:lineRule="auto"/>
        <w:ind w:firstLine="420" w:firstLineChars="200"/>
        <w:jc w:val="left"/>
        <w:rPr>
          <w:rFonts w:hint="eastAsia" w:ascii="仿宋_GB2312" w:hAnsi="宋体" w:eastAsia="仿宋_GB2312"/>
          <w:szCs w:val="21"/>
        </w:rPr>
      </w:pPr>
      <w:r>
        <w:rPr>
          <w:rFonts w:hint="eastAsia" w:ascii="仿宋_GB2312" w:hAnsi="宋体" w:eastAsia="仿宋_GB2312" w:cs="宋体"/>
          <w:kern w:val="0"/>
          <w:szCs w:val="21"/>
          <w:lang w:bidi="ar"/>
        </w:rPr>
        <w:t>本条补充第 1.13 款：</w:t>
      </w:r>
    </w:p>
    <w:p w14:paraId="0FC2D2E0">
      <w:pPr>
        <w:widowControl/>
        <w:spacing w:line="360" w:lineRule="auto"/>
        <w:jc w:val="left"/>
        <w:rPr>
          <w:rFonts w:hint="eastAsia" w:ascii="仿宋_GB2312" w:hAnsi="宋体" w:eastAsia="仿宋_GB2312" w:cs="宋体"/>
          <w:b/>
          <w:bCs/>
          <w:kern w:val="0"/>
          <w:sz w:val="24"/>
        </w:rPr>
      </w:pPr>
      <w:r>
        <w:rPr>
          <w:rFonts w:hint="eastAsia" w:ascii="仿宋_GB2312" w:hAnsi="宋体" w:eastAsia="仿宋_GB2312" w:cs="宋体"/>
          <w:b/>
          <w:bCs/>
          <w:kern w:val="0"/>
          <w:sz w:val="24"/>
        </w:rPr>
        <w:t>1.13知识产权</w:t>
      </w:r>
    </w:p>
    <w:p w14:paraId="103F7F8E">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1.13.1 关于发包人提供给承包人的图纸、发包人为实施工程自行编制或委托编制的技术规范以及反映发包人关于合同要求或其他类似性质的文件的著作权的归属：属于发包人。</w:t>
      </w:r>
    </w:p>
    <w:p w14:paraId="7732E183">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关于发包人提供的上述文件的使用限制的要求：承包人可以为实现合同目的而复制、使用此类文件，但不能用于与合同无关的其他事项。未经发包人书面同意，承包人不得为了合同以外的目的而复制、使用上述文件或将之提供给任何第三方。</w:t>
      </w:r>
    </w:p>
    <w:p w14:paraId="2D7E5292">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1.13.2 承包人为实施工程所编制的文件，除署名权以外的著作权属于发包人，承包人可因实施工程的运行、调试、维修、改造等目的而复制、使用此类文件，但不能用于与合同无关的其他事项。</w:t>
      </w:r>
    </w:p>
    <w:p w14:paraId="7B7E2FE1">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1.13.3 合同当事人保证在履行合同过程中不侵犯对方及第三方的知识产权。</w:t>
      </w:r>
    </w:p>
    <w:p w14:paraId="58405339">
      <w:pPr>
        <w:pStyle w:val="5"/>
        <w:spacing w:before="0" w:after="0" w:line="360" w:lineRule="auto"/>
        <w:rPr>
          <w:rFonts w:hint="eastAsia" w:ascii="宋体" w:hAnsi="宋体"/>
        </w:rPr>
      </w:pPr>
      <w:bookmarkStart w:id="579" w:name="_Toc6916"/>
      <w:bookmarkStart w:id="580" w:name="_Toc22444"/>
      <w:bookmarkStart w:id="581" w:name="_Toc19189"/>
      <w:bookmarkStart w:id="582" w:name="_Toc57795966"/>
      <w:r>
        <w:rPr>
          <w:rFonts w:hint="eastAsia" w:ascii="宋体" w:hAnsi="宋体"/>
        </w:rPr>
        <w:t>2、发包人义务</w:t>
      </w:r>
      <w:bookmarkEnd w:id="579"/>
      <w:bookmarkEnd w:id="580"/>
      <w:bookmarkEnd w:id="581"/>
      <w:bookmarkEnd w:id="582"/>
    </w:p>
    <w:p w14:paraId="1AC14165">
      <w:pPr>
        <w:pStyle w:val="6"/>
        <w:spacing w:before="0" w:beforeAutospacing="0" w:after="0" w:afterAutospacing="0" w:line="360" w:lineRule="auto"/>
        <w:rPr>
          <w:rFonts w:hint="eastAsia"/>
        </w:rPr>
      </w:pPr>
      <w:r>
        <w:rPr>
          <w:rFonts w:hint="eastAsia"/>
        </w:rPr>
        <w:t>2.3 提供施工场地</w:t>
      </w:r>
    </w:p>
    <w:p w14:paraId="1D40425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14:paraId="1F682CC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由于发包人未能按照约定时间向承包人提供施工场地，影响承包人及时使用施工场地造成的费用增加和（或）工期延误应由发包人承担。由于承包人未能按照合同约定及时办理占道施工许可，影响发包人提供施工场地造成的费用增加和（或）工期延误由承包人承担。</w:t>
      </w:r>
    </w:p>
    <w:p w14:paraId="27092FCA">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发包人提供的施工场地</w:t>
      </w:r>
      <w:r>
        <w:rPr>
          <w:rFonts w:hint="eastAsia" w:ascii="仿宋_GB2312" w:hAnsi="宋体" w:eastAsia="仿宋_GB2312" w:cs="宋体"/>
          <w:szCs w:val="21"/>
        </w:rPr>
        <w:t>范围为：</w:t>
      </w:r>
      <w:r>
        <w:rPr>
          <w:rFonts w:hint="eastAsia" w:ascii="仿宋_GB2312" w:hAnsi="宋体" w:eastAsia="仿宋_GB2312" w:cs="宋体"/>
          <w:szCs w:val="21"/>
          <w:u w:val="single"/>
        </w:rPr>
        <w:t xml:space="preserve">                </w:t>
      </w:r>
      <w:r>
        <w:rPr>
          <w:rFonts w:hint="eastAsia" w:ascii="仿宋_GB2312" w:hAnsi="宋体" w:eastAsia="仿宋_GB2312" w:cs="宋体"/>
          <w:kern w:val="0"/>
          <w:szCs w:val="21"/>
          <w:lang w:bidi="ar"/>
        </w:rPr>
        <w:t>。</w:t>
      </w:r>
      <w:r>
        <w:rPr>
          <w:rFonts w:hint="eastAsia" w:ascii="仿宋_GB2312" w:hAnsi="宋体" w:eastAsia="仿宋_GB2312" w:cs="宋体"/>
          <w:kern w:val="0"/>
          <w:szCs w:val="21"/>
        </w:rPr>
        <w:t>施工场地的提供采用以下第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w:t>
      </w:r>
    </w:p>
    <w:p w14:paraId="596CA372">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（1）一次提供全部施工场地：发包人于</w:t>
      </w:r>
      <w:r>
        <w:rPr>
          <w:rFonts w:hint="eastAsia" w:ascii="仿宋_GB2312" w:hAnsi="宋体" w:eastAsia="仿宋_GB2312" w:cs="宋体"/>
          <w:kern w:val="0"/>
          <w:szCs w:val="21"/>
          <w:u w:val="single"/>
        </w:rPr>
        <w:t>开工</w:t>
      </w:r>
      <w:r>
        <w:rPr>
          <w:rFonts w:hint="eastAsia" w:ascii="仿宋_GB2312" w:hAnsi="宋体" w:eastAsia="仿宋_GB2312" w:cs="宋体"/>
          <w:kern w:val="0"/>
          <w:szCs w:val="21"/>
        </w:rPr>
        <w:t>前向承包人提供合同工程用地范围内的施工场地。</w:t>
      </w:r>
    </w:p>
    <w:p w14:paraId="5D819B5D">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（2）分次提供全部施工场地：</w:t>
      </w:r>
      <w:r>
        <w:rPr>
          <w:rFonts w:hint="eastAsia" w:ascii="仿宋_GB2312" w:hAnsi="宋体" w:eastAsia="仿宋_GB2312" w:cs="宋体"/>
          <w:kern w:val="0"/>
          <w:szCs w:val="21"/>
          <w:u w:val="single"/>
        </w:rPr>
        <w:t>发包人按约定的时间分次向承包人提供合同工程用地范围内的施工场地</w:t>
      </w:r>
      <w:r>
        <w:rPr>
          <w:rFonts w:hint="eastAsia" w:ascii="仿宋_GB2312" w:hAnsi="宋体" w:eastAsia="仿宋_GB2312" w:cs="宋体"/>
          <w:kern w:val="0"/>
          <w:szCs w:val="21"/>
        </w:rPr>
        <w:t>。</w:t>
      </w:r>
    </w:p>
    <w:p w14:paraId="133D3243">
      <w:pPr>
        <w:pStyle w:val="2"/>
        <w:spacing w:after="0" w:line="360" w:lineRule="auto"/>
        <w:ind w:firstLine="420" w:firstLineChars="200"/>
        <w:rPr>
          <w:rFonts w:hint="eastAsia" w:ascii="仿宋_GB2312" w:hAnsi="宋体" w:eastAsia="仿宋_GB2312" w:cs="宋体"/>
          <w:b/>
          <w:bCs/>
          <w:szCs w:val="21"/>
        </w:rPr>
      </w:pPr>
      <w:r>
        <w:rPr>
          <w:rFonts w:hint="eastAsia" w:ascii="仿宋_GB2312" w:hAnsi="宋体" w:eastAsia="仿宋_GB2312" w:cs="宋体"/>
          <w:kern w:val="0"/>
          <w:szCs w:val="21"/>
          <w:u w:val="single"/>
        </w:rPr>
        <w:t>承包人编制的施工组织计划已充分考虑了施工场地提供的因素</w:t>
      </w:r>
      <w:r>
        <w:rPr>
          <w:rFonts w:hint="eastAsia" w:ascii="仿宋_GB2312" w:hAnsi="宋体" w:eastAsia="仿宋_GB2312" w:cs="宋体"/>
          <w:kern w:val="0"/>
          <w:szCs w:val="21"/>
        </w:rPr>
        <w:t>。</w:t>
      </w:r>
      <w:r>
        <w:rPr>
          <w:rFonts w:hint="eastAsia" w:ascii="仿宋_GB2312" w:hAnsi="宋体" w:eastAsia="仿宋_GB2312" w:cs="宋体"/>
          <w:szCs w:val="21"/>
        </w:rPr>
        <w:t>承包人自行勘察的施工场地范围为：</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62F59F54">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关于发包人应负责提供其他施工所需要条件的要求：</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14ECFA87">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发包人代表</w:t>
      </w:r>
    </w:p>
    <w:p w14:paraId="67A1F51B">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姓    名：</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67AB0131">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身份证号：</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46E0425A">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职    务：</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2FA20A5C">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联系方式：</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11AB3E38">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联系地址：</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45AB7B05">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邮    编：</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65A6EB6D">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发包人对发包人代表的授权范围如下：</w:t>
      </w:r>
      <w:r>
        <w:rPr>
          <w:rFonts w:hint="eastAsia" w:ascii="仿宋_GB2312" w:hAnsi="宋体" w:eastAsia="仿宋_GB2312" w:cs="宋体"/>
          <w:kern w:val="0"/>
          <w:szCs w:val="21"/>
          <w:u w:val="single"/>
        </w:rPr>
        <w:t>代表发包人对项目建设进行协调、管控、审查，确保安全、质量、环保、进度、成本可控，及时处理项目相关问题，向承包人、监理人等下达各类指令。由发包人授权的，以授权书载明的授权范围为准</w:t>
      </w:r>
      <w:r>
        <w:rPr>
          <w:rFonts w:hint="eastAsia" w:ascii="仿宋_GB2312" w:hAnsi="宋体" w:eastAsia="仿宋_GB2312" w:cs="宋体"/>
          <w:kern w:val="0"/>
          <w:szCs w:val="21"/>
        </w:rPr>
        <w:t>。</w:t>
      </w:r>
    </w:p>
    <w:p w14:paraId="116D54E7">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资金来源证明及支付担保</w:t>
      </w:r>
    </w:p>
    <w:p w14:paraId="64A951D7">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发包人提供资金来源证明的期限要求：</w:t>
      </w:r>
      <w:r>
        <w:rPr>
          <w:rFonts w:hint="eastAsia" w:ascii="仿宋_GB2312" w:hAnsi="宋体" w:eastAsia="仿宋_GB2312" w:cs="宋体"/>
          <w:kern w:val="0"/>
          <w:szCs w:val="21"/>
          <w:u w:val="single"/>
        </w:rPr>
        <w:t>不采用</w:t>
      </w:r>
      <w:r>
        <w:rPr>
          <w:rFonts w:hint="eastAsia" w:ascii="仿宋_GB2312" w:hAnsi="宋体" w:eastAsia="仿宋_GB2312" w:cs="宋体"/>
          <w:kern w:val="0"/>
          <w:szCs w:val="21"/>
        </w:rPr>
        <w:t>。</w:t>
      </w:r>
    </w:p>
    <w:p w14:paraId="7497ED54">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发包人是否提供支付担保：提供。</w:t>
      </w:r>
    </w:p>
    <w:p w14:paraId="2C1E92F1">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发包人提供支付担保的形式：</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128579A4">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支付担保的金额：</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25342F9E">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支付担保的时间：</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5A5562A6">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支付担保的期限：</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6C0E6D1B">
      <w:pPr>
        <w:spacing w:line="360" w:lineRule="auto"/>
        <w:ind w:firstLine="420" w:firstLineChars="200"/>
        <w:jc w:val="left"/>
        <w:rPr>
          <w:rFonts w:hint="eastAsia" w:ascii="宋体" w:hAnsi="宋体" w:cs="宋体"/>
          <w:szCs w:val="21"/>
        </w:rPr>
      </w:pPr>
      <w:r>
        <w:rPr>
          <w:rFonts w:hint="eastAsia" w:ascii="仿宋_GB2312" w:hAnsi="宋体" w:eastAsia="仿宋_GB2312" w:cs="宋体"/>
          <w:szCs w:val="21"/>
        </w:rPr>
        <w:t>支付担保的退还时间：</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342CE9D0">
      <w:pPr>
        <w:pStyle w:val="5"/>
        <w:spacing w:before="0" w:after="0" w:line="360" w:lineRule="auto"/>
        <w:rPr>
          <w:rFonts w:hint="eastAsia" w:ascii="宋体" w:hAnsi="宋体"/>
        </w:rPr>
      </w:pPr>
      <w:bookmarkStart w:id="583" w:name="_Toc2022"/>
      <w:bookmarkStart w:id="584" w:name="_Toc15004"/>
      <w:bookmarkStart w:id="585" w:name="_Toc57795967"/>
      <w:bookmarkStart w:id="586" w:name="_Toc25412"/>
      <w:r>
        <w:rPr>
          <w:rFonts w:hint="eastAsia" w:ascii="宋体" w:hAnsi="宋体"/>
        </w:rPr>
        <w:t>3、监理人</w:t>
      </w:r>
      <w:bookmarkEnd w:id="583"/>
      <w:bookmarkEnd w:id="584"/>
      <w:bookmarkEnd w:id="585"/>
      <w:bookmarkEnd w:id="586"/>
    </w:p>
    <w:p w14:paraId="78A7BBB9">
      <w:pPr>
        <w:pStyle w:val="6"/>
        <w:spacing w:before="0" w:beforeAutospacing="0" w:after="0" w:afterAutospacing="0" w:line="360" w:lineRule="auto"/>
        <w:rPr>
          <w:rFonts w:hint="eastAsia"/>
        </w:rPr>
      </w:pPr>
      <w:r>
        <w:rPr>
          <w:rFonts w:hint="eastAsia"/>
        </w:rPr>
        <w:t>3.1 监理人的职责和权力</w:t>
      </w:r>
    </w:p>
    <w:p w14:paraId="71115E7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3.1.1 项补充：</w:t>
      </w:r>
    </w:p>
    <w:p w14:paraId="19C08BC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监理人在行使下列权力前需要经发包人事先批准：</w:t>
      </w:r>
    </w:p>
    <w:p w14:paraId="28A18C9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（1）根据第 4.3 款，同意分包本工程的某些非关键性工作或者适合专业化队伍施工的专项工程；</w:t>
      </w:r>
    </w:p>
    <w:p w14:paraId="258B1C6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（2）确定第 4.11 款下产生的费用增加额；</w:t>
      </w:r>
    </w:p>
    <w:p w14:paraId="25B41B4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（3）根据第 11.1 款、第 12.3 款、第 12.4 款发布开工通知、暂停施工指示或复工通知；</w:t>
      </w:r>
    </w:p>
    <w:p w14:paraId="51272E2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（4）决定第 11.3 款、第 11.4 款下的工期延长；</w:t>
      </w:r>
    </w:p>
    <w:p w14:paraId="78232A2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（5）审查批准技术方案或设计的变更；</w:t>
      </w:r>
    </w:p>
    <w:p w14:paraId="05DC082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w:t>
      </w:r>
      <w:r>
        <w:rPr>
          <w:rFonts w:hint="eastAsia" w:ascii="仿宋_GB2312" w:hAnsi="宋体" w:eastAsia="仿宋_GB2312"/>
          <w:szCs w:val="21"/>
        </w:rPr>
        <w:t>根据第15.3款发出的所有变更，均需要经发包人事先批准</w:t>
      </w:r>
      <w:r>
        <w:rPr>
          <w:rFonts w:hint="eastAsia" w:ascii="宋体" w:hAnsi="宋体" w:cs="宋体"/>
          <w:kern w:val="0"/>
          <w:szCs w:val="21"/>
          <w:lang w:bidi="ar"/>
        </w:rPr>
        <w:t>；</w:t>
      </w:r>
    </w:p>
    <w:p w14:paraId="0E2B030E">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（7）确定第 15.4 款下变更工作的单价；</w:t>
      </w:r>
    </w:p>
    <w:p w14:paraId="44B039A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（8）按照第 15.6 款决定有关暂列金额的使用；</w:t>
      </w:r>
    </w:p>
    <w:p w14:paraId="167D0A7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（9）确定第 15.8 款下的暂估价金额；</w:t>
      </w:r>
    </w:p>
    <w:p w14:paraId="0A222DF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（10）确定第 23.1 款下的索赔额；</w:t>
      </w:r>
    </w:p>
    <w:p w14:paraId="5DBDB282">
      <w:pPr>
        <w:pStyle w:val="2"/>
        <w:spacing w:after="0" w:line="360" w:lineRule="auto"/>
        <w:ind w:firstLine="420" w:firstLineChars="200"/>
        <w:rPr>
          <w:rFonts w:hint="eastAsia"/>
        </w:rPr>
      </w:pPr>
      <w:r>
        <w:rPr>
          <w:rFonts w:hint="eastAsia" w:ascii="宋体" w:hAnsi="宋体" w:cs="宋体"/>
          <w:kern w:val="0"/>
          <w:szCs w:val="21"/>
          <w:lang w:bidi="ar"/>
        </w:rPr>
        <w:t>（11）</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6F2138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如果发生紧急情况，监理人认为将造成人员伤亡，或危及本工程或邻近的财产需立即采取行动，监理人有权在未征得发包人的批准的情况下发布处理紧急情况所必需的指令，承包人应予执行，由此造成的费用增加由监理人按第 3.5 款商定或确定。</w:t>
      </w:r>
    </w:p>
    <w:p w14:paraId="4924DD6E">
      <w:pPr>
        <w:pStyle w:val="6"/>
        <w:spacing w:before="0" w:beforeAutospacing="0" w:after="0" w:afterAutospacing="0" w:line="360" w:lineRule="auto"/>
        <w:rPr>
          <w:rFonts w:hint="eastAsia" w:ascii="仿宋_GB2312" w:eastAsia="仿宋_GB2312"/>
        </w:rPr>
      </w:pPr>
      <w:r>
        <w:rPr>
          <w:rFonts w:hint="eastAsia" w:ascii="仿宋_GB2312" w:eastAsia="仿宋_GB2312"/>
        </w:rPr>
        <w:t>3.2 总监理工程师</w:t>
      </w:r>
    </w:p>
    <w:p w14:paraId="7199CA52">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w:t>
      </w:r>
    </w:p>
    <w:p w14:paraId="2367BADB">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总监理工程师：</w:t>
      </w:r>
    </w:p>
    <w:p w14:paraId="317C7F1A">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姓    名：</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14:paraId="559769A6">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职    务：</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14:paraId="2B9B5F41">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监理工程师执业资格证书号：</w:t>
      </w:r>
      <w:r>
        <w:rPr>
          <w:rFonts w:hint="eastAsia" w:ascii="仿宋_GB2312" w:hAnsi="宋体" w:eastAsia="仿宋_GB2312" w:cs="宋体"/>
          <w:szCs w:val="21"/>
          <w:u w:val="single"/>
        </w:rPr>
        <w:t xml:space="preserve">              </w:t>
      </w:r>
      <w:r>
        <w:rPr>
          <w:rFonts w:hint="eastAsia" w:ascii="仿宋_GB2312" w:hAnsi="宋体" w:eastAsia="仿宋_GB2312" w:cs="宋体"/>
          <w:szCs w:val="21"/>
        </w:rPr>
        <w:t>；</w:t>
      </w:r>
    </w:p>
    <w:p w14:paraId="36DC466B">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联系方式：</w:t>
      </w:r>
      <w:r>
        <w:rPr>
          <w:rFonts w:hint="eastAsia" w:ascii="仿宋_GB2312" w:hAnsi="宋体" w:eastAsia="仿宋_GB2312" w:cs="宋体"/>
          <w:szCs w:val="21"/>
          <w:u w:val="single"/>
        </w:rPr>
        <w:t xml:space="preserve">                          </w:t>
      </w:r>
      <w:r>
        <w:rPr>
          <w:rFonts w:hint="eastAsia" w:ascii="仿宋_GB2312" w:hAnsi="宋体" w:eastAsia="仿宋_GB2312" w:cs="宋体"/>
          <w:kern w:val="0"/>
          <w:szCs w:val="21"/>
        </w:rPr>
        <w:t>；</w:t>
      </w:r>
    </w:p>
    <w:p w14:paraId="25672F2E">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关于监理人的其他约定：</w:t>
      </w:r>
      <w:r>
        <w:rPr>
          <w:rFonts w:hint="eastAsia" w:ascii="仿宋_GB2312" w:hAnsi="宋体" w:eastAsia="仿宋_GB2312" w:cs="宋体"/>
          <w:kern w:val="0"/>
          <w:szCs w:val="21"/>
          <w:u w:val="single"/>
        </w:rPr>
        <w:t>见发包人与监理人就本工程签订的监理合同</w:t>
      </w:r>
      <w:r>
        <w:rPr>
          <w:rFonts w:hint="eastAsia" w:ascii="仿宋_GB2312" w:hAnsi="宋体" w:eastAsia="仿宋_GB2312" w:cs="宋体"/>
          <w:kern w:val="0"/>
          <w:szCs w:val="21"/>
        </w:rPr>
        <w:t>。</w:t>
      </w:r>
    </w:p>
    <w:p w14:paraId="2F3C5697">
      <w:pPr>
        <w:pStyle w:val="6"/>
        <w:spacing w:before="0" w:beforeAutospacing="0" w:after="0" w:afterAutospacing="0" w:line="360" w:lineRule="auto"/>
        <w:rPr>
          <w:rFonts w:hint="eastAsia"/>
        </w:rPr>
      </w:pPr>
      <w:r>
        <w:rPr>
          <w:rFonts w:hint="eastAsia"/>
        </w:rPr>
        <w:t>3.5 商定或确定</w:t>
      </w:r>
    </w:p>
    <w:p w14:paraId="275E789F">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3.5.1 项补充：</w:t>
      </w:r>
    </w:p>
    <w:p w14:paraId="06CA24E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如果这项商定或确定导致费用增加和（或）工期延长，或者涉及确定变更工程的价格，则总监理工程师在发出通知前，应征得发包人的同意。</w:t>
      </w:r>
    </w:p>
    <w:p w14:paraId="48406599">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3.5.3 项：</w:t>
      </w:r>
    </w:p>
    <w:p w14:paraId="1FD958CE">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3.5.3 在发包人和承包人不能通过协商达成一致意见时，发包人授权监理人对以下事项进行确定：</w:t>
      </w:r>
    </w:p>
    <w:p w14:paraId="48FD8BF9">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0CF4707F">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w:t>
      </w:r>
    </w:p>
    <w:p w14:paraId="53A17774">
      <w:pPr>
        <w:pStyle w:val="5"/>
        <w:spacing w:before="0" w:after="0" w:line="360" w:lineRule="auto"/>
        <w:rPr>
          <w:rFonts w:hint="eastAsia" w:ascii="宋体" w:hAnsi="宋体"/>
        </w:rPr>
      </w:pPr>
      <w:bookmarkStart w:id="587" w:name="_Toc17400"/>
      <w:bookmarkStart w:id="588" w:name="_Toc22100"/>
      <w:bookmarkStart w:id="589" w:name="_Toc26466"/>
      <w:bookmarkStart w:id="590" w:name="_Toc57795968"/>
      <w:r>
        <w:rPr>
          <w:rFonts w:hint="eastAsia" w:ascii="宋体" w:hAnsi="宋体"/>
        </w:rPr>
        <w:t>4、承包人</w:t>
      </w:r>
      <w:bookmarkEnd w:id="587"/>
      <w:bookmarkEnd w:id="588"/>
      <w:bookmarkEnd w:id="589"/>
      <w:bookmarkEnd w:id="590"/>
    </w:p>
    <w:p w14:paraId="107E420C">
      <w:pPr>
        <w:pStyle w:val="6"/>
        <w:spacing w:before="0" w:beforeAutospacing="0" w:after="0" w:afterAutospacing="0" w:line="360" w:lineRule="auto"/>
        <w:rPr>
          <w:rFonts w:hint="eastAsia"/>
        </w:rPr>
      </w:pPr>
      <w:r>
        <w:rPr>
          <w:rFonts w:hint="eastAsia"/>
        </w:rPr>
        <w:t>4.1 承包人的一般义务</w:t>
      </w:r>
    </w:p>
    <w:p w14:paraId="3E7E5524">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4.1.3完成各项承包工作:</w:t>
      </w:r>
    </w:p>
    <w:p w14:paraId="3A04BF1E">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rPr>
        <w:t>本项补充：</w:t>
      </w:r>
    </w:p>
    <w:p w14:paraId="45DCDC62">
      <w:pPr>
        <w:snapToGrid w:val="0"/>
        <w:spacing w:line="360" w:lineRule="auto"/>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1）办理法律规定和合同约定应由承包人办理的许可和批准，并将办理结果书面报送发包人留存；协助发包人办理施工所需的相关证件及手续。承包人在接到中标通知书后，便可启动占道施工许可申请和有关方案的制定工作。</w:t>
      </w:r>
    </w:p>
    <w:p w14:paraId="7DDB339F">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按法律规定和合同约定完成工程，包括满足合同所必需的或合同隐含的以及由承包人义务而产生的任何工程，还应包括合同根据相关法律法规、技术规范等对工程的稳定性、完整性或安全、可靠、有效运行所必需的所有工程，并在保修期内承担保修义务。</w:t>
      </w:r>
    </w:p>
    <w:p w14:paraId="040D9A4B">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（3）按法律规定和合同约定采取施工安全和环境保护措施，办理工伤保险，确保工程及人员、材料、设备和设施的安全。</w:t>
      </w:r>
    </w:p>
    <w:p w14:paraId="013C6128">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按合同约定的工作内容和施工进度要求，编制施工组织设计和施工措施计划，并对所有施工作业和施工方法的完备性和安全可靠性负责。施工组织设计和施工措施计划中的措施保障水平应满足工程按合同进度实施的需要，且不得低于投标时施工组织设计的措施保障水平。</w:t>
      </w:r>
    </w:p>
    <w:p w14:paraId="39E4BB2C">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（5）按照约定采取施工安全措施，确保工程及其人员、材料、设备和设施的安全，防止因工程施工造成的人身伤害和财产损失。</w:t>
      </w:r>
    </w:p>
    <w:p w14:paraId="7C735804">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（6）将发包人按合同约定支付的各项价款专用于合同工程，且应及时支付其雇用人员工资，并及时向分包人支付合同价款。</w:t>
      </w:r>
    </w:p>
    <w:p w14:paraId="2F7EBA1B">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承包人需要提交的竣工资料套数：</w:t>
      </w:r>
      <w:r>
        <w:rPr>
          <w:rFonts w:hint="eastAsia" w:ascii="仿宋_GB2312" w:hAnsi="宋体" w:eastAsia="仿宋_GB2312" w:cs="宋体"/>
          <w:kern w:val="0"/>
          <w:szCs w:val="21"/>
          <w:u w:val="single"/>
        </w:rPr>
        <w:t>完整竣工资料一式     套（含电子文档）</w:t>
      </w:r>
      <w:r>
        <w:rPr>
          <w:rFonts w:hint="eastAsia" w:ascii="仿宋_GB2312" w:hAnsi="宋体" w:eastAsia="仿宋_GB2312" w:cs="宋体"/>
          <w:kern w:val="0"/>
          <w:szCs w:val="21"/>
        </w:rPr>
        <w:t>。</w:t>
      </w:r>
    </w:p>
    <w:p w14:paraId="1ED96E69">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承包人提交的竣工资料的费用承担：</w:t>
      </w:r>
      <w:r>
        <w:rPr>
          <w:rFonts w:hint="eastAsia" w:ascii="仿宋_GB2312" w:hAnsi="宋体" w:eastAsia="仿宋_GB2312" w:cs="宋体"/>
          <w:kern w:val="0"/>
          <w:szCs w:val="21"/>
          <w:u w:val="single"/>
        </w:rPr>
        <w:t>由承包人承担</w:t>
      </w:r>
      <w:r>
        <w:rPr>
          <w:rFonts w:hint="eastAsia" w:ascii="仿宋_GB2312" w:hAnsi="宋体" w:eastAsia="仿宋_GB2312" w:cs="宋体"/>
          <w:kern w:val="0"/>
          <w:szCs w:val="21"/>
        </w:rPr>
        <w:t>。</w:t>
      </w:r>
    </w:p>
    <w:p w14:paraId="468A0D00">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承包人提交的竣工资料移交时间：</w:t>
      </w:r>
      <w:r>
        <w:rPr>
          <w:rFonts w:hint="eastAsia" w:ascii="仿宋_GB2312" w:hAnsi="宋体" w:eastAsia="仿宋_GB2312" w:cs="宋体"/>
          <w:kern w:val="0"/>
          <w:szCs w:val="21"/>
          <w:u w:val="single"/>
        </w:rPr>
        <w:t>工程完工验收合格后     个月内移交给发包人</w:t>
      </w:r>
      <w:r>
        <w:rPr>
          <w:rFonts w:hint="eastAsia" w:ascii="仿宋_GB2312" w:hAnsi="宋体" w:eastAsia="仿宋_GB2312" w:cs="宋体"/>
          <w:kern w:val="0"/>
          <w:szCs w:val="21"/>
        </w:rPr>
        <w:t>。</w:t>
      </w:r>
    </w:p>
    <w:p w14:paraId="0FFCAC40">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承包人提交的竣工资料形式要求：</w:t>
      </w:r>
      <w:r>
        <w:rPr>
          <w:rFonts w:hint="eastAsia" w:ascii="仿宋_GB2312" w:hAnsi="宋体" w:eastAsia="仿宋_GB2312" w:cs="宋体"/>
          <w:kern w:val="0"/>
          <w:szCs w:val="21"/>
          <w:u w:val="single"/>
        </w:rPr>
        <w:t>完整的书面文件及电子文档</w:t>
      </w:r>
      <w:r>
        <w:rPr>
          <w:rFonts w:hint="eastAsia" w:ascii="仿宋_GB2312" w:hAnsi="宋体" w:eastAsia="仿宋_GB2312" w:cs="宋体"/>
          <w:kern w:val="0"/>
          <w:szCs w:val="21"/>
        </w:rPr>
        <w:t>。</w:t>
      </w:r>
    </w:p>
    <w:p w14:paraId="1CE9E698">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（7）</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1786C484">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4.1.4对施工作业和施工方法的完备性负责</w:t>
      </w:r>
    </w:p>
    <w:p w14:paraId="0532AD07">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本项补充4.1.4.1～4.1.4.3目：</w:t>
      </w:r>
    </w:p>
    <w:p w14:paraId="26E85EF9">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4.1.4.1施工组织设计的内容</w:t>
      </w:r>
    </w:p>
    <w:p w14:paraId="05FD0694">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施工组织设计应包含以下内容：</w:t>
      </w:r>
    </w:p>
    <w:p w14:paraId="33E64151">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（1）施工方案；</w:t>
      </w:r>
    </w:p>
    <w:p w14:paraId="0CC03288">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（2）施工现场平面布置图；</w:t>
      </w:r>
    </w:p>
    <w:p w14:paraId="125A4E7D">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（3）施工进度计划和保证措施；</w:t>
      </w:r>
    </w:p>
    <w:p w14:paraId="60CA9EB5">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（4）劳动力及材料供应计划；</w:t>
      </w:r>
    </w:p>
    <w:p w14:paraId="77255F2D">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（5）施工机械设备的选用；</w:t>
      </w:r>
    </w:p>
    <w:p w14:paraId="16042EEF">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（6）质量保证体系及措施；</w:t>
      </w:r>
    </w:p>
    <w:p w14:paraId="5A6ABA04">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（7）安全生产、文明施工措施；</w:t>
      </w:r>
    </w:p>
    <w:p w14:paraId="402E674B">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（8）环境保护、成本控制措施；</w:t>
      </w:r>
    </w:p>
    <w:p w14:paraId="62C038D8">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（9）</w:t>
      </w:r>
      <w:r>
        <w:rPr>
          <w:rFonts w:hint="eastAsia" w:ascii="仿宋_GB2312" w:hAnsi="宋体" w:eastAsia="仿宋_GB2312" w:cs="宋体"/>
          <w:kern w:val="0"/>
          <w:szCs w:val="21"/>
          <w:u w:val="single"/>
        </w:rPr>
        <w:t>合同当事人约定的其他内容</w:t>
      </w:r>
      <w:r>
        <w:rPr>
          <w:rFonts w:hint="eastAsia" w:ascii="仿宋_GB2312" w:hAnsi="宋体" w:eastAsia="仿宋_GB2312" w:cs="宋体"/>
          <w:kern w:val="0"/>
          <w:szCs w:val="21"/>
        </w:rPr>
        <w:t>。</w:t>
      </w:r>
    </w:p>
    <w:p w14:paraId="1D5A621C">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合同当事人约定的施工组织设计应包括的其他内容：应采用文字并结合图表形式说明施工方法；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p>
    <w:p w14:paraId="2266BB46">
      <w:pPr>
        <w:snapToGrid w:val="0"/>
        <w:spacing w:line="360" w:lineRule="auto"/>
        <w:ind w:firstLine="420" w:firstLineChars="200"/>
        <w:rPr>
          <w:rFonts w:ascii="仿宋_GB2312" w:hAnsi="宋体" w:eastAsia="仿宋_GB2312" w:cs="宋体"/>
          <w:kern w:val="0"/>
          <w:szCs w:val="21"/>
        </w:rPr>
      </w:pPr>
      <w:r>
        <w:rPr>
          <w:rFonts w:hint="eastAsia" w:ascii="仿宋_GB2312" w:hAnsi="宋体" w:eastAsia="仿宋_GB2312" w:cs="宋体"/>
          <w:kern w:val="0"/>
          <w:szCs w:val="21"/>
        </w:rPr>
        <w:t>4.1.4.2 交通组织设计的内容</w:t>
      </w:r>
    </w:p>
    <w:p w14:paraId="7526AA9D">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交通组织设计应包含以下内容：</w:t>
      </w:r>
    </w:p>
    <w:p w14:paraId="53286E0E">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（1）现状交通调查及分析；</w:t>
      </w:r>
    </w:p>
    <w:p w14:paraId="5256230D">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（2）总体交通组织方案；</w:t>
      </w:r>
    </w:p>
    <w:p w14:paraId="1E6595D4">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（3）安全保证措施；</w:t>
      </w:r>
    </w:p>
    <w:p w14:paraId="5920A528">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（4）环保及文明施工保证措施；</w:t>
      </w:r>
    </w:p>
    <w:p w14:paraId="7279664A">
      <w:pPr>
        <w:snapToGrid w:val="0"/>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（5）应急预案；</w:t>
      </w:r>
    </w:p>
    <w:p w14:paraId="2FDAC309">
      <w:pPr>
        <w:snapToGrid w:val="0"/>
        <w:spacing w:line="360" w:lineRule="auto"/>
        <w:ind w:firstLine="420" w:firstLineChars="200"/>
        <w:rPr>
          <w:rFonts w:hint="eastAsia" w:eastAsia="仿宋_GB2312"/>
        </w:rPr>
      </w:pPr>
      <w:r>
        <w:rPr>
          <w:rFonts w:hint="eastAsia" w:ascii="仿宋_GB2312" w:hAnsi="宋体" w:eastAsia="仿宋_GB2312" w:cs="宋体"/>
          <w:kern w:val="0"/>
          <w:szCs w:val="21"/>
          <w:u w:val="single"/>
        </w:rPr>
        <w:t>（6）合同当事人约定的其他内容。</w:t>
      </w:r>
    </w:p>
    <w:p w14:paraId="598B195D">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4.1.4.3施工组织设计、交通组织设计的提交和修改</w:t>
      </w:r>
    </w:p>
    <w:p w14:paraId="1D1EFDF2">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（1）承包人提交详细施工组织设计、交通组织设计的期限的约定：</w:t>
      </w:r>
      <w:r>
        <w:rPr>
          <w:rFonts w:hint="eastAsia" w:ascii="仿宋_GB2312" w:hAnsi="宋体" w:eastAsia="仿宋_GB2312" w:cs="宋体"/>
          <w:kern w:val="0"/>
          <w:szCs w:val="21"/>
          <w:u w:val="single"/>
        </w:rPr>
        <w:t>合同签订后14天内，但最迟不得晚于开工通知载明的开工日期前7天</w:t>
      </w:r>
      <w:r>
        <w:rPr>
          <w:rFonts w:hint="eastAsia" w:ascii="仿宋_GB2312" w:hAnsi="宋体" w:eastAsia="仿宋_GB2312" w:cs="宋体"/>
          <w:kern w:val="0"/>
          <w:szCs w:val="21"/>
        </w:rPr>
        <w:t>。</w:t>
      </w:r>
    </w:p>
    <w:p w14:paraId="07ABCD31">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（2）承包人编制施工组织设计的内容：</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543A820B">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（3）承包人编制交通组织设计的内容：</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3EC25A75">
      <w:pPr>
        <w:snapToGrid w:val="0"/>
        <w:spacing w:line="360" w:lineRule="auto"/>
        <w:ind w:firstLine="420" w:firstLineChars="200"/>
        <w:rPr>
          <w:rFonts w:hint="eastAsia" w:ascii="宋体" w:hAnsi="宋体" w:cs="宋体"/>
          <w:kern w:val="0"/>
          <w:szCs w:val="21"/>
        </w:rPr>
      </w:pPr>
      <w:r>
        <w:rPr>
          <w:rFonts w:hint="eastAsia" w:ascii="仿宋_GB2312" w:hAnsi="宋体" w:eastAsia="仿宋_GB2312" w:cs="宋体"/>
          <w:kern w:val="0"/>
          <w:szCs w:val="21"/>
        </w:rPr>
        <w:t>（4）发包人和监理人在收到详细的施工组织设计和交通组织设计后确认或提出修改意见的期限：</w:t>
      </w:r>
      <w:r>
        <w:rPr>
          <w:rFonts w:hint="eastAsia" w:ascii="仿宋_GB2312" w:hAnsi="宋体" w:eastAsia="仿宋_GB2312" w:cs="宋体"/>
          <w:kern w:val="0"/>
          <w:szCs w:val="21"/>
          <w:u w:val="single"/>
        </w:rPr>
        <w:t>收到后  天内</w:t>
      </w:r>
      <w:r>
        <w:rPr>
          <w:rFonts w:hint="eastAsia" w:ascii="仿宋_GB2312" w:hAnsi="宋体" w:eastAsia="仿宋_GB2312" w:cs="宋体"/>
          <w:kern w:val="0"/>
          <w:szCs w:val="21"/>
        </w:rPr>
        <w:t>。</w:t>
      </w:r>
    </w:p>
    <w:p w14:paraId="157B699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4.1.9 工程的维护和照管</w:t>
      </w:r>
    </w:p>
    <w:p w14:paraId="1752C73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14:paraId="433C649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交工验收证书颁发前，承包人应负责照管和维护工程及将用于或安装在本工程中的材料、设备。交工验收证书颁发时尚有部分未交工工程的，承包人还应负责该未交工工程、材料、设备的照管和维护工作，直至交工后移交给发包人为止。</w:t>
      </w:r>
    </w:p>
    <w:p w14:paraId="3BAAB55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（2）在承包人负责照管与维护期间，如果本工程或材料、设备等发生损失或损害，除不可抗力原因之外，承包人均应自费弥补，并达到合同要求。承包人还应对按第 19 条规定而实施作业过程中由承包人造成的对工程的任何损失或损害负责。</w:t>
      </w:r>
    </w:p>
    <w:p w14:paraId="35EE7E2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4.1.10 其他义务</w:t>
      </w:r>
    </w:p>
    <w:p w14:paraId="3386B41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本项细化为：</w:t>
      </w:r>
    </w:p>
    <w:p w14:paraId="41C51F12">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（1）临时占地由承包人向当地政府土地管理部门申请，并办理租用手续，承包人按有关规定直接支付其费用，发包人对此将予以协调。</w:t>
      </w:r>
    </w:p>
    <w:p w14:paraId="31C88E6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临时占地范围包括承包人驻地的办公室、食堂、宿舍、道路和机械设备停放场、材料堆放场地、弃土场、预制场、拌和场、仓库、进场临时道路、临时便道、便桥等。承包人应在“临时占地计划表”范围内按实际需要与先后次序，提出具体计划报监理人同意，并报发包人。临时占地的面积和使用期应满足工程需要，费用包括临时占地数量、时间及因此而发生的协调、租用、复耕、地面附着物（电力、电信、房屋、坟墓除外）的拆迁补偿等相关费用。临时 占地的租地费用实行总额包干，列入工程量清单第 100 章中由承包人按总额报价。</w:t>
      </w:r>
    </w:p>
    <w:p w14:paraId="1549EFC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临时占地退还前，承包人应自费恢复到临时占地使用前的状况。如因承包人撤离后未按要求对临时占地进行恢复或虽进行了恢复但未达到使用标准的，将由发包人委托第三方对其恢复，所发生的费用将从应付给承包人的任何款项内扣除。</w:t>
      </w:r>
    </w:p>
    <w:p w14:paraId="3B62DCB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承包人应承担并支付为获得本合同工程所需的石料、砂、砾石、黏土或其他当地材料等所发生的料场使用费及其他开支或补偿费。发包人应尽可能协助承包人办理料场租用手续及解决使用过程中的有关问题。</w:t>
      </w:r>
    </w:p>
    <w:p w14:paraId="3DFBEAE2">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承包人应严格遵守国家有关解决拖欠工程款和民工工资的法律、法规，及时支付工程中的材料、设备货款及民工工资等费用。承包人不得以任何借口拖欠材料、设备货款及民工工资等费用，如果出现此种现象，发包人有权代为支付其拖欠的材料、设备货款及民工工资，并从应付给承包人的工程款中扣除相应款项。对恶意拖欠和拒不按计划支付的，作为不良记录纳入公路建设市场信用信息管理系统。</w:t>
      </w:r>
    </w:p>
    <w:p w14:paraId="70D735F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的项目经理部是民工工资支付行为的主体，承包人的项目经理是民工工资支付的责任人。项目经理部要建立全体民工花名册和工资支付表，确保将工资直接发放给民工本人，或委托银行发放民工工资，严禁发放给“包工头”或其他不具备用工主体资格的组织和个人。</w:t>
      </w:r>
    </w:p>
    <w:p w14:paraId="3ED006A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工资支付表应如实记录支付单位、支付时间、支付对象、支付数额、支付对象的身份证号和签名等信息。民工花名册和工资支付表应报监理人备查。</w:t>
      </w:r>
    </w:p>
    <w:p w14:paraId="255A93B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承包人应分解工程价款中的人工费用，在工程项目所在地银行开设民工工资（劳务费）专用账户，专项用于支付民工工资。发包人应按照本合同约定的比例或承包人提供的人工费用数额，将应付工程款中的人工费单独拨付到承包人开设的民工工资（劳务费）专用账户。民工工资（劳务费）专用账户应向</w:t>
      </w:r>
      <w:r>
        <w:rPr>
          <w:rFonts w:hint="eastAsia" w:ascii="宋体" w:hAnsi="宋体" w:cs="宋体"/>
          <w:kern w:val="0"/>
          <w:szCs w:val="21"/>
          <w:lang w:eastAsia="zh-CN" w:bidi="ar"/>
        </w:rPr>
        <w:t>人力资源和社会保障部</w:t>
      </w:r>
      <w:r>
        <w:rPr>
          <w:rFonts w:hint="eastAsia" w:ascii="宋体" w:hAnsi="宋体" w:cs="宋体"/>
          <w:kern w:val="0"/>
          <w:szCs w:val="21"/>
          <w:lang w:bidi="ar"/>
        </w:rPr>
        <w:t>门和交通运输主管部门备案，并委托开户银行负责日常监管，确保专款专用。 开户银行发现账户资金不足、被挪用等情况，应及时向</w:t>
      </w:r>
      <w:r>
        <w:rPr>
          <w:rFonts w:hint="eastAsia" w:ascii="宋体" w:hAnsi="宋体" w:cs="宋体"/>
          <w:kern w:val="0"/>
          <w:szCs w:val="21"/>
          <w:lang w:eastAsia="zh-CN" w:bidi="ar"/>
        </w:rPr>
        <w:t>人力资源和社会保障部</w:t>
      </w:r>
      <w:r>
        <w:rPr>
          <w:rFonts w:hint="eastAsia" w:ascii="宋体" w:hAnsi="宋体" w:cs="宋体"/>
          <w:kern w:val="0"/>
          <w:szCs w:val="21"/>
          <w:lang w:bidi="ar"/>
        </w:rPr>
        <w:t xml:space="preserve">门和交通运输主管部门报告。 </w:t>
      </w:r>
    </w:p>
    <w:p w14:paraId="0AE5C90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（5）承包人应严格执行招标文件技术规范对施工标准化提出的具体要求，结合本单位施工能力和技</w:t>
      </w:r>
      <w:bookmarkStart w:id="1055" w:name="_GoBack"/>
      <w:r>
        <w:rPr>
          <w:rFonts w:hint="eastAsia" w:ascii="宋体" w:hAnsi="宋体" w:cs="宋体"/>
          <w:kern w:val="0"/>
          <w:szCs w:val="21"/>
          <w:lang w:bidi="ar"/>
        </w:rPr>
        <w:t>术优势，积极采取有利于标准化施工的组织方式和工艺流程，加强工地建设、工艺控制、人员管理和内</w:t>
      </w:r>
      <w:bookmarkEnd w:id="1055"/>
      <w:r>
        <w:rPr>
          <w:rFonts w:hint="eastAsia" w:ascii="宋体" w:hAnsi="宋体" w:cs="宋体"/>
          <w:kern w:val="0"/>
          <w:szCs w:val="21"/>
          <w:lang w:bidi="ar"/>
        </w:rPr>
        <w:t>业资料管理，强化对施工一线操作人员的培训，改善职工生产生活条件，与此相关的费用承包人应列入工程量清单第100章中。</w:t>
      </w:r>
    </w:p>
    <w:p w14:paraId="2B942ED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（6）承包人应履行的其他义务：</w:t>
      </w:r>
    </w:p>
    <w:p w14:paraId="641FE41D">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a.在开始施工之前，承包人应核查、复测本工程的各种基准标志。承包人应及时将上述基准标志中存在的错误、不完整或其他缺陷通知发包人，以便发包人核实后重新确认。</w:t>
      </w:r>
    </w:p>
    <w:p w14:paraId="4B046AD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b.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08175E9A">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c.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6EC1ADA4">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d.承包人应服从发包人要求的管理模式、工作方式和工作要求，同时接受监理人、跟审单位（如有）的管理和全程监督，配合项目结、决算的办理。</w:t>
      </w:r>
    </w:p>
    <w:p w14:paraId="34E14605">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e.承包人应严格执行招标文件技术规范对施工标准化提出的具体要求，结合本单位施工能力和技术优势，积极采取有利于标准化施工的组织方式和工艺流程，加强工地建设、工艺控制、人员管理和内业资料管理，强化对施工一线操作人员的培训，改善职工生产生活条件。</w:t>
      </w:r>
    </w:p>
    <w:p w14:paraId="2CE412D0">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f.承包人安排在施工场地的主要管理人员应与承包人承诺的名单一致，并保持相对稳定。未经监理人批准，上述人员不应无故不到位或被替换；若确实无法到位或需替换，需经监理人审核并报发包人批准后，用同等资质和经历的人员替换。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7D498F12">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g.</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00792C71">
      <w:pPr>
        <w:pStyle w:val="6"/>
        <w:spacing w:before="0" w:beforeAutospacing="0" w:after="0" w:afterAutospacing="0" w:line="360" w:lineRule="auto"/>
        <w:rPr>
          <w:rFonts w:hint="eastAsia"/>
        </w:rPr>
      </w:pPr>
      <w:r>
        <w:rPr>
          <w:rFonts w:hint="eastAsia"/>
        </w:rPr>
        <w:t>4.2 履约保证金</w:t>
      </w:r>
    </w:p>
    <w:p w14:paraId="6C5B9DAF">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本款细化为：</w:t>
      </w:r>
    </w:p>
    <w:p w14:paraId="1FF25009">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承包人应保证其履约保证金在发包人签发交工验收证书且承包人按照合同约定交纳质量保证金前一直有效。发包人应在收到承包人交纳的质量保证金后 </w:t>
      </w:r>
      <w:r>
        <w:rPr>
          <w:rFonts w:ascii="宋体" w:hAnsi="宋体"/>
          <w:kern w:val="0"/>
          <w:szCs w:val="21"/>
          <w:lang w:bidi="ar"/>
        </w:rPr>
        <w:t xml:space="preserve">28 </w:t>
      </w:r>
      <w:r>
        <w:rPr>
          <w:rFonts w:hint="eastAsia" w:ascii="宋体" w:hAnsi="宋体" w:cs="宋体"/>
          <w:kern w:val="0"/>
          <w:szCs w:val="21"/>
          <w:lang w:bidi="ar"/>
        </w:rPr>
        <w:t>天内将履约保证金退还给承包人。</w:t>
      </w:r>
    </w:p>
    <w:p w14:paraId="6F71B15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承包人拒绝按照本合同约定交纳质量保证金的，发包人有权从交工付款证书中扣留相应金额作为质量保证金，或者直接将履约保证金金额用于保证承包人在缺陷责任期内履行缺陷修复义务。</w:t>
      </w:r>
    </w:p>
    <w:p w14:paraId="510F4E73">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4.2.1 ～ 4.2.3 项：</w:t>
      </w:r>
    </w:p>
    <w:p w14:paraId="5A0D2CAC">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4.2.1 承包人是否提供履约保证金：</w:t>
      </w:r>
      <w:r>
        <w:rPr>
          <w:rFonts w:hint="eastAsia" w:ascii="仿宋_GB2312" w:hAnsi="宋体" w:eastAsia="仿宋_GB2312" w:cs="宋体"/>
          <w:kern w:val="0"/>
          <w:szCs w:val="21"/>
          <w:u w:val="single"/>
        </w:rPr>
        <w:t>提供</w:t>
      </w:r>
      <w:r>
        <w:rPr>
          <w:rFonts w:hint="eastAsia" w:ascii="仿宋_GB2312" w:hAnsi="宋体" w:eastAsia="仿宋_GB2312" w:cs="宋体"/>
          <w:kern w:val="0"/>
          <w:szCs w:val="21"/>
        </w:rPr>
        <w:t>。</w:t>
      </w:r>
    </w:p>
    <w:p w14:paraId="471FDA82">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4.2.2承包人提供履约保证金的形式、金额及期限：</w:t>
      </w:r>
    </w:p>
    <w:p w14:paraId="7F74C19F">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履约保证金的形式：现金或履约保函或现金+履约保函的组合，履约保函包括银行保函、保证保险和担保保函，其示范文本详见合同附件。承包人提交的履约保函应严格执行其示范文本，不得对示范文本中的实质性内容进行修改。承包人若采用现金提交履约保证金的，允许使用符合《关于在全市工程建设领域全面推行工程保函工作的通知》（渝公管发〔2022〕25号）、《关于进一步规范工程建设领域工程保函示范文本的通知》（渝公管发〔2022〕26号）要求的履约保函置换。</w:t>
      </w:r>
    </w:p>
    <w:p w14:paraId="2E23830B">
      <w:pPr>
        <w:tabs>
          <w:tab w:val="left" w:pos="1134"/>
        </w:tabs>
        <w:spacing w:line="360" w:lineRule="auto"/>
        <w:ind w:firstLine="420" w:firstLineChars="200"/>
        <w:jc w:val="left"/>
        <w:rPr>
          <w:rFonts w:ascii="仿宋_GB2312" w:hAnsi="宋体" w:eastAsia="仿宋_GB2312" w:cs="宋体"/>
          <w:kern w:val="0"/>
          <w:szCs w:val="21"/>
        </w:rPr>
      </w:pPr>
      <w:r>
        <w:rPr>
          <w:rFonts w:hint="eastAsia" w:ascii="仿宋_GB2312" w:hAnsi="宋体" w:eastAsia="仿宋_GB2312" w:cs="宋体"/>
          <w:kern w:val="0"/>
          <w:szCs w:val="21"/>
        </w:rPr>
        <w:t>（2）具体要求：履约保函的开立人应当是具有相应资格的银行、保险机构、融资担保公司，其信用资质、履约能力、担保能力、赔付流程、安全保密等应符合履约保函业务条件。履约保函应合法合规，符合招投标行政监督部门、行业主管部门和金融监管部门的相关规定，满足招标文件约定要求。承包人应选择在渝依法设立总部或者设有分支机构的金融机构开具履约保函（包括纸质保函或电子保函）。履约保函为纸质保函的，承包人应提供该纸质保函在重庆市辖区范围内的核验地址和核验方式，并确保该纸质保函能在开立人在渝的总部或者分支机构进行核验。承包人对所提交的履约保函的真实性、合法性、有效性负责。</w:t>
      </w:r>
    </w:p>
    <w:p w14:paraId="29568AFF">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（3）履约保证金的金额：</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54D44756">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kern w:val="0"/>
          <w:szCs w:val="21"/>
        </w:rPr>
        <w:t>（4）履约保证金的提交时间：</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2753502C">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（5）履约保证金的期限：</w:t>
      </w:r>
      <w:r>
        <w:rPr>
          <w:rFonts w:hint="eastAsia" w:ascii="仿宋_GB2312" w:hAnsi="宋体" w:eastAsia="仿宋_GB2312" w:cs="宋体"/>
          <w:kern w:val="0"/>
          <w:szCs w:val="21"/>
          <w:u w:val="single"/>
        </w:rPr>
        <w:t>自我方法定代表人（或其委托代理人）签名并加盖公章之日起至你方签发或应签发工程接收证书之日止，或者自提交履约保证金之日起至竣工验收合格之日止</w:t>
      </w:r>
      <w:r>
        <w:rPr>
          <w:rFonts w:hint="eastAsia" w:ascii="仿宋_GB2312" w:hAnsi="宋体" w:eastAsia="仿宋_GB2312" w:cs="宋体"/>
          <w:kern w:val="0"/>
          <w:szCs w:val="21"/>
        </w:rPr>
        <w:t>。</w:t>
      </w:r>
    </w:p>
    <w:p w14:paraId="137ECC9A">
      <w:pPr>
        <w:pStyle w:val="2"/>
        <w:spacing w:after="0" w:line="360" w:lineRule="auto"/>
        <w:ind w:firstLine="420" w:firstLineChars="200"/>
        <w:jc w:val="left"/>
        <w:rPr>
          <w:rFonts w:ascii="仿宋_GB2312" w:hAnsi="宋体" w:eastAsia="仿宋_GB2312" w:cs="宋体"/>
          <w:szCs w:val="21"/>
        </w:rPr>
      </w:pPr>
      <w:r>
        <w:rPr>
          <w:rFonts w:hint="eastAsia" w:ascii="仿宋_GB2312" w:hAnsi="宋体" w:eastAsia="仿宋_GB2312" w:cs="宋体"/>
          <w:kern w:val="0"/>
          <w:szCs w:val="21"/>
        </w:rPr>
        <w:t>（6）履约保证金的退还时间：</w:t>
      </w:r>
      <w:r>
        <w:rPr>
          <w:rFonts w:hint="eastAsia" w:ascii="仿宋_GB2312" w:hAnsi="宋体" w:eastAsia="仿宋_GB2312" w:cs="宋体"/>
          <w:kern w:val="0"/>
          <w:szCs w:val="21"/>
          <w:u w:val="single"/>
        </w:rPr>
        <w:t>采用现金担保的，</w:t>
      </w:r>
      <w:r>
        <w:rPr>
          <w:rFonts w:hint="eastAsia" w:ascii="仿宋_GB2312" w:hAnsi="宋体" w:eastAsia="仿宋_GB2312" w:cs="宋体"/>
          <w:szCs w:val="21"/>
          <w:u w:val="single"/>
        </w:rPr>
        <w:t>合同工程完工报告</w:t>
      </w:r>
      <w:r>
        <w:rPr>
          <w:rFonts w:hint="eastAsia" w:ascii="仿宋_GB2312" w:hAnsi="宋体" w:eastAsia="仿宋_GB2312" w:cs="宋体"/>
          <w:kern w:val="0"/>
          <w:szCs w:val="21"/>
          <w:u w:val="single"/>
        </w:rPr>
        <w:t>颁发后</w:t>
      </w:r>
      <w:r>
        <w:rPr>
          <w:rFonts w:hint="eastAsia" w:ascii="仿宋_GB2312" w:hAnsi="宋体" w:eastAsia="仿宋_GB2312" w:cs="宋体"/>
          <w:szCs w:val="21"/>
          <w:u w:val="single"/>
        </w:rPr>
        <w:t xml:space="preserve">28天内一次性退还，或按工程实际情况约定分阶段退还，阶段划分按以下标准执行：          ；采用履约保函的，合同工程完工报告颁发后28天内内退还，或按工程实际情况约定分阶段退还，阶段划分按以下标准执行        </w:t>
      </w:r>
      <w:r>
        <w:rPr>
          <w:rFonts w:hint="eastAsia" w:ascii="仿宋_GB2312" w:hAnsi="宋体" w:eastAsia="仿宋_GB2312" w:cs="宋体"/>
          <w:kern w:val="0"/>
          <w:szCs w:val="21"/>
        </w:rPr>
        <w:t>。</w:t>
      </w:r>
    </w:p>
    <w:p w14:paraId="2CAFF275">
      <w:pPr>
        <w:pStyle w:val="6"/>
        <w:spacing w:before="0" w:beforeAutospacing="0" w:after="0" w:afterAutospacing="0" w:line="360" w:lineRule="auto"/>
        <w:rPr>
          <w:rFonts w:hint="eastAsia"/>
        </w:rPr>
      </w:pPr>
      <w:r>
        <w:rPr>
          <w:rFonts w:hint="eastAsia"/>
        </w:rPr>
        <w:t>4.3 分包</w:t>
      </w:r>
    </w:p>
    <w:p w14:paraId="00C5657B">
      <w:pPr>
        <w:spacing w:line="360" w:lineRule="auto"/>
        <w:ind w:right="248" w:firstLine="420" w:firstLineChars="200"/>
        <w:rPr>
          <w:rFonts w:hint="eastAsia" w:ascii="仿宋_GB2312" w:hAnsi="宋体" w:eastAsia="仿宋_GB2312" w:cs="宋体"/>
          <w:bCs/>
          <w:szCs w:val="21"/>
        </w:rPr>
      </w:pPr>
      <w:r>
        <w:rPr>
          <w:rFonts w:hint="eastAsia" w:ascii="仿宋_GB2312" w:hAnsi="宋体" w:eastAsia="仿宋_GB2312" w:cs="宋体"/>
          <w:bCs/>
          <w:szCs w:val="21"/>
        </w:rPr>
        <w:t>第 4.3.1项补充：</w:t>
      </w:r>
    </w:p>
    <w:p w14:paraId="6349AA42">
      <w:pPr>
        <w:spacing w:line="360" w:lineRule="auto"/>
        <w:ind w:right="248" w:firstLine="420" w:firstLineChars="200"/>
        <w:rPr>
          <w:rFonts w:hint="eastAsia" w:ascii="仿宋_GB2312" w:hAnsi="宋体" w:eastAsia="仿宋_GB2312" w:cs="宋体"/>
          <w:bCs/>
          <w:szCs w:val="21"/>
        </w:rPr>
      </w:pPr>
      <w:r>
        <w:rPr>
          <w:rFonts w:hint="eastAsia" w:ascii="仿宋_GB2312" w:hAnsi="宋体" w:eastAsia="仿宋_GB2312" w:cs="宋体"/>
          <w:bCs/>
          <w:szCs w:val="21"/>
        </w:rPr>
        <w:t>分包的一般约定</w:t>
      </w:r>
      <w:r>
        <w:rPr>
          <w:rFonts w:hint="eastAsia" w:ascii="仿宋_GB2312" w:hAnsi="宋体" w:eastAsia="仿宋_GB2312" w:cs="宋体"/>
          <w:kern w:val="0"/>
          <w:szCs w:val="21"/>
        </w:rPr>
        <w:t>：</w:t>
      </w:r>
      <w:r>
        <w:rPr>
          <w:rFonts w:hint="eastAsia" w:ascii="仿宋_GB2312" w:hAnsi="宋体" w:eastAsia="仿宋_GB2312" w:cs="宋体"/>
          <w:bCs/>
          <w:szCs w:val="21"/>
        </w:rPr>
        <w:t>在合同履行过程中实行项目经理、项目总工、安全负责人实名制管理，发包人有权核查承包人管理人员的资格证件、工程价款往来银行账户、施工单位的材料构配件、设备的发票等资料，配合相关行政主管部门加大对转包、违法分包行为的查处。</w:t>
      </w:r>
    </w:p>
    <w:p w14:paraId="3325DFEB">
      <w:pPr>
        <w:pStyle w:val="2"/>
        <w:spacing w:after="0" w:line="360" w:lineRule="auto"/>
        <w:ind w:firstLine="420" w:firstLineChars="200"/>
        <w:rPr>
          <w:rFonts w:hint="eastAsia" w:ascii="仿宋_GB2312" w:hAnsi="宋体" w:eastAsia="仿宋_GB2312" w:cs="宋体"/>
          <w:bCs/>
          <w:szCs w:val="21"/>
        </w:rPr>
      </w:pPr>
      <w:r>
        <w:rPr>
          <w:rFonts w:hint="eastAsia" w:ascii="仿宋_GB2312" w:hAnsi="宋体" w:eastAsia="仿宋_GB2312" w:cs="宋体"/>
          <w:bCs/>
          <w:szCs w:val="21"/>
        </w:rPr>
        <w:t>第 4.3.2项补充：</w:t>
      </w:r>
    </w:p>
    <w:p w14:paraId="2AF785F9">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bCs/>
          <w:szCs w:val="21"/>
        </w:rPr>
        <w:t>允许承包人分包的工程项目、工作内容与</w:t>
      </w:r>
      <w:r>
        <w:rPr>
          <w:rFonts w:hint="eastAsia" w:ascii="仿宋_GB2312" w:hAnsi="宋体" w:eastAsia="仿宋_GB2312" w:cs="宋体"/>
          <w:szCs w:val="21"/>
          <w:lang w:val="zh-CN"/>
        </w:rPr>
        <w:t>分包金额</w:t>
      </w:r>
      <w:r>
        <w:rPr>
          <w:rFonts w:hint="eastAsia" w:ascii="仿宋_GB2312" w:hAnsi="宋体" w:eastAsia="仿宋_GB2312" w:cs="宋体"/>
          <w:bCs/>
          <w:szCs w:val="21"/>
        </w:rPr>
        <w:t>限额：</w:t>
      </w:r>
      <w:r>
        <w:rPr>
          <w:rFonts w:hint="eastAsia" w:ascii="仿宋_GB2312" w:hAnsi="宋体" w:eastAsia="仿宋_GB2312" w:cs="宋体"/>
          <w:szCs w:val="21"/>
        </w:rPr>
        <w:t>如承包人违法分包一经查实，承包人的履约保证金以现金形式交纳的不予退还，以保函形式交纳的由保函开立人支付保函担保的与投标保证金等额的款项，发包人有权解除合同，同时发包人有权向相关行政监管部门举报。</w:t>
      </w:r>
    </w:p>
    <w:p w14:paraId="040D894C">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bCs/>
          <w:szCs w:val="21"/>
        </w:rPr>
        <w:t>（1）工程项目：</w:t>
      </w:r>
      <w:r>
        <w:rPr>
          <w:rFonts w:hint="eastAsia" w:ascii="仿宋_GB2312" w:hAnsi="宋体" w:eastAsia="仿宋_GB2312" w:cs="宋体"/>
          <w:bCs/>
          <w:szCs w:val="21"/>
          <w:u w:val="single"/>
        </w:rPr>
        <w:t xml:space="preserve">                                              </w:t>
      </w:r>
      <w:r>
        <w:rPr>
          <w:rFonts w:hint="eastAsia" w:ascii="仿宋_GB2312" w:hAnsi="宋体" w:eastAsia="仿宋_GB2312" w:cs="宋体"/>
          <w:bCs/>
          <w:szCs w:val="21"/>
        </w:rPr>
        <w:t>。</w:t>
      </w:r>
    </w:p>
    <w:p w14:paraId="40A2FDCE">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bCs/>
          <w:szCs w:val="21"/>
        </w:rPr>
        <w:t>（2）工作内容：</w:t>
      </w:r>
      <w:r>
        <w:rPr>
          <w:rFonts w:hint="eastAsia" w:ascii="仿宋_GB2312" w:hAnsi="宋体" w:eastAsia="仿宋_GB2312" w:cs="宋体"/>
          <w:bCs/>
          <w:szCs w:val="21"/>
          <w:u w:val="single"/>
        </w:rPr>
        <w:t xml:space="preserve">                                              </w:t>
      </w:r>
      <w:r>
        <w:rPr>
          <w:rFonts w:hint="eastAsia" w:ascii="仿宋_GB2312" w:hAnsi="宋体" w:eastAsia="仿宋_GB2312" w:cs="宋体"/>
          <w:bCs/>
          <w:szCs w:val="21"/>
        </w:rPr>
        <w:t>。</w:t>
      </w:r>
    </w:p>
    <w:p w14:paraId="074E4AB7">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（3）分包金额限额：</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02DAFA5B">
      <w:pPr>
        <w:pStyle w:val="2"/>
        <w:spacing w:after="0"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（4）关于分包合同价款支付的约定：</w:t>
      </w:r>
      <w:r>
        <w:rPr>
          <w:rFonts w:hint="eastAsia" w:ascii="仿宋_GB2312" w:hAnsi="宋体" w:eastAsia="仿宋_GB2312" w:cs="宋体"/>
          <w:szCs w:val="21"/>
          <w:u w:val="single"/>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仿宋_GB2312" w:hAnsi="宋体" w:eastAsia="仿宋_GB2312" w:cs="宋体"/>
          <w:szCs w:val="21"/>
        </w:rPr>
        <w:t>。</w:t>
      </w:r>
    </w:p>
    <w:p w14:paraId="72EB0A15">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4.3.2 ～ 4.3.4 项细化为：</w:t>
      </w:r>
    </w:p>
    <w:p w14:paraId="04FAC16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4.3.2 承包人不得将工程关键性工作分包给第三人。经发包人同意，承包人可将工程的其他部分或工作分包给第三人。分包包括专业分包和劳务分包。</w:t>
      </w:r>
    </w:p>
    <w:p w14:paraId="3729693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4.3.3 专业分包</w:t>
      </w:r>
    </w:p>
    <w:p w14:paraId="7B39B0B5">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在工程施工过程中，承包人进行专业分包必须遵守以下规定：</w:t>
      </w:r>
    </w:p>
    <w:p w14:paraId="7FE0EAD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允许专业分包的工程范围仅限于非关键性工程或者适合专业化队伍施工的专项工程。未列入投标文件的专项工程，承包人不得分包。但因工程变更增加了有特殊性技术要求、特殊工艺或者涉及专利保护等的专项工程，且按规定无须再进行招标的，由承包人提出书面申请，经发包人书面同意，可以分包。</w:t>
      </w:r>
    </w:p>
    <w:p w14:paraId="7BE87FA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（2）专业分包人的资格能力（含安全生产能力）应与其分包工程的标准和规模相适应，且应当具备如下条件：</w:t>
      </w:r>
    </w:p>
    <w:p w14:paraId="512BBAD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a.具有法人资格；</w:t>
      </w:r>
    </w:p>
    <w:p w14:paraId="5FB935E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b.具有从事类似工程经验的管理与技术人员；</w:t>
      </w:r>
    </w:p>
    <w:p w14:paraId="5CEB7F5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c.具有（自有或租赁）分包工程所需的施工设备。</w:t>
      </w:r>
    </w:p>
    <w:p w14:paraId="437BE05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承包人应向监理人提交专业分包人的资格能力证明材料，经监理人审查并报发包人批准后，可以将相应专业工程分包给该专业分包人。</w:t>
      </w:r>
    </w:p>
    <w:p w14:paraId="0942ABF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（3）专业分包工程不得再次分包。</w:t>
      </w:r>
    </w:p>
    <w:p w14:paraId="790F230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承包人和专业分包人应当按照交通运输主管部门制定的统一格式依法签订专业分包合同，并履行合同约定的义务。专业分包合同必须遵循承包合同的各项原则，满足承包合同中的质量、安全、进度、环保以及其他技术、经济等要求。专业分包合同必须明确约定工程款支付条款、结算方式以及保证按期支付的相应措施，确保工程款的支付。承包人应在工程实施前，将经监理人审查同意后的分包合同报发包人备案。</w:t>
      </w:r>
    </w:p>
    <w:p w14:paraId="0D2B1F7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专业分包人应当设立项目管理机构，对所分包工程的施工活动实施管理。项目管理机构应当具有与分包工程的规模、技术复杂程度相适应的技术、经济管理人员，其中项目负责人和技术、财务、计量、质量、安全等主要管理人员必须是专业分包人本单位人员。</w:t>
      </w:r>
    </w:p>
    <w:p w14:paraId="3B0C6F5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承包人应当建立健全相关分包管理制度和台账，对专业分包工程的质量、安全、进度和专业分包人的行为等实施全过程管理，按照合同约定对专业分包工程的实施向发包人负责，并承担赔偿责任。专业分包合同不免除承包合同中规定的承包人的责任或者义务。</w:t>
      </w:r>
    </w:p>
    <w:p w14:paraId="2B18207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（7）专业分包人应当依据专业分包合同的约定，组织分包工程的施工，并对分包工程的质量、安全和进度等实施有效控制。专业分包人对其分包的工程向承包人负责，并就所分包的工程向发包人承担连带责任。</w:t>
      </w:r>
    </w:p>
    <w:p w14:paraId="4ECB192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（8）承包人对施工现场安全负总责，并对专业分包人的安全生产进行培训和管理。专业分包人应将其专业分包工程的施工组织设计和施工安全方案报承包人备案。 专业分包人对分包施工现场安全负责，发现事故隐患，应及时处理。</w:t>
      </w:r>
    </w:p>
    <w:p w14:paraId="764DECD8">
      <w:pPr>
        <w:widowControl/>
        <w:spacing w:line="360" w:lineRule="auto"/>
        <w:ind w:firstLine="420" w:firstLineChars="200"/>
        <w:jc w:val="left"/>
        <w:rPr>
          <w:rFonts w:hint="eastAsia" w:ascii="宋体" w:hAnsi="宋体" w:cs="宋体"/>
          <w:strike/>
          <w:szCs w:val="21"/>
        </w:rPr>
      </w:pPr>
      <w:r>
        <w:rPr>
          <w:rFonts w:hint="eastAsia" w:ascii="宋体" w:hAnsi="宋体" w:cs="宋体"/>
          <w:kern w:val="0"/>
          <w:szCs w:val="21"/>
          <w:lang w:bidi="ar"/>
        </w:rPr>
        <w:t>违反上述规定之一者属违规分包。</w:t>
      </w:r>
    </w:p>
    <w:p w14:paraId="7E24081E">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4.3.6 项、第 4.3.7 项：</w:t>
      </w:r>
    </w:p>
    <w:p w14:paraId="5F2FE26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4.3.6 发包人对承包人与分包人之间的法律与经济纠纷不承担任何责任和义务。</w:t>
      </w:r>
    </w:p>
    <w:p w14:paraId="7D6F500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4.3.7 本项目的各项分包工作均应遵守《公路工程施工分包管理办法》的有关规定。</w:t>
      </w:r>
    </w:p>
    <w:p w14:paraId="416578FE">
      <w:pPr>
        <w:pStyle w:val="6"/>
        <w:spacing w:before="0" w:beforeAutospacing="0" w:after="0" w:afterAutospacing="0" w:line="360" w:lineRule="auto"/>
        <w:rPr>
          <w:rFonts w:hint="eastAsia"/>
        </w:rPr>
      </w:pPr>
      <w:r>
        <w:rPr>
          <w:rFonts w:hint="eastAsia"/>
        </w:rPr>
        <w:t>4.4 联合体</w:t>
      </w:r>
    </w:p>
    <w:p w14:paraId="0C2026F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4.4.4 项：</w:t>
      </w:r>
    </w:p>
    <w:p w14:paraId="27CDAC2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4.4.4 未经发包人事先同意，联合体的组成与结构不得变动。</w:t>
      </w:r>
    </w:p>
    <w:p w14:paraId="1E84F2A0">
      <w:pPr>
        <w:pStyle w:val="6"/>
        <w:spacing w:before="0" w:beforeAutospacing="0" w:after="0" w:afterAutospacing="0" w:line="360" w:lineRule="auto"/>
        <w:rPr>
          <w:rFonts w:hint="eastAsia" w:ascii="仿宋_GB2312" w:eastAsia="仿宋_GB2312"/>
        </w:rPr>
      </w:pPr>
      <w:r>
        <w:rPr>
          <w:rFonts w:hint="eastAsia" w:ascii="仿宋_GB2312" w:eastAsia="仿宋_GB2312"/>
        </w:rPr>
        <w:t>4.5 承包人项目经理</w:t>
      </w:r>
    </w:p>
    <w:p w14:paraId="66E534E2">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本款补充：</w:t>
      </w:r>
    </w:p>
    <w:p w14:paraId="36EBE257">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项目经理：</w:t>
      </w:r>
    </w:p>
    <w:p w14:paraId="64A6AE68">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姓    名：</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14:paraId="0FF284EF">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身份证号：</w:t>
      </w:r>
      <w:r>
        <w:rPr>
          <w:rFonts w:hint="eastAsia" w:ascii="仿宋_GB2312" w:hAnsi="宋体" w:eastAsia="仿宋_GB2312" w:cs="宋体"/>
          <w:szCs w:val="21"/>
          <w:u w:val="single"/>
        </w:rPr>
        <w:t>                    </w:t>
      </w:r>
      <w:r>
        <w:rPr>
          <w:rFonts w:hint="eastAsia" w:ascii="仿宋_GB2312" w:hAnsi="宋体" w:eastAsia="仿宋_GB2312" w:cs="宋体"/>
          <w:szCs w:val="21"/>
        </w:rPr>
        <w:t>；</w:t>
      </w:r>
    </w:p>
    <w:p w14:paraId="5F928CE1">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 xml:space="preserve">建造师执业资格等级： </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5B801659">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建造师注册证书号：</w:t>
      </w:r>
      <w:r>
        <w:rPr>
          <w:rFonts w:hint="eastAsia" w:ascii="仿宋_GB2312" w:hAnsi="宋体" w:eastAsia="仿宋_GB2312" w:cs="宋体"/>
          <w:szCs w:val="21"/>
          <w:u w:val="single"/>
        </w:rPr>
        <w:t>       </w:t>
      </w:r>
      <w:r>
        <w:rPr>
          <w:rFonts w:hint="eastAsia" w:ascii="仿宋_GB2312" w:hAnsi="宋体" w:eastAsia="仿宋_GB2312" w:cs="宋体"/>
          <w:szCs w:val="21"/>
        </w:rPr>
        <w:t>；</w:t>
      </w:r>
    </w:p>
    <w:p w14:paraId="0A3154A6">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建造师执业印章号：</w:t>
      </w:r>
      <w:r>
        <w:rPr>
          <w:rFonts w:hint="eastAsia" w:ascii="仿宋_GB2312" w:hAnsi="宋体" w:eastAsia="仿宋_GB2312" w:cs="宋体"/>
          <w:szCs w:val="21"/>
          <w:u w:val="single"/>
        </w:rPr>
        <w:t>                     </w:t>
      </w:r>
      <w:r>
        <w:rPr>
          <w:rFonts w:hint="eastAsia" w:ascii="仿宋_GB2312" w:hAnsi="宋体" w:eastAsia="仿宋_GB2312" w:cs="宋体"/>
          <w:szCs w:val="21"/>
        </w:rPr>
        <w:t>；</w:t>
      </w:r>
    </w:p>
    <w:p w14:paraId="2F1FF417">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安全生产考核合格证书号：</w:t>
      </w:r>
      <w:r>
        <w:rPr>
          <w:rFonts w:hint="eastAsia" w:ascii="仿宋_GB2312" w:hAnsi="宋体" w:eastAsia="仿宋_GB2312" w:cs="宋体"/>
          <w:szCs w:val="21"/>
          <w:u w:val="single"/>
        </w:rPr>
        <w:t>           </w:t>
      </w:r>
      <w:r>
        <w:rPr>
          <w:rFonts w:hint="eastAsia" w:ascii="仿宋_GB2312" w:hAnsi="宋体" w:eastAsia="仿宋_GB2312" w:cs="宋体"/>
          <w:szCs w:val="21"/>
        </w:rPr>
        <w:t>；</w:t>
      </w:r>
    </w:p>
    <w:p w14:paraId="2F5708A2">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联系方式：</w:t>
      </w:r>
      <w:r>
        <w:rPr>
          <w:rFonts w:hint="eastAsia" w:ascii="仿宋_GB2312" w:hAnsi="宋体" w:eastAsia="仿宋_GB2312" w:cs="宋体"/>
          <w:szCs w:val="21"/>
          <w:u w:val="single"/>
        </w:rPr>
        <w:t>         </w:t>
      </w:r>
      <w:r>
        <w:rPr>
          <w:rFonts w:hint="eastAsia" w:ascii="仿宋_GB2312" w:hAnsi="宋体" w:eastAsia="仿宋_GB2312" w:cs="宋体"/>
          <w:szCs w:val="21"/>
        </w:rPr>
        <w:t>；</w:t>
      </w:r>
    </w:p>
    <w:p w14:paraId="5359B757">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承包人对项目经理的授权范围如下：</w:t>
      </w:r>
      <w:r>
        <w:rPr>
          <w:rFonts w:hint="eastAsia" w:ascii="仿宋_GB2312" w:hAnsi="宋体" w:eastAsia="仿宋_GB2312" w:cs="宋体"/>
          <w:kern w:val="0"/>
          <w:szCs w:val="21"/>
          <w:u w:val="single"/>
        </w:rPr>
        <w:t>严格按设计图纸、现行国家施工规范及验收规范组织施工，保证工程质量、进度、安全；及时向监理人、发包人报告现场情况（以承包人书面授权范围为准）</w:t>
      </w:r>
      <w:r>
        <w:rPr>
          <w:rFonts w:hint="eastAsia" w:ascii="仿宋_GB2312" w:hAnsi="宋体" w:eastAsia="仿宋_GB2312" w:cs="宋体"/>
          <w:kern w:val="0"/>
          <w:szCs w:val="21"/>
        </w:rPr>
        <w:t>。</w:t>
      </w:r>
    </w:p>
    <w:p w14:paraId="051543C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关于项目经理每月在施工现场的时间要求：</w:t>
      </w:r>
      <w:r>
        <w:rPr>
          <w:rFonts w:hint="eastAsia" w:ascii="仿宋_GB2312" w:hAnsi="宋体" w:eastAsia="仿宋_GB2312" w:cs="宋体"/>
          <w:kern w:val="0"/>
          <w:szCs w:val="21"/>
          <w:u w:val="single"/>
        </w:rPr>
        <w:t>不少于22天，由监理人负责项目经理的考勤</w:t>
      </w:r>
      <w:r>
        <w:rPr>
          <w:rFonts w:hint="eastAsia" w:ascii="仿宋_GB2312" w:hAnsi="宋体" w:eastAsia="仿宋_GB2312" w:cs="宋体"/>
          <w:kern w:val="0"/>
          <w:szCs w:val="21"/>
        </w:rPr>
        <w:t>。</w:t>
      </w:r>
    </w:p>
    <w:p w14:paraId="4C2CDB65">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u w:val="single"/>
        </w:rPr>
        <w:t>承包人应在合同签订前提交与项目经理签订的劳动合同及为项目经理交纳社会保险的证明，承包人未在限期内提交的，项目经理无权履行职责，发包人有权要求更换项目经理</w:t>
      </w:r>
      <w:r>
        <w:rPr>
          <w:rFonts w:hint="eastAsia" w:ascii="仿宋_GB2312" w:hAnsi="宋体" w:eastAsia="仿宋_GB2312" w:cs="宋体"/>
          <w:kern w:val="0"/>
          <w:szCs w:val="21"/>
        </w:rPr>
        <w:t>。</w:t>
      </w:r>
    </w:p>
    <w:p w14:paraId="76939F10">
      <w:pPr>
        <w:pStyle w:val="6"/>
        <w:spacing w:before="0" w:beforeAutospacing="0" w:after="0" w:afterAutospacing="0" w:line="360" w:lineRule="auto"/>
        <w:rPr>
          <w:rFonts w:hint="eastAsia"/>
        </w:rPr>
      </w:pPr>
      <w:r>
        <w:rPr>
          <w:rFonts w:hint="eastAsia"/>
        </w:rPr>
        <w:t>4.6 承包人人员的管理</w:t>
      </w:r>
    </w:p>
    <w:p w14:paraId="1F482EC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4.6.3 项细化为：</w:t>
      </w:r>
    </w:p>
    <w:p w14:paraId="19D9456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安排在施工场地的主要管理人员和技术骨干应与承包人承诺的名单一致，并保持相对稳定。未经监理人批准，上述人员不应无故不到位或被替换；若确实无法到位或需替换，需经监理人审核并报发包人批准后，用同等资质和经历的人员替换。</w:t>
      </w:r>
    </w:p>
    <w:p w14:paraId="3E0B1A1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4.6.5 项：</w:t>
      </w:r>
    </w:p>
    <w:p w14:paraId="532D083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4.6.5 尽管承包人已按承诺派遣了上述各类人员，但若这些人员仍不能满足合同进度计划和（或）质量要求时，监理人有权要求承包人继续增派或雇用这类人员，并书面通知承包人和抄送发包人。承包人在接到上述通知后应立即执行监理人的上述指示，不得无故拖延，由此增加的费用和（或）工期延误由承包人承担。</w:t>
      </w:r>
    </w:p>
    <w:p w14:paraId="35CD4A40">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项目总工：</w:t>
      </w:r>
    </w:p>
    <w:p w14:paraId="66312D3F">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姓    名：</w:t>
      </w:r>
      <w:r>
        <w:rPr>
          <w:rFonts w:hint="eastAsia" w:ascii="仿宋_GB2312" w:hAnsi="宋体" w:eastAsia="仿宋_GB2312" w:cs="宋体"/>
          <w:szCs w:val="21"/>
          <w:u w:val="single"/>
        </w:rPr>
        <w:t xml:space="preserve">                           </w:t>
      </w:r>
      <w:r>
        <w:rPr>
          <w:rFonts w:hint="eastAsia" w:ascii="仿宋_GB2312" w:hAnsi="宋体" w:eastAsia="仿宋_GB2312" w:cs="宋体"/>
          <w:szCs w:val="21"/>
        </w:rPr>
        <w:t>；</w:t>
      </w:r>
    </w:p>
    <w:p w14:paraId="285B09E2">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身份证号：</w:t>
      </w:r>
      <w:r>
        <w:rPr>
          <w:rFonts w:hint="eastAsia" w:ascii="仿宋_GB2312" w:hAnsi="宋体" w:eastAsia="仿宋_GB2312" w:cs="宋体"/>
          <w:szCs w:val="21"/>
          <w:u w:val="single"/>
        </w:rPr>
        <w:t xml:space="preserve">                     </w:t>
      </w:r>
      <w:r>
        <w:rPr>
          <w:rFonts w:hint="eastAsia" w:ascii="仿宋_GB2312" w:hAnsi="宋体" w:eastAsia="仿宋_GB2312" w:cs="宋体"/>
          <w:szCs w:val="21"/>
        </w:rPr>
        <w:t>；</w:t>
      </w:r>
    </w:p>
    <w:p w14:paraId="03F3AC01">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职称等级：</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14:paraId="62BE25DB">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专    业：</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14:paraId="28DD68EF">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证书编号：</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14:paraId="2C77E48F">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联系方式：</w:t>
      </w:r>
      <w:r>
        <w:rPr>
          <w:rFonts w:hint="eastAsia" w:ascii="仿宋_GB2312" w:hAnsi="宋体" w:eastAsia="仿宋_GB2312" w:cs="宋体"/>
          <w:szCs w:val="21"/>
          <w:u w:val="single"/>
        </w:rPr>
        <w:t xml:space="preserve">         </w:t>
      </w:r>
      <w:r>
        <w:rPr>
          <w:rFonts w:hint="eastAsia" w:ascii="仿宋_GB2312" w:hAnsi="宋体" w:eastAsia="仿宋_GB2312" w:cs="宋体"/>
          <w:szCs w:val="21"/>
        </w:rPr>
        <w:t>；</w:t>
      </w:r>
    </w:p>
    <w:p w14:paraId="7CB0EAE6">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关于项目总工每月在施工现场的时间要求：</w:t>
      </w:r>
      <w:r>
        <w:rPr>
          <w:rFonts w:hint="eastAsia" w:ascii="仿宋_GB2312" w:hAnsi="宋体" w:eastAsia="仿宋_GB2312" w:cs="宋体"/>
          <w:kern w:val="0"/>
          <w:szCs w:val="21"/>
          <w:u w:val="single"/>
        </w:rPr>
        <w:t>不少于22天，由监理人负责项目总工的考勤</w:t>
      </w:r>
      <w:r>
        <w:rPr>
          <w:rFonts w:hint="eastAsia" w:ascii="仿宋_GB2312" w:hAnsi="宋体" w:eastAsia="仿宋_GB2312" w:cs="宋体"/>
          <w:kern w:val="0"/>
          <w:szCs w:val="21"/>
        </w:rPr>
        <w:t>。</w:t>
      </w:r>
    </w:p>
    <w:p w14:paraId="56BC1D90">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u w:val="single"/>
        </w:rPr>
        <w:t>承包人应在合同签订后7天内提交与项目总工签订的劳动合同及为项目总工交纳社会保险的证明，承包人未在限期内提交的，项目总工无权履行职责，发包人有权要求更换项目总工</w:t>
      </w:r>
      <w:r>
        <w:rPr>
          <w:rFonts w:hint="eastAsia" w:ascii="仿宋_GB2312" w:hAnsi="宋体" w:eastAsia="仿宋_GB2312" w:cs="宋体"/>
          <w:kern w:val="0"/>
          <w:szCs w:val="21"/>
        </w:rPr>
        <w:t>。</w:t>
      </w:r>
    </w:p>
    <w:p w14:paraId="7E6A783F">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bCs/>
          <w:szCs w:val="21"/>
        </w:rPr>
        <w:t>本款补充的 4.6.6 项</w:t>
      </w:r>
    </w:p>
    <w:p w14:paraId="1DE56E89">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bCs/>
          <w:szCs w:val="21"/>
        </w:rPr>
        <w:t xml:space="preserve">4.6.6 </w:t>
      </w:r>
      <w:r>
        <w:rPr>
          <w:rFonts w:hint="eastAsia" w:ascii="仿宋_GB2312" w:hAnsi="宋体" w:eastAsia="仿宋_GB2312" w:cs="宋体"/>
          <w:kern w:val="0"/>
          <w:szCs w:val="21"/>
        </w:rPr>
        <w:t>承包人主要施工管理人员离开施工现场的批准要求：</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388EF5CE">
      <w:pPr>
        <w:pStyle w:val="6"/>
        <w:spacing w:before="0" w:beforeAutospacing="0" w:after="0" w:afterAutospacing="0" w:line="360" w:lineRule="auto"/>
        <w:rPr>
          <w:rFonts w:hint="eastAsia"/>
        </w:rPr>
      </w:pPr>
      <w:r>
        <w:rPr>
          <w:rFonts w:hint="eastAsia"/>
        </w:rPr>
        <w:t>4.7 撤换承包人项目经理和其他人员</w:t>
      </w:r>
    </w:p>
    <w:p w14:paraId="1B55085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14:paraId="70304E37">
      <w:pPr>
        <w:widowControl/>
        <w:spacing w:line="360" w:lineRule="auto"/>
        <w:ind w:firstLine="420" w:firstLineChars="200"/>
        <w:jc w:val="left"/>
        <w:rPr>
          <w:rFonts w:hint="eastAsia" w:ascii="宋体" w:hAnsi="宋体"/>
          <w:szCs w:val="21"/>
        </w:rPr>
      </w:pPr>
      <w:r>
        <w:rPr>
          <w:rFonts w:hint="eastAsia" w:ascii="宋体" w:hAnsi="宋体" w:cs="宋体"/>
          <w:kern w:val="0"/>
          <w:szCs w:val="21"/>
          <w:lang w:bidi="ar"/>
        </w:rPr>
        <w:t>承包人应对其项目经理和其他人员进行有效管理。监理人要求撤换不能胜任本职工作、行为不端或玩忽职守的承包人项目经理和其他人员的，承包人应予以撤换，同时委派经发包人与监理人同意的新的项目经理和其他人员。</w:t>
      </w:r>
    </w:p>
    <w:p w14:paraId="355BCD92">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bCs/>
          <w:szCs w:val="21"/>
        </w:rPr>
        <w:t>本款补充第 4.7.1 项、第 4.7.2 项：</w:t>
      </w:r>
    </w:p>
    <w:p w14:paraId="7F254CF0">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bCs/>
          <w:szCs w:val="21"/>
        </w:rPr>
        <w:t>4.7.1撤换承包人项目经理</w:t>
      </w:r>
      <w:r>
        <w:rPr>
          <w:rFonts w:hint="eastAsia" w:ascii="仿宋_GB2312" w:hAnsi="宋体" w:eastAsia="仿宋_GB2312" w:cs="宋体"/>
          <w:kern w:val="0"/>
          <w:szCs w:val="21"/>
        </w:rPr>
        <w:t>（或）项目总工</w:t>
      </w:r>
    </w:p>
    <w:p w14:paraId="63A4D936">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kern w:val="0"/>
          <w:szCs w:val="21"/>
        </w:rPr>
        <w:t>发包人有权书面通知承包人更换其认为不称职/不履职的项目经理和（或）项目总工，通知中应当载明要求更换的理由。承包人应在接到更换通知后7天内向发包人提出书面的改进报告。发包人收到改进报告后仍要求更换的，承包人应在接到第二次更换通知的14天内进行更换，并将新任命的项目经理和（或）项目总工的注册执业资格、职称证书、管理经验等资料书面报送发包人。继任项目经理和（或）项目总工继续履行合同约定的职责。</w:t>
      </w:r>
    </w:p>
    <w:p w14:paraId="11C5FE1D">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若项目经理和</w:t>
      </w:r>
      <w:r>
        <w:rPr>
          <w:rFonts w:hint="eastAsia" w:ascii="仿宋_GB2312" w:hAnsi="宋体" w:eastAsia="仿宋_GB2312" w:cs="宋体"/>
          <w:kern w:val="0"/>
          <w:szCs w:val="21"/>
        </w:rPr>
        <w:t>（或）</w:t>
      </w:r>
      <w:r>
        <w:rPr>
          <w:rFonts w:hint="eastAsia" w:ascii="仿宋_GB2312" w:hAnsi="宋体" w:eastAsia="仿宋_GB2312" w:cs="宋体"/>
          <w:szCs w:val="21"/>
        </w:rPr>
        <w:t>项目总工出现下列情形需更换的，承包人应在</w:t>
      </w:r>
      <w:r>
        <w:rPr>
          <w:rFonts w:hint="eastAsia" w:ascii="仿宋_GB2312" w:hAnsi="宋体" w:eastAsia="仿宋_GB2312" w:cs="宋体"/>
          <w:szCs w:val="21"/>
          <w:u w:val="single"/>
        </w:rPr>
        <w:t xml:space="preserve">    </w:t>
      </w:r>
      <w:r>
        <w:rPr>
          <w:rFonts w:hint="eastAsia" w:ascii="仿宋_GB2312" w:hAnsi="宋体" w:eastAsia="仿宋_GB2312" w:cs="宋体"/>
          <w:szCs w:val="21"/>
        </w:rPr>
        <w:t>天前书面通知发包人和监理人，经发包人领导班子集体决策同意后予以批准，并将变更信息推送给行业主管部门：</w:t>
      </w:r>
    </w:p>
    <w:p w14:paraId="36707781">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（1）死亡；</w:t>
      </w:r>
    </w:p>
    <w:p w14:paraId="66E6DD8A">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（2）非承包人原因导致工期延长，而致使项目经理和项目总工达到法定退休年龄且确需退休；</w:t>
      </w:r>
    </w:p>
    <w:p w14:paraId="2FAFF5E3">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（3）按《职工非因工伤残或因病丧失劳动能力程度鉴定标准（试行）》规定鉴定为完全丧失劳动能力和大部分丧失劳动能力；</w:t>
      </w:r>
    </w:p>
    <w:p w14:paraId="4A999038">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（4）非承包人原因导致中标3个月不能开工；</w:t>
      </w:r>
    </w:p>
    <w:p w14:paraId="06228E02">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（5）被公安或者司法机关限制人身自由；</w:t>
      </w:r>
    </w:p>
    <w:p w14:paraId="3445FB58">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（6）被取消职称或者执业资格，不满足项目管理要求；</w:t>
      </w:r>
    </w:p>
    <w:p w14:paraId="422DC71B">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（7）非承包人原因导致确需变更</w:t>
      </w:r>
      <w:r>
        <w:rPr>
          <w:rFonts w:hint="eastAsia" w:ascii="仿宋_GB2312" w:hAnsi="宋体" w:eastAsia="仿宋_GB2312" w:cs="宋体"/>
          <w:szCs w:val="21"/>
          <w:lang w:eastAsia="zh-CN"/>
        </w:rPr>
        <w:t>的其他情形</w:t>
      </w:r>
      <w:r>
        <w:rPr>
          <w:rFonts w:hint="eastAsia" w:ascii="仿宋_GB2312" w:hAnsi="宋体" w:eastAsia="仿宋_GB2312" w:cs="宋体"/>
          <w:szCs w:val="21"/>
        </w:rPr>
        <w:t>。</w:t>
      </w:r>
    </w:p>
    <w:p w14:paraId="40C94A52">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4.7.2撤换承包人其他人员</w:t>
      </w:r>
    </w:p>
    <w:p w14:paraId="40255131">
      <w:pPr>
        <w:snapToGrid w:val="0"/>
        <w:spacing w:line="360" w:lineRule="auto"/>
        <w:ind w:firstLine="480"/>
        <w:rPr>
          <w:rFonts w:hint="eastAsia" w:ascii="仿宋_GB2312" w:hAnsi="宋体" w:eastAsia="仿宋_GB2312" w:cs="宋体"/>
          <w:bCs/>
          <w:szCs w:val="21"/>
        </w:rPr>
      </w:pPr>
      <w:r>
        <w:rPr>
          <w:rFonts w:hint="eastAsia" w:ascii="仿宋_GB2312" w:hAnsi="宋体" w:eastAsia="仿宋_GB2312" w:cs="宋体"/>
          <w:szCs w:val="21"/>
        </w:rPr>
        <w:t>承包人应按招标人招标文件规定配备现场施工从业人员，具体人员配备下：</w:t>
      </w:r>
      <w:r>
        <w:rPr>
          <w:rFonts w:hint="eastAsia" w:ascii="仿宋_GB2312" w:hAnsi="宋体" w:eastAsia="仿宋_GB2312" w:cs="宋体"/>
          <w:szCs w:val="21"/>
          <w:u w:val="single"/>
        </w:rPr>
        <w:t xml:space="preserve">               </w:t>
      </w:r>
      <w:r>
        <w:rPr>
          <w:rFonts w:hint="eastAsia" w:ascii="仿宋_GB2312" w:hAnsi="宋体" w:eastAsia="仿宋_GB2312" w:cs="宋体"/>
          <w:szCs w:val="21"/>
        </w:rPr>
        <w:t>。若国有资金投资项目其他主要人员变更的，参照《重庆市政府投资项目合同变更管理暂行办法》的规定。</w:t>
      </w:r>
    </w:p>
    <w:p w14:paraId="5741B3D8">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承包人派驻到施工现场的主要施工管理人员在施工过程中如有变动，承包人应及时向监理人提交施工现场人员变动情况的报告。承包人更换主要施工管理人员时，应提前7天书面通知监理人，并征得发包人书面同意。通知中应当载明继任人员的职称、执业资格、项目管理经验等资料。更换后的施工管理人员应当是承包人的正式员工，且在职称、执业资格、项目管理经验等方面不低于原施工管理人员。</w:t>
      </w:r>
    </w:p>
    <w:p w14:paraId="7E350166">
      <w:pPr>
        <w:snapToGrid w:val="0"/>
        <w:spacing w:line="360" w:lineRule="auto"/>
        <w:ind w:firstLine="420" w:firstLineChars="200"/>
        <w:rPr>
          <w:rFonts w:ascii="宋体" w:hAnsi="宋体" w:cs="黑体"/>
          <w:kern w:val="0"/>
          <w:szCs w:val="21"/>
        </w:rPr>
      </w:pPr>
      <w:r>
        <w:rPr>
          <w:rFonts w:hint="eastAsia" w:ascii="仿宋_GB2312" w:hAnsi="宋体" w:eastAsia="仿宋_GB2312" w:cs="宋体"/>
          <w:kern w:val="0"/>
          <w:szCs w:val="21"/>
        </w:rPr>
        <w:t>发包人有权书面通知承包人更换其认为不称职的主要施工管理人员，通知中应当载明要求更换的理由。承包人应在接到更换通知后7天内向发包人提出书面的改进报告。发包人收到改进报告后仍要求更换的，承包人应在接到第二次更换通知的7天内进行更换，并将新委派的主要施工管理人员的注册执业资格、职称证书、管理经验等资料书面报送发包人</w:t>
      </w:r>
      <w:r>
        <w:rPr>
          <w:rFonts w:hint="eastAsia" w:ascii="仿宋_GB2312" w:hAnsi="宋体" w:eastAsia="仿宋_GB2312" w:cs="宋体"/>
          <w:szCs w:val="21"/>
        </w:rPr>
        <w:t>审核批准</w:t>
      </w:r>
      <w:r>
        <w:rPr>
          <w:rFonts w:hint="eastAsia" w:ascii="仿宋_GB2312" w:hAnsi="宋体" w:eastAsia="仿宋_GB2312" w:cs="宋体"/>
          <w:kern w:val="0"/>
          <w:szCs w:val="21"/>
        </w:rPr>
        <w:t>。</w:t>
      </w:r>
      <w:r>
        <w:rPr>
          <w:rFonts w:hint="eastAsia" w:ascii="宋体" w:hAnsi="宋体" w:cs="宋体"/>
          <w:kern w:val="0"/>
          <w:szCs w:val="21"/>
          <w:lang w:bidi="ar"/>
        </w:rPr>
        <w:t xml:space="preserve"> </w:t>
      </w:r>
    </w:p>
    <w:p w14:paraId="7D23D11D">
      <w:pPr>
        <w:pStyle w:val="6"/>
        <w:spacing w:before="0" w:beforeAutospacing="0" w:after="0" w:afterAutospacing="0" w:line="360" w:lineRule="auto"/>
        <w:rPr>
          <w:rFonts w:hint="eastAsia"/>
        </w:rPr>
      </w:pPr>
      <w:r>
        <w:rPr>
          <w:rFonts w:hint="eastAsia"/>
        </w:rPr>
        <w:t>4.9 工程价款应专款专用</w:t>
      </w:r>
    </w:p>
    <w:p w14:paraId="3A422238">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本款细化为：</w:t>
      </w:r>
    </w:p>
    <w:p w14:paraId="18F9EECC">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发包人按合同约定支付给承包人的各项价款应专用于合同工程。承包人必须在发包人指定的银行开户，并与发包人、银行共同签订《工程资金监管协议》，接受发包人和银行对资金的监管。承包人应向发包人授权进行本合同工程开户银行工程资金的查询。发包人支付的工程进度款应为本工程的专款专用资金，不得转移或用于其他工程。发包人的期中支付款将转入该银行所设的专门账户，发包人及其派出机构有权不定期对承包人工程资金使用情况进行检查，发现问题及时责令承包人限期改正，否则，将终止月支付，直至承包人改正为止。 </w:t>
      </w:r>
    </w:p>
    <w:p w14:paraId="2EC01BAE">
      <w:pPr>
        <w:pStyle w:val="6"/>
        <w:spacing w:before="0" w:beforeAutospacing="0" w:after="0" w:afterAutospacing="0" w:line="360" w:lineRule="auto"/>
        <w:rPr>
          <w:rFonts w:hint="eastAsia"/>
        </w:rPr>
      </w:pPr>
      <w:r>
        <w:rPr>
          <w:rFonts w:hint="eastAsia"/>
        </w:rPr>
        <w:t>4.10 承包人现场查勘</w:t>
      </w:r>
    </w:p>
    <w:p w14:paraId="3019BD0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4.10.1 项细化为：</w:t>
      </w:r>
    </w:p>
    <w:p w14:paraId="5A19040E">
      <w:pPr>
        <w:widowControl/>
        <w:spacing w:line="360" w:lineRule="auto"/>
        <w:ind w:firstLine="420" w:firstLineChars="200"/>
        <w:jc w:val="left"/>
        <w:rPr>
          <w:rFonts w:ascii="宋体" w:hAnsi="宋体"/>
          <w:szCs w:val="21"/>
        </w:rPr>
      </w:pPr>
      <w:r>
        <w:rPr>
          <w:rFonts w:hint="eastAsia" w:ascii="宋体" w:hAnsi="宋体" w:cs="宋体"/>
          <w:kern w:val="0"/>
          <w:szCs w:val="21"/>
          <w:lang w:bidi="ar"/>
        </w:rPr>
        <w:t>发包人提供的本合同工程的水文、地质、气象和料场分布、取土场、弃土场位置等资料均属于参考资料，并不构成合同文件的组成部分，承包人应对自己就上述资料的解释、推论和应用负责，发包人不对承包人据此作出的判断和决策承担任何责任。</w:t>
      </w:r>
    </w:p>
    <w:p w14:paraId="42AB419C">
      <w:pPr>
        <w:pStyle w:val="6"/>
        <w:spacing w:before="0" w:beforeAutospacing="0" w:after="0" w:afterAutospacing="0" w:line="360" w:lineRule="auto"/>
        <w:rPr>
          <w:rFonts w:hint="eastAsia"/>
        </w:rPr>
      </w:pPr>
      <w:r>
        <w:rPr>
          <w:rFonts w:hint="eastAsia"/>
        </w:rPr>
        <w:t>4.11 不利物质条件</w:t>
      </w:r>
    </w:p>
    <w:p w14:paraId="51E9407C">
      <w:pPr>
        <w:spacing w:line="360" w:lineRule="auto"/>
        <w:ind w:right="248" w:firstLine="420" w:firstLineChars="200"/>
        <w:rPr>
          <w:rFonts w:hint="eastAsia" w:ascii="仿宋_GB2312" w:hAnsi="宋体" w:eastAsia="仿宋_GB2312" w:cs="宋体"/>
          <w:szCs w:val="21"/>
        </w:rPr>
      </w:pPr>
      <w:r>
        <w:rPr>
          <w:rFonts w:hint="eastAsia" w:ascii="仿宋_GB2312" w:hAnsi="宋体" w:eastAsia="仿宋_GB2312" w:cs="宋体"/>
          <w:szCs w:val="21"/>
        </w:rPr>
        <w:t>第 4.11.1 项细化为：</w:t>
      </w:r>
    </w:p>
    <w:p w14:paraId="2A0BB652">
      <w:pPr>
        <w:spacing w:line="360" w:lineRule="auto"/>
        <w:ind w:right="248" w:firstLine="420" w:firstLineChars="200"/>
        <w:rPr>
          <w:rFonts w:hint="eastAsia" w:ascii="仿宋_GB2312" w:hAnsi="宋体" w:eastAsia="仿宋_GB2312" w:cs="宋体"/>
          <w:szCs w:val="21"/>
        </w:rPr>
      </w:pPr>
      <w:r>
        <w:rPr>
          <w:rFonts w:hint="eastAsia" w:ascii="仿宋_GB2312" w:hAnsi="宋体" w:eastAsia="仿宋_GB2312" w:cs="宋体"/>
          <w:szCs w:val="21"/>
        </w:rPr>
        <w:t>不利物质条件的范围：</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17CCE62E">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4.11.2 项细化为：</w:t>
      </w:r>
    </w:p>
    <w:p w14:paraId="5435F7C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4.11.2 承包人遇到不可预见的不利物质条件时，应采取适应不利物质条件的合理措施继续施工，并及时通知监理人。监理人应当及时发出指示，指示构成变更的，按第 15 条约定办理。监理人没有发出指示的，承包人因采取合理措施而增加的费用和（或）工期延误，由发包人承担。</w:t>
      </w:r>
    </w:p>
    <w:p w14:paraId="5337BDEF">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4.11.3 项：</w:t>
      </w:r>
    </w:p>
    <w:p w14:paraId="02F6CA7E">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4.11.3 可预见的不利物质条件</w:t>
      </w:r>
    </w:p>
    <w:p w14:paraId="236E872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（1）对于专用合同条款中已经明确指出的不利物质条件无论承包人是否有其经历和经验均视为承包人在接受合同时已预见其影响，并已在签约合同价中计入因其影响而可能发生的一切费用。</w:t>
      </w:r>
    </w:p>
    <w:p w14:paraId="3C25F6D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（2）对于专用合同条款未明确指出，但是在不利物质条件发生之前，监理人已经指示承包人有可能发生，但承包人未能及时采取有效措施，而导致的损失和后果均由承包人承担。</w:t>
      </w:r>
    </w:p>
    <w:p w14:paraId="2275F7B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本条补充第 4.12 款、第 4.13 款：</w:t>
      </w:r>
    </w:p>
    <w:p w14:paraId="53537084">
      <w:pPr>
        <w:pStyle w:val="6"/>
        <w:spacing w:before="0" w:beforeAutospacing="0" w:after="0" w:afterAutospacing="0" w:line="360" w:lineRule="auto"/>
        <w:rPr>
          <w:rFonts w:hint="eastAsia"/>
        </w:rPr>
      </w:pPr>
      <w:r>
        <w:rPr>
          <w:rFonts w:hint="eastAsia"/>
        </w:rPr>
        <w:t>4.12 投标文件的完备性</w:t>
      </w:r>
    </w:p>
    <w:p w14:paraId="64826097">
      <w:pPr>
        <w:widowControl/>
        <w:spacing w:line="360" w:lineRule="auto"/>
        <w:ind w:firstLine="420" w:firstLineChars="200"/>
        <w:jc w:val="left"/>
        <w:rPr>
          <w:rFonts w:ascii="宋体" w:hAnsi="宋体"/>
          <w:strike/>
          <w:szCs w:val="21"/>
        </w:rPr>
      </w:pPr>
      <w:r>
        <w:rPr>
          <w:rFonts w:hint="eastAsia" w:ascii="宋体" w:hAnsi="宋体" w:cs="宋体"/>
          <w:kern w:val="0"/>
          <w:szCs w:val="21"/>
          <w:lang w:bidi="ar"/>
        </w:rPr>
        <w:t>合同双方一致认为，承包人在递交投标文件前，对本合同工程的投标文件和已标价工程量清单中开列的单价和总额价已查明是正确的和完备的。投标的单价和总额价应已包括了合同中规定的承包人的全部义务（包括提供货物、材料、设备、服务的义务，并包括了暂列金额和暂估价范围内的额外工作的义务）以及为实施和完成本合同工程及其缺陷修复所必需的一切工作和条件。</w:t>
      </w:r>
    </w:p>
    <w:p w14:paraId="692B3406">
      <w:pPr>
        <w:pStyle w:val="5"/>
        <w:spacing w:before="0" w:after="0" w:line="360" w:lineRule="auto"/>
        <w:rPr>
          <w:rFonts w:hint="eastAsia" w:ascii="宋体" w:hAnsi="宋体"/>
        </w:rPr>
      </w:pPr>
      <w:bookmarkStart w:id="591" w:name="_Toc57795969"/>
      <w:bookmarkStart w:id="592" w:name="_Toc28349"/>
      <w:bookmarkStart w:id="593" w:name="_Toc9173"/>
      <w:bookmarkStart w:id="594" w:name="_Toc5389"/>
      <w:r>
        <w:rPr>
          <w:rFonts w:hint="eastAsia" w:ascii="宋体" w:hAnsi="宋体"/>
        </w:rPr>
        <w:t>5、材料和工程设备</w:t>
      </w:r>
      <w:bookmarkEnd w:id="591"/>
      <w:bookmarkEnd w:id="592"/>
      <w:bookmarkEnd w:id="593"/>
      <w:bookmarkEnd w:id="594"/>
    </w:p>
    <w:p w14:paraId="6F494500">
      <w:pPr>
        <w:pStyle w:val="6"/>
        <w:spacing w:before="0" w:beforeAutospacing="0" w:after="0" w:afterAutospacing="0" w:line="360" w:lineRule="auto"/>
        <w:rPr>
          <w:rFonts w:hint="eastAsia" w:ascii="仿宋_GB2312" w:eastAsia="仿宋_GB2312"/>
        </w:rPr>
      </w:pPr>
      <w:r>
        <w:rPr>
          <w:rFonts w:hint="eastAsia" w:ascii="仿宋_GB2312" w:eastAsia="仿宋_GB2312"/>
        </w:rPr>
        <w:t>5.1 承包人提供的材料和工程设备</w:t>
      </w:r>
    </w:p>
    <w:p w14:paraId="4FC4E2E0">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5.1.4 项</w:t>
      </w:r>
    </w:p>
    <w:p w14:paraId="1FF6C6C6">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（1）承包人负责采购、运输和保管的材料、工程设备：</w:t>
      </w:r>
      <w:r>
        <w:rPr>
          <w:rFonts w:hint="eastAsia" w:ascii="仿宋_GB2312" w:hAnsi="宋体" w:eastAsia="仿宋_GB2312" w:cs="宋体"/>
          <w:kern w:val="0"/>
          <w:szCs w:val="21"/>
          <w:u w:val="single"/>
        </w:rPr>
        <w:t>由承包人自行采购。承包人采购材料设备必须经监理人和发包人批准，结算时由监理人和发包人按招标文件规定审核的数量和合同约定价格计算</w:t>
      </w:r>
      <w:r>
        <w:rPr>
          <w:rFonts w:hint="eastAsia" w:ascii="仿宋_GB2312" w:hAnsi="宋体" w:eastAsia="仿宋_GB2312" w:cs="宋体"/>
          <w:kern w:val="0"/>
          <w:szCs w:val="21"/>
        </w:rPr>
        <w:t>。</w:t>
      </w:r>
    </w:p>
    <w:p w14:paraId="494AE252">
      <w:pPr>
        <w:spacing w:line="360" w:lineRule="auto"/>
        <w:ind w:firstLine="420" w:firstLineChars="200"/>
        <w:jc w:val="left"/>
        <w:rPr>
          <w:rFonts w:hint="eastAsia" w:ascii="仿宋_GB2312" w:hAnsi="宋体" w:eastAsia="仿宋_GB2312" w:cs="宋体"/>
          <w:bCs/>
          <w:szCs w:val="21"/>
        </w:rPr>
      </w:pPr>
      <w:r>
        <w:rPr>
          <w:rFonts w:hint="eastAsia" w:ascii="仿宋_GB2312" w:hAnsi="宋体" w:eastAsia="仿宋_GB2312" w:cs="宋体"/>
          <w:kern w:val="0"/>
          <w:szCs w:val="21"/>
        </w:rPr>
        <w:t>（2）承包人报送监理人审批的时间：</w:t>
      </w:r>
      <w:r>
        <w:rPr>
          <w:rFonts w:hint="eastAsia" w:ascii="仿宋_GB2312" w:hAnsi="宋体" w:eastAsia="仿宋_GB2312" w:cs="宋体"/>
          <w:kern w:val="0"/>
          <w:szCs w:val="21"/>
          <w:u w:val="single"/>
        </w:rPr>
        <w:t>按发包人及监理单位的相关规定执行</w:t>
      </w:r>
    </w:p>
    <w:p w14:paraId="71312DC7">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（3）</w:t>
      </w:r>
      <w:r>
        <w:rPr>
          <w:rFonts w:hint="eastAsia" w:ascii="仿宋_GB2312" w:hAnsi="宋体" w:eastAsia="仿宋_GB2312" w:cs="宋体"/>
          <w:szCs w:val="21"/>
        </w:rPr>
        <w:t>承包人选择的生产厂家或供应商满足下列条件：</w:t>
      </w:r>
    </w:p>
    <w:p w14:paraId="587A5428">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a.承包人采购的材料与设计或标准要求不符时，承包人应按发包人和监理人要求的时间运出施工场地，并重新采购符合要求的产品，并承担由此发生的费用，因此延误的工期不予顺延。</w:t>
      </w:r>
    </w:p>
    <w:p w14:paraId="642980FC">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b.承包人采购的材料在使用前，应按发包人和监理人的要求进行检验或试验，不合格的不得使用。</w:t>
      </w:r>
    </w:p>
    <w:p w14:paraId="2EFAA80B">
      <w:pPr>
        <w:pStyle w:val="6"/>
        <w:spacing w:before="0" w:beforeAutospacing="0" w:after="0" w:afterAutospacing="0" w:line="360" w:lineRule="auto"/>
        <w:rPr>
          <w:rFonts w:hint="eastAsia"/>
        </w:rPr>
      </w:pPr>
      <w:r>
        <w:rPr>
          <w:rFonts w:hint="eastAsia"/>
        </w:rPr>
        <w:t>5.2 发包人提供的材料和工程设备</w:t>
      </w:r>
    </w:p>
    <w:p w14:paraId="3E0CF170">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第 5.2.1 项补充：</w:t>
      </w:r>
    </w:p>
    <w:p w14:paraId="3F9FA863">
      <w:pPr>
        <w:widowControl/>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lang w:bidi="ar"/>
        </w:rPr>
        <w:t>发包人是否提供材料或工程设备：</w:t>
      </w:r>
      <w:r>
        <w:rPr>
          <w:rFonts w:hint="eastAsia" w:ascii="仿宋_GB2312" w:hAnsi="宋体" w:eastAsia="仿宋_GB2312" w:cs="宋体"/>
          <w:kern w:val="0"/>
          <w:szCs w:val="21"/>
          <w:lang w:bidi="ar"/>
        </w:rPr>
        <w:sym w:font="Wingdings 2" w:char="00A3"/>
      </w:r>
      <w:r>
        <w:rPr>
          <w:rFonts w:hint="eastAsia" w:ascii="仿宋_GB2312" w:hAnsi="宋体" w:eastAsia="仿宋_GB2312" w:cs="宋体"/>
          <w:kern w:val="0"/>
          <w:szCs w:val="21"/>
          <w:lang w:bidi="ar"/>
        </w:rPr>
        <w:t>是或</w:t>
      </w:r>
      <w:r>
        <w:rPr>
          <w:rFonts w:hint="eastAsia" w:ascii="仿宋_GB2312" w:hAnsi="宋体" w:eastAsia="仿宋_GB2312" w:cs="宋体"/>
          <w:kern w:val="0"/>
          <w:szCs w:val="21"/>
          <w:lang w:bidi="ar"/>
        </w:rPr>
        <w:sym w:font="Wingdings 2" w:char="00A3"/>
      </w:r>
      <w:r>
        <w:rPr>
          <w:rFonts w:hint="eastAsia" w:ascii="仿宋_GB2312" w:hAnsi="宋体" w:eastAsia="仿宋_GB2312" w:cs="宋体"/>
          <w:kern w:val="0"/>
          <w:szCs w:val="21"/>
          <w:lang w:bidi="ar"/>
        </w:rPr>
        <w:t>否</w:t>
      </w:r>
    </w:p>
    <w:p w14:paraId="1CCE5289">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如发包人负责提供部分材料或工程设备，相关规定如下：</w:t>
      </w:r>
      <w:r>
        <w:rPr>
          <w:rFonts w:hint="eastAsia" w:ascii="仿宋_GB2312" w:hAnsi="宋体" w:eastAsia="仿宋_GB2312"/>
          <w:kern w:val="0"/>
          <w:szCs w:val="21"/>
          <w:u w:val="single"/>
          <w:lang w:bidi="ar"/>
        </w:rPr>
        <w:t xml:space="preserve">            </w:t>
      </w:r>
    </w:p>
    <w:p w14:paraId="259CA5F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5.2.3 项补充：</w:t>
      </w:r>
    </w:p>
    <w:p w14:paraId="7D049FF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负责接收并按规定对材料进行抽样检验和对工程设备进行检验测试，若发现材料和工程设备存在缺陷，承包人应及时通知监理人，发包人应及时改正通知中指出的缺陷。承包人负责接收后的运输和保管，因承包人的原因发生丢失、损坏或进度拖延，由承包人承担相应责任。</w:t>
      </w:r>
    </w:p>
    <w:p w14:paraId="2D61F3BF">
      <w:pPr>
        <w:pStyle w:val="6"/>
        <w:spacing w:before="0" w:beforeAutospacing="0" w:after="0" w:afterAutospacing="0" w:line="360" w:lineRule="auto"/>
        <w:rPr>
          <w:rFonts w:hint="eastAsia" w:ascii="仿宋_GB2312" w:eastAsia="仿宋_GB2312"/>
        </w:rPr>
      </w:pPr>
      <w:r>
        <w:rPr>
          <w:rFonts w:hint="eastAsia" w:ascii="仿宋_GB2312" w:eastAsia="仿宋_GB2312"/>
        </w:rPr>
        <w:t>5.4 禁止使用不合格的材料和工程设备</w:t>
      </w:r>
    </w:p>
    <w:p w14:paraId="57BC20A0">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5.4.4 项：</w:t>
      </w:r>
    </w:p>
    <w:p w14:paraId="2431AA28">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5.4.4发包人按约定的内容提供材料设备，承包人按施工规范和检测规范对一切进场材料进行质量检验，承包人有权退回检验不合格的材料；承包人对投入使用的材料质量负责，并对工程质量全面负责。</w:t>
      </w:r>
    </w:p>
    <w:p w14:paraId="32D977D8">
      <w:pPr>
        <w:pStyle w:val="2"/>
        <w:spacing w:after="0" w:line="360" w:lineRule="auto"/>
        <w:ind w:firstLine="420" w:firstLineChars="200"/>
        <w:rPr>
          <w:rFonts w:hint="eastAsia" w:ascii="仿宋_GB2312" w:eastAsia="仿宋_GB2312"/>
        </w:rPr>
      </w:pPr>
      <w:r>
        <w:rPr>
          <w:rFonts w:hint="eastAsia" w:ascii="仿宋_GB2312" w:eastAsia="仿宋_GB2312"/>
        </w:rPr>
        <w:t>本条补充第 5.5 款、第 5.6 款</w:t>
      </w:r>
    </w:p>
    <w:p w14:paraId="78436778">
      <w:pPr>
        <w:pStyle w:val="6"/>
        <w:spacing w:before="0" w:beforeAutospacing="0" w:after="0" w:afterAutospacing="0" w:line="360" w:lineRule="auto"/>
        <w:rPr>
          <w:rFonts w:hint="eastAsia" w:ascii="仿宋_GB2312" w:eastAsia="仿宋_GB2312"/>
        </w:rPr>
      </w:pPr>
      <w:r>
        <w:rPr>
          <w:rFonts w:hint="eastAsia" w:ascii="仿宋_GB2312" w:eastAsia="仿宋_GB2312"/>
        </w:rPr>
        <w:t>5.5 材料与工程设备的保管与使用</w:t>
      </w:r>
    </w:p>
    <w:p w14:paraId="2D3F9A51">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发包人供应的材料设备的保管费用的承担：</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06DC64B9">
      <w:pPr>
        <w:pStyle w:val="6"/>
        <w:spacing w:before="0" w:beforeAutospacing="0" w:after="0" w:afterAutospacing="0" w:line="360" w:lineRule="auto"/>
        <w:rPr>
          <w:rFonts w:hint="eastAsia" w:ascii="仿宋_GB2312" w:eastAsia="仿宋_GB2312"/>
        </w:rPr>
      </w:pPr>
      <w:r>
        <w:rPr>
          <w:rFonts w:hint="eastAsia" w:ascii="仿宋_GB2312" w:eastAsia="仿宋_GB2312"/>
        </w:rPr>
        <w:t>5.6 样品</w:t>
      </w:r>
    </w:p>
    <w:p w14:paraId="62996B03">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需要承包人报送样品的材料或工程设备，样品的种类、名称、规格、数量要求：</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33E1E6C2">
      <w:pPr>
        <w:pStyle w:val="5"/>
        <w:spacing w:before="0" w:after="0" w:line="360" w:lineRule="auto"/>
        <w:rPr>
          <w:rFonts w:hint="eastAsia" w:ascii="宋体" w:hAnsi="宋体"/>
        </w:rPr>
      </w:pPr>
      <w:bookmarkStart w:id="595" w:name="_Toc3908"/>
      <w:bookmarkStart w:id="596" w:name="_Toc17473"/>
      <w:bookmarkStart w:id="597" w:name="_Toc4502"/>
      <w:bookmarkStart w:id="598" w:name="_Toc57795970"/>
      <w:r>
        <w:rPr>
          <w:rFonts w:hint="eastAsia" w:ascii="宋体" w:hAnsi="宋体"/>
        </w:rPr>
        <w:t>6、施工设备和临时设施</w:t>
      </w:r>
      <w:bookmarkEnd w:id="595"/>
      <w:bookmarkEnd w:id="596"/>
      <w:bookmarkEnd w:id="597"/>
      <w:bookmarkEnd w:id="598"/>
    </w:p>
    <w:p w14:paraId="76E5F6BC">
      <w:pPr>
        <w:pStyle w:val="6"/>
        <w:spacing w:before="0" w:beforeAutospacing="0" w:after="0" w:afterAutospacing="0" w:line="360" w:lineRule="auto"/>
        <w:rPr>
          <w:rFonts w:hint="eastAsia"/>
        </w:rPr>
      </w:pPr>
      <w:r>
        <w:rPr>
          <w:rFonts w:hint="eastAsia"/>
        </w:rPr>
        <w:t>6.1 承包人提供的施工设备和临时设施</w:t>
      </w:r>
    </w:p>
    <w:p w14:paraId="0039C7F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6.1.2 项约定为：</w:t>
      </w:r>
    </w:p>
    <w:p w14:paraId="24AB4B2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承包人应自行承担修建临时设施的费用，需要临时占地的，应由承包人按第 4.1.10 项（1）目的规定办理。</w:t>
      </w:r>
    </w:p>
    <w:p w14:paraId="3555C4B2">
      <w:pPr>
        <w:pStyle w:val="6"/>
        <w:spacing w:before="0" w:beforeAutospacing="0" w:after="0" w:afterAutospacing="0" w:line="360" w:lineRule="auto"/>
        <w:rPr>
          <w:rFonts w:hint="eastAsia" w:ascii="仿宋_GB2312" w:eastAsia="仿宋_GB2312"/>
        </w:rPr>
      </w:pPr>
      <w:r>
        <w:rPr>
          <w:rFonts w:hint="eastAsia" w:ascii="仿宋_GB2312" w:eastAsia="仿宋_GB2312"/>
        </w:rPr>
        <w:t>6.2  发包人提供的施工设备和临时设施</w:t>
      </w:r>
    </w:p>
    <w:p w14:paraId="5C2B62DF">
      <w:pPr>
        <w:spacing w:line="360" w:lineRule="auto"/>
        <w:ind w:firstLine="424" w:firstLineChars="202"/>
        <w:rPr>
          <w:rFonts w:hint="eastAsia" w:ascii="仿宋_GB2312" w:hAnsi="宋体" w:eastAsia="仿宋_GB2312" w:cs="宋体"/>
          <w:szCs w:val="21"/>
        </w:rPr>
      </w:pPr>
      <w:r>
        <w:rPr>
          <w:rFonts w:hint="eastAsia" w:ascii="仿宋_GB2312" w:hAnsi="宋体" w:eastAsia="仿宋_GB2312" w:cs="宋体"/>
          <w:szCs w:val="21"/>
        </w:rPr>
        <w:t>本款补充：</w:t>
      </w:r>
    </w:p>
    <w:p w14:paraId="3E5F6959">
      <w:pPr>
        <w:spacing w:line="360" w:lineRule="auto"/>
        <w:ind w:firstLine="424" w:firstLineChars="202"/>
        <w:rPr>
          <w:rFonts w:hint="eastAsia" w:ascii="仿宋_GB2312" w:hAnsi="宋体" w:eastAsia="仿宋_GB2312" w:cs="宋体"/>
          <w:szCs w:val="21"/>
        </w:rPr>
      </w:pPr>
      <w:r>
        <w:rPr>
          <w:rFonts w:hint="eastAsia" w:ascii="仿宋_GB2312" w:hAnsi="宋体" w:eastAsia="仿宋_GB2312" w:cs="宋体"/>
          <w:szCs w:val="21"/>
        </w:rPr>
        <w:t>（1）发包人提供的施工设备见下表：</w:t>
      </w:r>
    </w:p>
    <w:p w14:paraId="1333D3DF">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发包人提供的施工设备表（参考格式）</w:t>
      </w:r>
    </w:p>
    <w:tbl>
      <w:tblPr>
        <w:tblStyle w:val="31"/>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842"/>
        <w:gridCol w:w="1560"/>
        <w:gridCol w:w="992"/>
        <w:gridCol w:w="1134"/>
        <w:gridCol w:w="1701"/>
        <w:gridCol w:w="850"/>
      </w:tblGrid>
      <w:tr w14:paraId="011E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3F22E19E">
            <w:pPr>
              <w:spacing w:line="360" w:lineRule="auto"/>
              <w:ind w:right="-3"/>
              <w:jc w:val="center"/>
              <w:rPr>
                <w:rFonts w:hint="eastAsia" w:ascii="仿宋_GB2312" w:hAnsi="宋体" w:eastAsia="仿宋_GB2312" w:cs="宋体"/>
                <w:szCs w:val="21"/>
              </w:rPr>
            </w:pPr>
            <w:r>
              <w:rPr>
                <w:rFonts w:hint="eastAsia" w:ascii="仿宋_GB2312" w:hAnsi="宋体" w:eastAsia="仿宋_GB2312" w:cs="宋体"/>
                <w:szCs w:val="21"/>
              </w:rPr>
              <w:t>序号</w:t>
            </w:r>
          </w:p>
        </w:tc>
        <w:tc>
          <w:tcPr>
            <w:tcW w:w="1842" w:type="dxa"/>
            <w:vAlign w:val="center"/>
          </w:tcPr>
          <w:p w14:paraId="594F8194">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施工设备名称</w:t>
            </w:r>
          </w:p>
        </w:tc>
        <w:tc>
          <w:tcPr>
            <w:tcW w:w="1560" w:type="dxa"/>
            <w:vAlign w:val="center"/>
          </w:tcPr>
          <w:p w14:paraId="34E34CA9">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型号及规格</w:t>
            </w:r>
          </w:p>
        </w:tc>
        <w:tc>
          <w:tcPr>
            <w:tcW w:w="992" w:type="dxa"/>
            <w:vAlign w:val="center"/>
          </w:tcPr>
          <w:p w14:paraId="5936A51A">
            <w:pPr>
              <w:spacing w:line="360" w:lineRule="auto"/>
              <w:ind w:right="-33"/>
              <w:jc w:val="center"/>
              <w:rPr>
                <w:rFonts w:hint="eastAsia" w:ascii="仿宋_GB2312" w:hAnsi="宋体" w:eastAsia="仿宋_GB2312" w:cs="宋体"/>
                <w:szCs w:val="21"/>
              </w:rPr>
            </w:pPr>
            <w:r>
              <w:rPr>
                <w:rFonts w:hint="eastAsia" w:ascii="仿宋_GB2312" w:hAnsi="宋体" w:eastAsia="仿宋_GB2312" w:cs="宋体"/>
                <w:szCs w:val="21"/>
              </w:rPr>
              <w:t>数量</w:t>
            </w:r>
          </w:p>
        </w:tc>
        <w:tc>
          <w:tcPr>
            <w:tcW w:w="1134" w:type="dxa"/>
            <w:vAlign w:val="center"/>
          </w:tcPr>
          <w:p w14:paraId="08156154">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交货地点</w:t>
            </w:r>
          </w:p>
        </w:tc>
        <w:tc>
          <w:tcPr>
            <w:tcW w:w="1701" w:type="dxa"/>
            <w:vAlign w:val="center"/>
          </w:tcPr>
          <w:p w14:paraId="40D96BA8">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计划交货日期</w:t>
            </w:r>
          </w:p>
        </w:tc>
        <w:tc>
          <w:tcPr>
            <w:tcW w:w="850" w:type="dxa"/>
            <w:vAlign w:val="center"/>
          </w:tcPr>
          <w:p w14:paraId="0B5CDCE6">
            <w:pPr>
              <w:spacing w:line="360" w:lineRule="auto"/>
              <w:jc w:val="center"/>
              <w:rPr>
                <w:rFonts w:hint="eastAsia" w:ascii="仿宋_GB2312" w:hAnsi="宋体" w:eastAsia="仿宋_GB2312" w:cs="宋体"/>
                <w:szCs w:val="21"/>
              </w:rPr>
            </w:pPr>
            <w:r>
              <w:rPr>
                <w:rFonts w:hint="eastAsia" w:ascii="仿宋_GB2312" w:hAnsi="宋体" w:eastAsia="仿宋_GB2312" w:cs="宋体"/>
                <w:szCs w:val="21"/>
              </w:rPr>
              <w:t>备注</w:t>
            </w:r>
          </w:p>
        </w:tc>
      </w:tr>
      <w:tr w14:paraId="54510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6DB6A2AD">
            <w:pPr>
              <w:spacing w:line="360" w:lineRule="auto"/>
              <w:ind w:right="248"/>
              <w:jc w:val="center"/>
              <w:rPr>
                <w:rFonts w:hint="eastAsia" w:ascii="仿宋_GB2312" w:hAnsi="宋体" w:eastAsia="仿宋_GB2312" w:cs="宋体"/>
                <w:szCs w:val="21"/>
              </w:rPr>
            </w:pPr>
          </w:p>
        </w:tc>
        <w:tc>
          <w:tcPr>
            <w:tcW w:w="1842" w:type="dxa"/>
            <w:vAlign w:val="center"/>
          </w:tcPr>
          <w:p w14:paraId="2ABD63B3">
            <w:pPr>
              <w:spacing w:line="360" w:lineRule="auto"/>
              <w:ind w:right="248"/>
              <w:jc w:val="center"/>
              <w:rPr>
                <w:rFonts w:hint="eastAsia" w:ascii="仿宋_GB2312" w:hAnsi="宋体" w:eastAsia="仿宋_GB2312" w:cs="宋体"/>
                <w:szCs w:val="21"/>
              </w:rPr>
            </w:pPr>
          </w:p>
        </w:tc>
        <w:tc>
          <w:tcPr>
            <w:tcW w:w="1560" w:type="dxa"/>
            <w:vAlign w:val="center"/>
          </w:tcPr>
          <w:p w14:paraId="16CF0CB5">
            <w:pPr>
              <w:spacing w:line="360" w:lineRule="auto"/>
              <w:ind w:right="248"/>
              <w:jc w:val="center"/>
              <w:rPr>
                <w:rFonts w:hint="eastAsia" w:ascii="仿宋_GB2312" w:hAnsi="宋体" w:eastAsia="仿宋_GB2312" w:cs="宋体"/>
                <w:szCs w:val="21"/>
              </w:rPr>
            </w:pPr>
          </w:p>
        </w:tc>
        <w:tc>
          <w:tcPr>
            <w:tcW w:w="992" w:type="dxa"/>
            <w:vAlign w:val="center"/>
          </w:tcPr>
          <w:p w14:paraId="20540102">
            <w:pPr>
              <w:spacing w:line="360" w:lineRule="auto"/>
              <w:ind w:right="248"/>
              <w:jc w:val="center"/>
              <w:rPr>
                <w:rFonts w:hint="eastAsia" w:ascii="仿宋_GB2312" w:hAnsi="宋体" w:eastAsia="仿宋_GB2312" w:cs="宋体"/>
                <w:szCs w:val="21"/>
              </w:rPr>
            </w:pPr>
          </w:p>
        </w:tc>
        <w:tc>
          <w:tcPr>
            <w:tcW w:w="1134" w:type="dxa"/>
            <w:vAlign w:val="center"/>
          </w:tcPr>
          <w:p w14:paraId="3DEE84D6">
            <w:pPr>
              <w:spacing w:line="360" w:lineRule="auto"/>
              <w:ind w:right="248"/>
              <w:jc w:val="center"/>
              <w:rPr>
                <w:rFonts w:hint="eastAsia" w:ascii="仿宋_GB2312" w:hAnsi="宋体" w:eastAsia="仿宋_GB2312" w:cs="宋体"/>
                <w:szCs w:val="21"/>
              </w:rPr>
            </w:pPr>
          </w:p>
        </w:tc>
        <w:tc>
          <w:tcPr>
            <w:tcW w:w="1701" w:type="dxa"/>
            <w:vAlign w:val="center"/>
          </w:tcPr>
          <w:p w14:paraId="569109AA">
            <w:pPr>
              <w:spacing w:line="360" w:lineRule="auto"/>
              <w:ind w:right="248"/>
              <w:jc w:val="center"/>
              <w:rPr>
                <w:rFonts w:hint="eastAsia" w:ascii="仿宋_GB2312" w:hAnsi="宋体" w:eastAsia="仿宋_GB2312" w:cs="宋体"/>
                <w:szCs w:val="21"/>
              </w:rPr>
            </w:pPr>
          </w:p>
        </w:tc>
        <w:tc>
          <w:tcPr>
            <w:tcW w:w="850" w:type="dxa"/>
            <w:vAlign w:val="center"/>
          </w:tcPr>
          <w:p w14:paraId="508B548E">
            <w:pPr>
              <w:spacing w:line="360" w:lineRule="auto"/>
              <w:ind w:right="248"/>
              <w:jc w:val="center"/>
              <w:rPr>
                <w:rFonts w:hint="eastAsia" w:ascii="仿宋_GB2312" w:hAnsi="宋体" w:eastAsia="仿宋_GB2312" w:cs="宋体"/>
                <w:szCs w:val="21"/>
              </w:rPr>
            </w:pPr>
          </w:p>
        </w:tc>
      </w:tr>
      <w:tr w14:paraId="5DB6F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4F4E6A3B">
            <w:pPr>
              <w:spacing w:line="360" w:lineRule="auto"/>
              <w:ind w:right="248"/>
              <w:jc w:val="center"/>
              <w:rPr>
                <w:rFonts w:hint="eastAsia" w:ascii="仿宋_GB2312" w:hAnsi="宋体" w:eastAsia="仿宋_GB2312" w:cs="宋体"/>
                <w:szCs w:val="21"/>
              </w:rPr>
            </w:pPr>
          </w:p>
        </w:tc>
        <w:tc>
          <w:tcPr>
            <w:tcW w:w="1842" w:type="dxa"/>
            <w:vAlign w:val="center"/>
          </w:tcPr>
          <w:p w14:paraId="6BE3A3EE">
            <w:pPr>
              <w:spacing w:line="360" w:lineRule="auto"/>
              <w:ind w:right="248"/>
              <w:jc w:val="center"/>
              <w:rPr>
                <w:rFonts w:hint="eastAsia" w:ascii="仿宋_GB2312" w:hAnsi="宋体" w:eastAsia="仿宋_GB2312" w:cs="宋体"/>
                <w:szCs w:val="21"/>
              </w:rPr>
            </w:pPr>
          </w:p>
        </w:tc>
        <w:tc>
          <w:tcPr>
            <w:tcW w:w="1560" w:type="dxa"/>
            <w:vAlign w:val="center"/>
          </w:tcPr>
          <w:p w14:paraId="44978442">
            <w:pPr>
              <w:spacing w:line="360" w:lineRule="auto"/>
              <w:ind w:right="248"/>
              <w:jc w:val="center"/>
              <w:rPr>
                <w:rFonts w:hint="eastAsia" w:ascii="仿宋_GB2312" w:hAnsi="宋体" w:eastAsia="仿宋_GB2312" w:cs="宋体"/>
                <w:szCs w:val="21"/>
              </w:rPr>
            </w:pPr>
          </w:p>
        </w:tc>
        <w:tc>
          <w:tcPr>
            <w:tcW w:w="992" w:type="dxa"/>
            <w:vAlign w:val="center"/>
          </w:tcPr>
          <w:p w14:paraId="32BA29B9">
            <w:pPr>
              <w:spacing w:line="360" w:lineRule="auto"/>
              <w:ind w:right="248"/>
              <w:jc w:val="center"/>
              <w:rPr>
                <w:rFonts w:hint="eastAsia" w:ascii="仿宋_GB2312" w:hAnsi="宋体" w:eastAsia="仿宋_GB2312" w:cs="宋体"/>
                <w:szCs w:val="21"/>
              </w:rPr>
            </w:pPr>
          </w:p>
        </w:tc>
        <w:tc>
          <w:tcPr>
            <w:tcW w:w="1134" w:type="dxa"/>
            <w:vAlign w:val="center"/>
          </w:tcPr>
          <w:p w14:paraId="005432D7">
            <w:pPr>
              <w:spacing w:line="360" w:lineRule="auto"/>
              <w:ind w:right="248"/>
              <w:jc w:val="center"/>
              <w:rPr>
                <w:rFonts w:hint="eastAsia" w:ascii="仿宋_GB2312" w:hAnsi="宋体" w:eastAsia="仿宋_GB2312" w:cs="宋体"/>
                <w:szCs w:val="21"/>
              </w:rPr>
            </w:pPr>
          </w:p>
        </w:tc>
        <w:tc>
          <w:tcPr>
            <w:tcW w:w="1701" w:type="dxa"/>
            <w:vAlign w:val="center"/>
          </w:tcPr>
          <w:p w14:paraId="6F4041FD">
            <w:pPr>
              <w:spacing w:line="360" w:lineRule="auto"/>
              <w:ind w:right="248"/>
              <w:jc w:val="center"/>
              <w:rPr>
                <w:rFonts w:hint="eastAsia" w:ascii="仿宋_GB2312" w:hAnsi="宋体" w:eastAsia="仿宋_GB2312" w:cs="宋体"/>
                <w:szCs w:val="21"/>
              </w:rPr>
            </w:pPr>
          </w:p>
        </w:tc>
        <w:tc>
          <w:tcPr>
            <w:tcW w:w="850" w:type="dxa"/>
            <w:vAlign w:val="center"/>
          </w:tcPr>
          <w:p w14:paraId="6D39B9FD">
            <w:pPr>
              <w:spacing w:line="360" w:lineRule="auto"/>
              <w:ind w:right="248"/>
              <w:jc w:val="center"/>
              <w:rPr>
                <w:rFonts w:hint="eastAsia" w:ascii="仿宋_GB2312" w:hAnsi="宋体" w:eastAsia="仿宋_GB2312" w:cs="宋体"/>
                <w:szCs w:val="21"/>
              </w:rPr>
            </w:pPr>
          </w:p>
        </w:tc>
      </w:tr>
      <w:tr w14:paraId="1D2E9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5C9242D9">
            <w:pPr>
              <w:spacing w:line="360" w:lineRule="auto"/>
              <w:ind w:right="248"/>
              <w:jc w:val="center"/>
              <w:rPr>
                <w:rFonts w:hint="eastAsia" w:ascii="仿宋_GB2312" w:hAnsi="宋体" w:eastAsia="仿宋_GB2312" w:cs="宋体"/>
                <w:szCs w:val="21"/>
              </w:rPr>
            </w:pPr>
          </w:p>
        </w:tc>
        <w:tc>
          <w:tcPr>
            <w:tcW w:w="1842" w:type="dxa"/>
            <w:vAlign w:val="center"/>
          </w:tcPr>
          <w:p w14:paraId="33C2D7AD">
            <w:pPr>
              <w:spacing w:line="360" w:lineRule="auto"/>
              <w:ind w:right="248"/>
              <w:jc w:val="center"/>
              <w:rPr>
                <w:rFonts w:hint="eastAsia" w:ascii="仿宋_GB2312" w:hAnsi="宋体" w:eastAsia="仿宋_GB2312" w:cs="宋体"/>
                <w:szCs w:val="21"/>
              </w:rPr>
            </w:pPr>
          </w:p>
        </w:tc>
        <w:tc>
          <w:tcPr>
            <w:tcW w:w="1560" w:type="dxa"/>
            <w:vAlign w:val="center"/>
          </w:tcPr>
          <w:p w14:paraId="280754BC">
            <w:pPr>
              <w:spacing w:line="360" w:lineRule="auto"/>
              <w:ind w:right="248"/>
              <w:jc w:val="center"/>
              <w:rPr>
                <w:rFonts w:hint="eastAsia" w:ascii="仿宋_GB2312" w:hAnsi="宋体" w:eastAsia="仿宋_GB2312" w:cs="宋体"/>
                <w:szCs w:val="21"/>
              </w:rPr>
            </w:pPr>
          </w:p>
        </w:tc>
        <w:tc>
          <w:tcPr>
            <w:tcW w:w="992" w:type="dxa"/>
            <w:vAlign w:val="center"/>
          </w:tcPr>
          <w:p w14:paraId="006CCDDE">
            <w:pPr>
              <w:spacing w:line="360" w:lineRule="auto"/>
              <w:ind w:right="248"/>
              <w:jc w:val="center"/>
              <w:rPr>
                <w:rFonts w:hint="eastAsia" w:ascii="仿宋_GB2312" w:hAnsi="宋体" w:eastAsia="仿宋_GB2312" w:cs="宋体"/>
                <w:szCs w:val="21"/>
              </w:rPr>
            </w:pPr>
          </w:p>
        </w:tc>
        <w:tc>
          <w:tcPr>
            <w:tcW w:w="1134" w:type="dxa"/>
            <w:vAlign w:val="center"/>
          </w:tcPr>
          <w:p w14:paraId="63F6365C">
            <w:pPr>
              <w:spacing w:line="360" w:lineRule="auto"/>
              <w:ind w:right="248"/>
              <w:jc w:val="center"/>
              <w:rPr>
                <w:rFonts w:hint="eastAsia" w:ascii="仿宋_GB2312" w:hAnsi="宋体" w:eastAsia="仿宋_GB2312" w:cs="宋体"/>
                <w:szCs w:val="21"/>
              </w:rPr>
            </w:pPr>
          </w:p>
        </w:tc>
        <w:tc>
          <w:tcPr>
            <w:tcW w:w="1701" w:type="dxa"/>
            <w:vAlign w:val="center"/>
          </w:tcPr>
          <w:p w14:paraId="09443E08">
            <w:pPr>
              <w:spacing w:line="360" w:lineRule="auto"/>
              <w:ind w:right="248"/>
              <w:jc w:val="center"/>
              <w:rPr>
                <w:rFonts w:hint="eastAsia" w:ascii="仿宋_GB2312" w:hAnsi="宋体" w:eastAsia="仿宋_GB2312" w:cs="宋体"/>
                <w:szCs w:val="21"/>
              </w:rPr>
            </w:pPr>
          </w:p>
        </w:tc>
        <w:tc>
          <w:tcPr>
            <w:tcW w:w="850" w:type="dxa"/>
            <w:vAlign w:val="center"/>
          </w:tcPr>
          <w:p w14:paraId="2C193CE7">
            <w:pPr>
              <w:spacing w:line="360" w:lineRule="auto"/>
              <w:ind w:right="248"/>
              <w:jc w:val="center"/>
              <w:rPr>
                <w:rFonts w:hint="eastAsia" w:ascii="仿宋_GB2312" w:hAnsi="宋体" w:eastAsia="仿宋_GB2312" w:cs="宋体"/>
                <w:szCs w:val="21"/>
              </w:rPr>
            </w:pPr>
          </w:p>
        </w:tc>
      </w:tr>
    </w:tbl>
    <w:p w14:paraId="56BB6E86">
      <w:pPr>
        <w:pStyle w:val="28"/>
        <w:spacing w:line="360" w:lineRule="auto"/>
        <w:rPr>
          <w:rFonts w:hint="eastAsia" w:ascii="仿宋_GB2312" w:hAnsi="宋体" w:eastAsia="仿宋_GB2312" w:cs="宋体"/>
          <w:sz w:val="21"/>
          <w:szCs w:val="21"/>
        </w:rPr>
      </w:pPr>
      <w:r>
        <w:rPr>
          <w:rFonts w:hint="eastAsia" w:ascii="仿宋_GB2312" w:hAnsi="宋体" w:eastAsia="仿宋_GB2312" w:cs="宋体"/>
          <w:sz w:val="21"/>
          <w:szCs w:val="21"/>
        </w:rPr>
        <w:t>注：设备状况栏内填写该设备的新旧程度、购进时间、已使用小时数和最近一次的大修时间。</w:t>
      </w:r>
    </w:p>
    <w:p w14:paraId="75E177F2">
      <w:pPr>
        <w:spacing w:line="360" w:lineRule="auto"/>
        <w:ind w:right="248" w:firstLine="424" w:firstLineChars="202"/>
        <w:rPr>
          <w:rFonts w:hint="eastAsia" w:ascii="仿宋_GB2312" w:hAnsi="宋体" w:eastAsia="仿宋_GB2312" w:cs="宋体"/>
          <w:b/>
          <w:szCs w:val="21"/>
        </w:rPr>
      </w:pPr>
      <w:r>
        <w:rPr>
          <w:rFonts w:hint="eastAsia" w:ascii="仿宋_GB2312" w:hAnsi="宋体" w:eastAsia="仿宋_GB2312" w:cs="宋体"/>
          <w:szCs w:val="21"/>
        </w:rPr>
        <w:t>（2）发包人提供的临时设施：</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3F4F91CE">
      <w:pPr>
        <w:pStyle w:val="6"/>
        <w:spacing w:before="0" w:beforeAutospacing="0" w:after="0" w:afterAutospacing="0" w:line="360" w:lineRule="auto"/>
        <w:rPr>
          <w:rFonts w:hint="eastAsia"/>
        </w:rPr>
      </w:pPr>
      <w:r>
        <w:rPr>
          <w:rFonts w:hint="eastAsia"/>
        </w:rPr>
        <w:t>6.3 要求承包人增加或更换施工设备</w:t>
      </w:r>
    </w:p>
    <w:p w14:paraId="1FE4F21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本款细化为：</w:t>
      </w:r>
    </w:p>
    <w:p w14:paraId="5F47F6B2">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承诺的施工设备必须按时到达现场，不得拖延、缺短或任意更换。尽管承包人已按承诺提供了上述设备，但若承包人使用的施工设备不能满足合同进度计划和（或）质量要求时，监理人有权要求承包人增加或更换施工设备，承包人应及时增加或更换，由此增加的费用和（或）工期延误由承包人承担。</w:t>
      </w:r>
    </w:p>
    <w:p w14:paraId="06D5B11A">
      <w:pPr>
        <w:pStyle w:val="5"/>
        <w:spacing w:before="0" w:after="0" w:line="360" w:lineRule="auto"/>
        <w:rPr>
          <w:rFonts w:hint="eastAsia" w:ascii="宋体" w:hAnsi="宋体"/>
        </w:rPr>
      </w:pPr>
      <w:bookmarkStart w:id="599" w:name="_Toc4382"/>
      <w:bookmarkStart w:id="600" w:name="_Toc31082"/>
      <w:bookmarkStart w:id="601" w:name="_Toc57795971"/>
      <w:bookmarkStart w:id="602" w:name="_Toc16191"/>
      <w:r>
        <w:rPr>
          <w:rFonts w:hint="eastAsia" w:ascii="宋体" w:hAnsi="宋体"/>
        </w:rPr>
        <w:t>7、交通运输</w:t>
      </w:r>
      <w:bookmarkEnd w:id="599"/>
      <w:bookmarkEnd w:id="600"/>
      <w:bookmarkEnd w:id="601"/>
      <w:bookmarkEnd w:id="602"/>
    </w:p>
    <w:p w14:paraId="30B8BF33">
      <w:pPr>
        <w:pStyle w:val="6"/>
        <w:spacing w:before="0" w:beforeAutospacing="0" w:after="0" w:afterAutospacing="0" w:line="360" w:lineRule="auto"/>
        <w:rPr>
          <w:rFonts w:hint="eastAsia"/>
        </w:rPr>
      </w:pPr>
      <w:r>
        <w:rPr>
          <w:rFonts w:hint="eastAsia"/>
        </w:rPr>
        <w:t>7.1 道路通行权和场外设施</w:t>
      </w:r>
    </w:p>
    <w:p w14:paraId="6BE18ABF">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本款约定为：</w:t>
      </w:r>
    </w:p>
    <w:p w14:paraId="30C257A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承包人应根据合同工程的施工需要，负责办理取得出入施工场地的专用和临时道路的通行权，以及取得为工程建设所需修建场外设施的权利，并承担有关费用。 需要发包人协调时，发包人应协助承包人办理相关手续。</w:t>
      </w:r>
    </w:p>
    <w:p w14:paraId="686A2C6B">
      <w:pPr>
        <w:pStyle w:val="6"/>
        <w:spacing w:before="0" w:beforeAutospacing="0" w:after="0" w:afterAutospacing="0" w:line="360" w:lineRule="auto"/>
        <w:rPr>
          <w:rFonts w:hint="eastAsia" w:ascii="仿宋_GB2312" w:eastAsia="仿宋_GB2312"/>
        </w:rPr>
      </w:pPr>
      <w:r>
        <w:rPr>
          <w:rFonts w:hint="eastAsia" w:ascii="仿宋_GB2312" w:eastAsia="仿宋_GB2312"/>
        </w:rPr>
        <w:t>7.2 场内施工道路</w:t>
      </w:r>
    </w:p>
    <w:p w14:paraId="392DFD96">
      <w:pPr>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本款补充第 7.2.3 项：</w:t>
      </w:r>
    </w:p>
    <w:p w14:paraId="427BF761">
      <w:pPr>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7.2.3由发包人提供的部分道路和交通设施维修、养护和管理的约定：</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40D29628">
      <w:pPr>
        <w:spacing w:line="360" w:lineRule="auto"/>
        <w:ind w:firstLine="420" w:firstLineChars="200"/>
        <w:jc w:val="left"/>
        <w:rPr>
          <w:rFonts w:hint="eastAsia" w:ascii="仿宋_GB2312" w:hAnsi="宋体" w:eastAsia="仿宋_GB2312" w:cs="宋体"/>
          <w:szCs w:val="21"/>
          <w:u w:val="single"/>
        </w:rPr>
      </w:pPr>
      <w:r>
        <w:rPr>
          <w:rFonts w:hint="eastAsia" w:ascii="仿宋_GB2312" w:hAnsi="宋体" w:eastAsia="仿宋_GB2312" w:cs="宋体"/>
          <w:kern w:val="0"/>
          <w:szCs w:val="21"/>
        </w:rPr>
        <w:t>关于场外交通和场内交通的边界的约定：</w:t>
      </w:r>
      <w:r>
        <w:rPr>
          <w:rFonts w:hint="eastAsia" w:ascii="仿宋_GB2312" w:hAnsi="宋体" w:eastAsia="仿宋_GB2312" w:cs="宋体"/>
          <w:szCs w:val="21"/>
          <w:u w:val="single"/>
        </w:rPr>
        <w:t>以合同工程用地红线为界，用地红线外为场外交通，用地红线范围内为场内交通（场外道路穿越场内的除外）</w:t>
      </w:r>
      <w:r>
        <w:rPr>
          <w:rFonts w:hint="eastAsia" w:ascii="仿宋_GB2312" w:hAnsi="宋体" w:eastAsia="仿宋_GB2312" w:cs="宋体"/>
          <w:szCs w:val="21"/>
        </w:rPr>
        <w:t>。</w:t>
      </w:r>
    </w:p>
    <w:p w14:paraId="2CB70516">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关于发包人向承包人免费提供满足工程施工需要的场内道路和交通设施的约定：</w:t>
      </w:r>
      <w:r>
        <w:rPr>
          <w:rFonts w:hint="eastAsia" w:ascii="仿宋_GB2312" w:hAnsi="宋体" w:eastAsia="仿宋_GB2312" w:cs="宋体"/>
          <w:kern w:val="0"/>
          <w:szCs w:val="21"/>
          <w:u w:val="single"/>
        </w:rPr>
        <w:t>以施工场地移交时的现状为准</w:t>
      </w:r>
      <w:r>
        <w:rPr>
          <w:rFonts w:hint="eastAsia" w:ascii="仿宋_GB2312" w:hAnsi="宋体" w:eastAsia="仿宋_GB2312" w:cs="宋体"/>
          <w:szCs w:val="21"/>
        </w:rPr>
        <w:t>。</w:t>
      </w:r>
    </w:p>
    <w:p w14:paraId="70D2CDE6">
      <w:pPr>
        <w:pStyle w:val="6"/>
        <w:spacing w:before="0" w:beforeAutospacing="0" w:after="0" w:afterAutospacing="0" w:line="360" w:lineRule="auto"/>
        <w:rPr>
          <w:rFonts w:hint="eastAsia" w:ascii="仿宋_GB2312" w:eastAsia="仿宋_GB2312"/>
        </w:rPr>
      </w:pPr>
      <w:r>
        <w:rPr>
          <w:rFonts w:hint="eastAsia" w:ascii="仿宋_GB2312" w:eastAsia="仿宋_GB2312"/>
        </w:rPr>
        <w:t>7.3 场外交通</w:t>
      </w:r>
    </w:p>
    <w:p w14:paraId="75D1B084">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7.3.3 项</w:t>
      </w:r>
    </w:p>
    <w:p w14:paraId="38486187">
      <w:pPr>
        <w:spacing w:line="360" w:lineRule="auto"/>
        <w:ind w:firstLine="420" w:firstLineChars="200"/>
        <w:jc w:val="left"/>
        <w:rPr>
          <w:rFonts w:ascii="宋体" w:hAnsi="宋体" w:cs="宋体"/>
          <w:kern w:val="0"/>
          <w:szCs w:val="21"/>
        </w:rPr>
      </w:pPr>
      <w:r>
        <w:rPr>
          <w:rFonts w:hint="eastAsia" w:ascii="仿宋_GB2312" w:hAnsi="宋体" w:eastAsia="仿宋_GB2312" w:cs="宋体"/>
          <w:kern w:val="0"/>
          <w:szCs w:val="21"/>
        </w:rPr>
        <w:t>承包人应遵守有关交通法规，执行有关道路限速、限行、禁止超载的规定，并配合交通管理部门的监督和检查。场外交通以施工场地移交时的现状为准。</w:t>
      </w:r>
    </w:p>
    <w:p w14:paraId="0933C66F">
      <w:pPr>
        <w:pStyle w:val="5"/>
        <w:spacing w:before="0" w:after="0" w:line="360" w:lineRule="auto"/>
        <w:rPr>
          <w:rFonts w:hint="eastAsia" w:ascii="宋体" w:hAnsi="宋体"/>
        </w:rPr>
      </w:pPr>
      <w:bookmarkStart w:id="603" w:name="_Toc3333"/>
      <w:bookmarkStart w:id="604" w:name="_Toc20949"/>
      <w:bookmarkStart w:id="605" w:name="_Toc57795972"/>
      <w:bookmarkStart w:id="606" w:name="_Toc9304"/>
      <w:r>
        <w:rPr>
          <w:rFonts w:hint="eastAsia" w:ascii="宋体" w:hAnsi="宋体"/>
        </w:rPr>
        <w:t>8、测量放线</w:t>
      </w:r>
      <w:bookmarkEnd w:id="603"/>
      <w:bookmarkEnd w:id="604"/>
      <w:bookmarkEnd w:id="605"/>
      <w:bookmarkEnd w:id="606"/>
    </w:p>
    <w:p w14:paraId="3546A6C2">
      <w:pPr>
        <w:pStyle w:val="6"/>
        <w:spacing w:before="0" w:beforeAutospacing="0" w:after="0" w:afterAutospacing="0" w:line="360" w:lineRule="auto"/>
        <w:rPr>
          <w:rFonts w:hint="eastAsia"/>
        </w:rPr>
      </w:pPr>
      <w:r>
        <w:rPr>
          <w:rFonts w:hint="eastAsia"/>
        </w:rPr>
        <w:t>8.1施工控制网</w:t>
      </w:r>
    </w:p>
    <w:p w14:paraId="464A2B5F">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szCs w:val="21"/>
        </w:rPr>
        <w:t>第 8.1.1 项细化为：</w:t>
      </w:r>
    </w:p>
    <w:p w14:paraId="731363BF">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szCs w:val="21"/>
        </w:rPr>
        <w:t>发包人提供测量基准点、基准线和水准点及其书面资料的期限：中标通知之后</w:t>
      </w:r>
      <w:r>
        <w:rPr>
          <w:rFonts w:hint="eastAsia" w:ascii="仿宋_GB2312" w:hAnsi="宋体" w:eastAsia="仿宋_GB2312" w:cs="宋体"/>
          <w:szCs w:val="21"/>
          <w:u w:val="single"/>
        </w:rPr>
        <w:t xml:space="preserve">     </w:t>
      </w:r>
      <w:r>
        <w:rPr>
          <w:rFonts w:hint="eastAsia" w:ascii="仿宋_GB2312" w:hAnsi="宋体" w:eastAsia="仿宋_GB2312" w:cs="宋体"/>
          <w:szCs w:val="21"/>
        </w:rPr>
        <w:t>天之内</w:t>
      </w:r>
      <w:r>
        <w:rPr>
          <w:rFonts w:hint="eastAsia" w:ascii="仿宋_GB2312" w:hAnsi="宋体" w:eastAsia="仿宋_GB2312" w:cs="宋体"/>
          <w:kern w:val="0"/>
          <w:szCs w:val="21"/>
        </w:rPr>
        <w:t>。</w:t>
      </w:r>
    </w:p>
    <w:p w14:paraId="4571EA6F">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kern w:val="0"/>
          <w:szCs w:val="21"/>
        </w:rPr>
        <w:t>承包人将施工控制网资料报送监理人审批的期限：在发包人提供上述资料后</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天之内。</w:t>
      </w:r>
    </w:p>
    <w:p w14:paraId="76B8EE08">
      <w:pPr>
        <w:pStyle w:val="6"/>
        <w:spacing w:before="0" w:beforeAutospacing="0" w:after="0" w:afterAutospacing="0" w:line="360" w:lineRule="auto"/>
        <w:rPr>
          <w:rFonts w:hint="eastAsia"/>
        </w:rPr>
      </w:pPr>
      <w:r>
        <w:rPr>
          <w:rFonts w:hint="eastAsia"/>
        </w:rPr>
        <w:t>8.4 监理人使用施工控制网</w:t>
      </w:r>
    </w:p>
    <w:p w14:paraId="1D0E2BBC">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本款补充：</w:t>
      </w:r>
    </w:p>
    <w:p w14:paraId="18F93AB2">
      <w:pPr>
        <w:widowControl/>
        <w:spacing w:line="360" w:lineRule="auto"/>
        <w:ind w:firstLine="420" w:firstLineChars="200"/>
        <w:jc w:val="left"/>
        <w:rPr>
          <w:rFonts w:ascii="宋体" w:hAnsi="宋体"/>
          <w:szCs w:val="21"/>
        </w:rPr>
      </w:pPr>
      <w:r>
        <w:rPr>
          <w:rFonts w:hint="eastAsia" w:ascii="宋体" w:hAnsi="宋体" w:cs="宋体"/>
          <w:kern w:val="0"/>
          <w:szCs w:val="21"/>
          <w:lang w:bidi="ar"/>
        </w:rPr>
        <w:t>经监理人批准，其他相关承包人也可免费使用施工控制网。</w:t>
      </w:r>
    </w:p>
    <w:p w14:paraId="1F2687C8">
      <w:pPr>
        <w:pStyle w:val="5"/>
        <w:spacing w:before="0" w:after="0" w:line="360" w:lineRule="auto"/>
        <w:rPr>
          <w:rFonts w:hint="eastAsia" w:ascii="宋体" w:hAnsi="宋体"/>
        </w:rPr>
      </w:pPr>
      <w:bookmarkStart w:id="607" w:name="_Toc1731"/>
      <w:bookmarkStart w:id="608" w:name="_Toc57795973"/>
      <w:bookmarkStart w:id="609" w:name="_Toc17591"/>
      <w:bookmarkStart w:id="610" w:name="_Toc22724"/>
      <w:r>
        <w:rPr>
          <w:rFonts w:hint="eastAsia" w:ascii="宋体" w:hAnsi="宋体"/>
        </w:rPr>
        <w:t>9、施工安全、治安保卫和环境保护</w:t>
      </w:r>
      <w:bookmarkEnd w:id="607"/>
      <w:bookmarkEnd w:id="608"/>
      <w:bookmarkEnd w:id="609"/>
      <w:bookmarkEnd w:id="610"/>
    </w:p>
    <w:p w14:paraId="3D03082D">
      <w:pPr>
        <w:pStyle w:val="6"/>
        <w:spacing w:before="0" w:beforeAutospacing="0" w:after="0" w:afterAutospacing="0" w:line="360" w:lineRule="auto"/>
        <w:rPr>
          <w:rFonts w:hint="eastAsia" w:ascii="仿宋_GB2312" w:eastAsia="仿宋_GB2312"/>
        </w:rPr>
      </w:pPr>
      <w:r>
        <w:rPr>
          <w:rFonts w:hint="eastAsia" w:ascii="仿宋_GB2312" w:eastAsia="仿宋_GB2312"/>
        </w:rPr>
        <w:t>9.1 发包人的施工安全责任</w:t>
      </w:r>
    </w:p>
    <w:p w14:paraId="68A1D06D">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 xml:space="preserve">本款补充第 9.1.4 项、第 </w:t>
      </w:r>
      <w:r>
        <w:rPr>
          <w:rFonts w:hint="eastAsia" w:ascii="仿宋_GB2312" w:hAnsi="宋体" w:eastAsia="仿宋_GB2312" w:cs="宋体"/>
          <w:kern w:val="0"/>
          <w:szCs w:val="21"/>
        </w:rPr>
        <w:t xml:space="preserve">9.1.5 </w:t>
      </w:r>
      <w:r>
        <w:rPr>
          <w:rFonts w:hint="eastAsia" w:ascii="仿宋_GB2312" w:hAnsi="宋体" w:eastAsia="仿宋_GB2312" w:cs="宋体"/>
          <w:szCs w:val="21"/>
        </w:rPr>
        <w:t>项</w:t>
      </w:r>
    </w:p>
    <w:p w14:paraId="7230D34B">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9.1.4发包人负责提供的地下管线资料有：</w:t>
      </w:r>
      <w:r>
        <w:rPr>
          <w:rFonts w:hint="eastAsia" w:ascii="仿宋_GB2312" w:hAnsi="宋体" w:eastAsia="仿宋_GB2312" w:cs="宋体"/>
          <w:szCs w:val="21"/>
          <w:u w:val="single"/>
        </w:rPr>
        <w:t xml:space="preserve">                   </w:t>
      </w:r>
      <w:r>
        <w:rPr>
          <w:rFonts w:hint="eastAsia" w:ascii="仿宋_GB2312" w:hAnsi="宋体" w:eastAsia="仿宋_GB2312" w:cs="宋体"/>
          <w:szCs w:val="21"/>
        </w:rPr>
        <w:t>，其余可能影响相邻建筑物地下工程的有关资料由承包人负责收集，并保证有关资料的真实、准确、完整，满足有关技术规程的要求。</w:t>
      </w:r>
    </w:p>
    <w:p w14:paraId="13DA0A6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9.1.5发包人安全监督部门应当按照现行标准规范对施工现场安全生产措施落实情况进行监督检查，对安全生产状况进行综合评定，并将评定结果纳入安全档案。</w:t>
      </w:r>
    </w:p>
    <w:p w14:paraId="0A371A27">
      <w:pPr>
        <w:pStyle w:val="6"/>
        <w:spacing w:before="0" w:beforeAutospacing="0" w:after="0" w:afterAutospacing="0" w:line="360" w:lineRule="auto"/>
        <w:rPr>
          <w:rFonts w:hint="eastAsia"/>
          <w:sz w:val="21"/>
          <w:szCs w:val="21"/>
        </w:rPr>
      </w:pPr>
      <w:r>
        <w:rPr>
          <w:rFonts w:hint="eastAsia"/>
        </w:rPr>
        <w:t>9.2 承包人的施工安全责任</w:t>
      </w:r>
    </w:p>
    <w:p w14:paraId="2F15BB5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9.2.1 项细化为：</w:t>
      </w:r>
    </w:p>
    <w:p w14:paraId="51B80E75">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应按合同约定履行安全职责，严格执行国家、地方政府有关施工安全管理方面的法律、法规及规章制度，同时严格执行发包人制订的本项目安全生产管理方面的规章制度、安全检查程序及施工安全管理要求，以及监理人有关安全工作的指示。</w:t>
      </w:r>
    </w:p>
    <w:p w14:paraId="1497DF6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承包人应根据本工程的实际安全施工要求，编制施工安全技术措施，并在签订合同协议书后 28 天内，报监理人和发包人批准。该施工安全技术措施包括（但不限于）施工安全保障体系，安全生产责任制，安全生产管理规章制度，安全防护施工方案，施工现场临时用电方案，施工安全评估，安全预控及保证措施方案，紧急应变措施，安全标识、警示和围护方案等。对影响安全的重要工序和下列危险性较大的工程应编制专项施工方案，并附安全验算结果，经承包人项目总工签名并报监理人和发包人批准后实施，由专职安全生产管理人员进行现场监督。</w:t>
      </w:r>
    </w:p>
    <w:p w14:paraId="06F3D0D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本项目需要编制专项施工方案的工程包括但不限于以下内容：</w:t>
      </w:r>
    </w:p>
    <w:p w14:paraId="480CC65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（1）不良地质条件下有潜在危险性的土方、石方开挖；</w:t>
      </w:r>
    </w:p>
    <w:p w14:paraId="177E1F97">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（2）滑坡和高边坡处理；</w:t>
      </w:r>
    </w:p>
    <w:p w14:paraId="3B64F9F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（3）桩基础、挡墙基础、深水基础及围堰工程；</w:t>
      </w:r>
    </w:p>
    <w:p w14:paraId="00878C1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（4）桥梁工程中的梁、拱、柱等构件施工等；</w:t>
      </w:r>
    </w:p>
    <w:p w14:paraId="45A68D5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（5）隧道工程中的不良地质隧道、高瓦斯隧道等；</w:t>
      </w:r>
    </w:p>
    <w:p w14:paraId="366DB9D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（6）水上工程中的打桩船作业、施工船作业、外海孤岛作业、边通航边施工作业等；</w:t>
      </w:r>
    </w:p>
    <w:p w14:paraId="382FE6E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（7）水下工程中的水下焊接、混凝土浇筑、爆破工程等；</w:t>
      </w:r>
    </w:p>
    <w:p w14:paraId="7196E54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（8）爆破工程；</w:t>
      </w:r>
    </w:p>
    <w:p w14:paraId="32459C5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（9）大型临时工程中的大型支架、模板、便桥的架设与拆除；桥梁、码头的加固与拆除；</w:t>
      </w:r>
    </w:p>
    <w:p w14:paraId="589BB4F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（10）其他危险性较大的工程。</w:t>
      </w:r>
    </w:p>
    <w:p w14:paraId="7CC4EDA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监理人和发包人在检查中发现有安全问题或有违反安全管理规章制度的情况时，可视为承包人违约，应按第 22.1 款的规定办理。</w:t>
      </w:r>
    </w:p>
    <w:p w14:paraId="3C5C824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第 9.2.5 项细化为：</w:t>
      </w:r>
    </w:p>
    <w:p w14:paraId="23170C2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 xml:space="preserve">安全生产费用应为投标价（不含安全生产费及建筑工程一切险及第三者责任险的保险费）的 </w:t>
      </w:r>
      <w:r>
        <w:rPr>
          <w:rFonts w:hint="eastAsia" w:ascii="宋体" w:hAnsi="宋体" w:cs="宋体"/>
          <w:kern w:val="0"/>
          <w:szCs w:val="21"/>
          <w:u w:val="single"/>
          <w:lang w:bidi="ar"/>
        </w:rPr>
        <w:t>1.5%</w:t>
      </w:r>
      <w:r>
        <w:rPr>
          <w:rFonts w:hint="eastAsia" w:ascii="宋体" w:hAnsi="宋体" w:cs="宋体"/>
          <w:kern w:val="0"/>
          <w:szCs w:val="21"/>
          <w:lang w:bidi="ar"/>
        </w:rPr>
        <w:t>（若发包人公布了最高投标限价时，按最高投标限价的</w:t>
      </w:r>
      <w:r>
        <w:rPr>
          <w:rFonts w:hint="eastAsia" w:ascii="宋体" w:hAnsi="宋体" w:cs="宋体"/>
          <w:kern w:val="0"/>
          <w:szCs w:val="21"/>
          <w:u w:val="single"/>
          <w:lang w:bidi="ar"/>
        </w:rPr>
        <w:t xml:space="preserve"> 1.5%</w:t>
      </w:r>
      <w:r>
        <w:rPr>
          <w:rFonts w:hint="eastAsia" w:ascii="宋体" w:hAnsi="宋体" w:cs="宋体"/>
          <w:kern w:val="0"/>
          <w:szCs w:val="21"/>
          <w:lang w:bidi="ar"/>
        </w:rPr>
        <w:t>计）。安全生产费用应用于施工安全防护用具及设施的采购和更新、安全施工措施的落实、安全生产条件的改善，不得挪作他用。如承包人在此基础上增加安全生产费用以满足项目施工需要，则承包人应在本项目工程量清单其他相关子目的单价或总额价中予以考虑，发包人不再另行支付。因采取合同未约定的特殊防护措施增加的费用，由监理人按第 3.5 款商定或确定。</w:t>
      </w:r>
    </w:p>
    <w:p w14:paraId="77C3EEF0">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安全生产费用按相关规定计取。安全生产费的使用和支付管理按照财政部、国家安全生产监督管理总局联合制定的《企业安全生产费用提取和使用管理办法》（财企[2012]16号、《重庆市交通局关于印发《重庆市公路水运工程安全生产费用管理办法（试行）》的通知》（渝交委安[2014]32号）、《重庆市公路养护工程预算编制办法》（[2018]渝非内字023号）执行，如有新的管理办法，按照新的管理办法执行。若承包人在此基础上增加安全生产费用以满足项目施工需要，则承包人应在本项目工程量清单的单价或总额价中予以考虑，发包人不再另行支付。</w:t>
      </w:r>
    </w:p>
    <w:p w14:paraId="55B0EF9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9.2.8 项~第 9.2.11 项：</w:t>
      </w:r>
    </w:p>
    <w:p w14:paraId="5DCC6D6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9.2.8 承包人应充分关注和保障所有在现场工作的人员的安全，采取以下有效措施，使现场和本合同工程的实施保持有条不紊，以免使上述人员的安全受到威胁。</w:t>
      </w:r>
    </w:p>
    <w:p w14:paraId="57C4A98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（1）按《公路水运工程安全生产监督管理办法》规定的最低数量和资质条件配备专职安全生产管理人员；</w:t>
      </w:r>
    </w:p>
    <w:p w14:paraId="5AD94072">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承包人的垂直运输机械作业人员、施工船舶作业人员、爆破作业人员、安装拆卸工、起重信号工、电工、焊工等国家规定的特种作业人员，必须按照国家规定经过专门的安全作业培训，并取得特种作业操作资格证书后，方可上岗作业；</w:t>
      </w:r>
    </w:p>
    <w:p w14:paraId="7F97C70B">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（3）所有施工机具设备和高空作业设备均应定期检查，并有安全员的签名记录；</w:t>
      </w:r>
    </w:p>
    <w:p w14:paraId="16298592">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（4）根据本合同各单位工程的施工特点，严格执行《公路水运工程安全生产监督管理办法》《公路工程施工安全技术规范》等有关规定。</w:t>
      </w:r>
    </w:p>
    <w:p w14:paraId="46E1B5AF">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9.2.9 为了保护本合同工程免遭损坏，或为了现场附近和过往群众的安全与方便，在确有必要的时候和地方，或当监理人或有关主管部门要求时，承包人应自费提供照明、警卫、护栅、警告标志等安全防护设施。</w:t>
      </w:r>
    </w:p>
    <w:p w14:paraId="49363D9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9.2.10 在通航水域施工时，承包人应与当地主管部门取得联系，设置必要的导航标志，及时发布航行通告，确保施工水域安全。</w:t>
      </w:r>
    </w:p>
    <w:p w14:paraId="6DAD852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9.2.11 在整个施工过程中对承包人采取的施工安全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05D5C69E">
      <w:pPr>
        <w:pStyle w:val="6"/>
        <w:spacing w:before="0" w:beforeAutospacing="0" w:after="0" w:afterAutospacing="0" w:line="360" w:lineRule="auto"/>
        <w:rPr>
          <w:rFonts w:hint="eastAsia"/>
        </w:rPr>
      </w:pPr>
      <w:r>
        <w:rPr>
          <w:rFonts w:hint="eastAsia"/>
        </w:rPr>
        <w:t>9.4 环境保护</w:t>
      </w:r>
    </w:p>
    <w:p w14:paraId="362B4AA6">
      <w:pPr>
        <w:pStyle w:val="2"/>
        <w:spacing w:after="0" w:line="360" w:lineRule="auto"/>
        <w:ind w:firstLine="420" w:firstLineChars="200"/>
        <w:rPr>
          <w:rFonts w:hint="eastAsia" w:ascii="仿宋_GB2312" w:hAnsi="宋体" w:eastAsia="仿宋_GB2312"/>
        </w:rPr>
      </w:pPr>
      <w:r>
        <w:rPr>
          <w:rFonts w:hint="eastAsia" w:ascii="仿宋_GB2312" w:hAnsi="宋体" w:eastAsia="仿宋_GB2312" w:cs="宋体"/>
          <w:kern w:val="0"/>
          <w:szCs w:val="21"/>
        </w:rPr>
        <w:t>第 9.4.6 项补充：</w:t>
      </w:r>
    </w:p>
    <w:p w14:paraId="38DB2F93">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承包人应按国家和重庆市的有关规定及合同约定，加强对噪声、粉尘、废气、废水和废油的控制，努力降低噪声，控制粉尘和废气浓度，做好废水和废油的治理和排放。承包人在施工过程中应严格落实各项水土保持、环境保护措施以及饮用水源保护区的环保措施，若由于施工未采取有效措施导致环境破坏或水土流失引起的损失由承包人承担。</w:t>
      </w:r>
    </w:p>
    <w:p w14:paraId="49634C6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本款补充第 9.4.7～9.4.11 项：</w:t>
      </w:r>
    </w:p>
    <w:p w14:paraId="583EBD4F">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9.4.7 承包人应切实执行技术规范中有关环境保护方面的条款和规定。</w:t>
      </w:r>
    </w:p>
    <w:p w14:paraId="70CE69F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（1）对于来自施工机械和运输车辆的施工噪声，为保护施工人员的健康，应遵守</w:t>
      </w:r>
      <w:r>
        <w:rPr>
          <w:rFonts w:hint="eastAsia" w:ascii="宋体" w:hAnsi="宋体" w:cs="宋体"/>
          <w:kern w:val="0"/>
          <w:szCs w:val="21"/>
          <w:lang w:eastAsia="zh-CN" w:bidi="ar"/>
        </w:rPr>
        <w:t>《中华人民共和国噪声污染防治法》</w:t>
      </w:r>
      <w:r>
        <w:rPr>
          <w:rFonts w:hint="eastAsia" w:ascii="宋体" w:hAnsi="宋体" w:cs="宋体"/>
          <w:kern w:val="0"/>
          <w:szCs w:val="21"/>
          <w:lang w:bidi="ar"/>
        </w:rPr>
        <w:t xml:space="preserve">并依据《工业企业噪声卫生标准》合理安排工作人员轮流操作筑路机械，减少接触高噪声的时间，或间歇安排高噪声的工作。对距噪声源较近的施工人员，除采取使用防护耳塞或头盔等有效措施外，还应当缩短其劳动时间。同时，要注意对机械的经常性保养，尽量使其噪声降低到最低水平。为保护施工现场附近居民的夜间休息，对居民区 150m 以内的施工现场，施工时间应加以控制。 </w:t>
      </w:r>
    </w:p>
    <w:p w14:paraId="4AB4F173">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（2）对于公路施工中粉尘污染的主要污染源――灰土拌和、施工车辆和筑路机械运行及运输产生的扬尘，应采取有效措施减轻其对施工现场的大气污染，保护人民健康，如：</w:t>
      </w:r>
    </w:p>
    <w:p w14:paraId="4969E262">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a. 拌和设备应有较好的密封，或有防尘设备。 </w:t>
      </w:r>
    </w:p>
    <w:p w14:paraId="5D1ACB31">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b. 施工通道、沥青混凝土拌和站及灰土拌和站应经常进行洒水降尘。 </w:t>
      </w:r>
    </w:p>
    <w:p w14:paraId="0DAE4E70">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c. 路面施工应注意保持水分，以免扬尘。 </w:t>
      </w:r>
    </w:p>
    <w:p w14:paraId="228FCBD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d. 隧道出渣和桥梁钻孔灌注桩施工时排出的泥浆要进行妥善处理，严禁向河流或农田排放。 </w:t>
      </w:r>
    </w:p>
    <w:p w14:paraId="63016169">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 xml:space="preserve">（3）采取可靠措施保证原有交通的正常通行，维持沿线村镇的居民饮水、农田灌溉、生产生活用电及通信等管线的正常使用。 </w:t>
      </w:r>
    </w:p>
    <w:p w14:paraId="1E1B9B12">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9.4.8 在整个施工过程中对承包人采取的环境保护措施，发包人和监理人有权监督，并向承包人提出整改要求。如果由于承包人未能对其负责的上述事项采取各种必要的措施而导致或发生与此有关的人身伤亡、罚款、索赔、损失补偿、诉讼费用及其他一切责任应由承包人负责。</w:t>
      </w:r>
    </w:p>
    <w:p w14:paraId="148F11F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9.4.9 在施工期间，承包人应随时保持现场整洁，施工设备和材料、工程设备应整齐妥善存放和储存，废料与垃圾及不再需要的临时设施应及时从现场清除、拆除并运走。</w:t>
      </w:r>
    </w:p>
    <w:p w14:paraId="797EE67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9.4.10 在施工期间，承包人应严格遵守《关于在公路建设中实行最严格的耕地保护制度的若干意见》的相关规定，规范用地、科学用地、合理用地和节约用地。承包人应合理利用所占耕地地表的耕作层，用于重新造地；合理设置取土坑和弃土场，取土坑和弃土场的施工防护要符合要求，防止水土流失。承包人应严格控制临时占地数量，施工便道、各种料场、预制场要根据工程进度统筹考虑，尽可能设置在公路用地范围内或利用荒坡、废弃地解决，不得占用农田。施工过程中要采取有效措施防止污染农田，项目完工后承包人应将临时占地自费恢复到临时占地使用前的状况。</w:t>
      </w:r>
    </w:p>
    <w:p w14:paraId="1086672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9.4.11 承包人应严格按照国家有关法规要求，做好施工过程中的生态保护和水土保持工作。施工中要尽可能减少对原地面的扰动，减少对地面草木的破坏，需要爆破作业的，应按规定进行控爆设计。雨季填筑路基应随挖、随运、随填、随压，要完善施工中的临时排水系统，加强施工便道的管理。取（弃）土场必须先挡后弃，严禁在指定的取（弃）土场以外的地方乱挖乱弃。</w:t>
      </w:r>
    </w:p>
    <w:p w14:paraId="470E4020">
      <w:pPr>
        <w:pStyle w:val="6"/>
        <w:spacing w:before="0" w:beforeAutospacing="0" w:after="0" w:afterAutospacing="0" w:line="360" w:lineRule="auto"/>
        <w:rPr>
          <w:rFonts w:hint="eastAsia"/>
        </w:rPr>
      </w:pPr>
      <w:r>
        <w:rPr>
          <w:rFonts w:hint="eastAsia"/>
        </w:rPr>
        <w:t>9.5 事故处理</w:t>
      </w:r>
    </w:p>
    <w:p w14:paraId="3E0F41E7">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本款补充：</w:t>
      </w:r>
    </w:p>
    <w:p w14:paraId="6240BC50">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发生事故时，承包人应优先办理保险索赔。</w:t>
      </w:r>
    </w:p>
    <w:p w14:paraId="2539A4B4">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因承包人的原因致使工程在施工期间、合理使用期间、设备保证期内造成人身和财产损害的，由承包人承担损害赔偿责任。如因承包人的原因导致发包人承担责任和损失的，承包人应当对发包人承担赔偿责任。承包人负责对其分包人进行管理，工程施工过程中发生事故的，承包人对分包人瞒报、漏报、谎报、迟报等负责。</w:t>
      </w:r>
    </w:p>
    <w:p w14:paraId="3AB0B3D7">
      <w:pPr>
        <w:pStyle w:val="5"/>
        <w:spacing w:before="0" w:after="0" w:line="360" w:lineRule="auto"/>
        <w:rPr>
          <w:rFonts w:hint="eastAsia" w:ascii="宋体" w:hAnsi="宋体"/>
        </w:rPr>
      </w:pPr>
      <w:bookmarkStart w:id="611" w:name="_Toc15307"/>
      <w:bookmarkStart w:id="612" w:name="_Toc57795974"/>
      <w:bookmarkStart w:id="613" w:name="_Toc3118"/>
      <w:bookmarkStart w:id="614" w:name="_Toc18055"/>
      <w:r>
        <w:rPr>
          <w:rFonts w:hint="eastAsia" w:ascii="宋体" w:hAnsi="宋体"/>
        </w:rPr>
        <w:t>10、进度计划</w:t>
      </w:r>
      <w:bookmarkEnd w:id="611"/>
      <w:bookmarkEnd w:id="612"/>
      <w:bookmarkEnd w:id="613"/>
      <w:bookmarkEnd w:id="614"/>
    </w:p>
    <w:p w14:paraId="4C42B734">
      <w:pPr>
        <w:pStyle w:val="6"/>
        <w:spacing w:before="0" w:beforeAutospacing="0" w:after="0" w:afterAutospacing="0" w:line="360" w:lineRule="auto"/>
        <w:rPr>
          <w:rFonts w:hint="eastAsia"/>
        </w:rPr>
      </w:pPr>
      <w:r>
        <w:rPr>
          <w:rFonts w:hint="eastAsia"/>
        </w:rPr>
        <w:t>10.1 合同进度计划</w:t>
      </w:r>
    </w:p>
    <w:p w14:paraId="52B4E0D4">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14:paraId="2AAEED36">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承包人编制施工方案说明的内容见专用合同条款。</w:t>
      </w:r>
    </w:p>
    <w:p w14:paraId="58D2DE4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承包人向监理人报送施工进度计划和施工方案说明的期限：签订合同协议书后28 天之内。监理人应在 14 天内对承包人施工进度计划和施工方案说明予以批复或提出修改意见。</w:t>
      </w:r>
    </w:p>
    <w:p w14:paraId="51ED635C">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合同进度计划应按照关键线路网络图和主要工作横道图两种形式分别编绘，并应包括每月预计完成的工作量和形象进度。</w:t>
      </w:r>
    </w:p>
    <w:p w14:paraId="1E7A7811">
      <w:pPr>
        <w:pStyle w:val="6"/>
        <w:spacing w:before="0" w:beforeAutospacing="0" w:after="0" w:afterAutospacing="0" w:line="360" w:lineRule="auto"/>
        <w:rPr>
          <w:rFonts w:hint="eastAsia"/>
        </w:rPr>
      </w:pPr>
      <w:r>
        <w:rPr>
          <w:rFonts w:hint="eastAsia"/>
        </w:rPr>
        <w:t>10.2 合同进度计划的修订</w:t>
      </w:r>
    </w:p>
    <w:p w14:paraId="166C38EA">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本款补充：</w:t>
      </w:r>
    </w:p>
    <w:p w14:paraId="060FA2D8">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承包人提交合同进度计划修订申请报告，并附有关措施和相关资料的期限：实际进度发生滞后的当月 25 日前。</w:t>
      </w:r>
    </w:p>
    <w:p w14:paraId="197DD10D">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监理人批复修订合同进度计划的期限：收到修订合同进度计划后 14 天内。</w:t>
      </w:r>
    </w:p>
    <w:p w14:paraId="721C31EF">
      <w:pPr>
        <w:widowControl/>
        <w:spacing w:line="360" w:lineRule="auto"/>
        <w:ind w:firstLine="420" w:firstLineChars="200"/>
        <w:jc w:val="left"/>
        <w:rPr>
          <w:rFonts w:hint="eastAsia" w:ascii="宋体" w:hAnsi="宋体" w:cs="宋体"/>
          <w:szCs w:val="21"/>
        </w:rPr>
      </w:pPr>
      <w:r>
        <w:rPr>
          <w:rFonts w:hint="eastAsia" w:ascii="宋体" w:hAnsi="宋体" w:cs="宋体"/>
          <w:kern w:val="0"/>
          <w:szCs w:val="21"/>
          <w:lang w:bidi="ar"/>
        </w:rPr>
        <w:t>本条补充第 10.3 款、第 10.4 款：</w:t>
      </w:r>
    </w:p>
    <w:p w14:paraId="1E8E26C6">
      <w:pPr>
        <w:pStyle w:val="6"/>
        <w:spacing w:before="0" w:beforeAutospacing="0" w:after="0" w:afterAutospacing="0" w:line="360" w:lineRule="auto"/>
        <w:rPr>
          <w:rFonts w:hint="eastAsia"/>
        </w:rPr>
      </w:pPr>
      <w:r>
        <w:rPr>
          <w:rFonts w:hint="eastAsia"/>
        </w:rPr>
        <w:t>10.3 年度施工计划</w:t>
      </w:r>
    </w:p>
    <w:p w14:paraId="39DE58B0">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承包人应在每年 </w:t>
      </w:r>
      <w:r>
        <w:rPr>
          <w:rFonts w:ascii="宋体" w:hAnsi="宋体"/>
          <w:kern w:val="0"/>
          <w:szCs w:val="21"/>
          <w:lang w:bidi="ar"/>
        </w:rPr>
        <w:t xml:space="preserve">11 </w:t>
      </w:r>
      <w:r>
        <w:rPr>
          <w:rFonts w:hint="eastAsia" w:ascii="宋体" w:hAnsi="宋体" w:cs="宋体"/>
          <w:kern w:val="0"/>
          <w:szCs w:val="21"/>
          <w:lang w:bidi="ar"/>
        </w:rPr>
        <w:t xml:space="preserve">月底前，根据已同意的合同进度计划或其修订的计划，向监理人提交 </w:t>
      </w:r>
      <w:r>
        <w:rPr>
          <w:rFonts w:ascii="宋体" w:hAnsi="宋体"/>
          <w:kern w:val="0"/>
          <w:szCs w:val="21"/>
          <w:lang w:bidi="ar"/>
        </w:rPr>
        <w:t xml:space="preserve">2 </w:t>
      </w:r>
      <w:r>
        <w:rPr>
          <w:rFonts w:hint="eastAsia" w:ascii="宋体" w:hAnsi="宋体" w:cs="宋体"/>
          <w:kern w:val="0"/>
          <w:szCs w:val="21"/>
          <w:lang w:bidi="ar"/>
        </w:rPr>
        <w:t>份格式和内容符合监理人合理规定的下一年度的施工计划，以供审查。该计划应包括本年度估计完成的和下一年度预计完成的分项工程数量和工作量，以及为实施此计划将采取的措施。</w:t>
      </w:r>
    </w:p>
    <w:p w14:paraId="55C53034">
      <w:pPr>
        <w:pStyle w:val="6"/>
        <w:spacing w:before="0" w:beforeAutospacing="0" w:after="0" w:afterAutospacing="0" w:line="360" w:lineRule="auto"/>
        <w:rPr>
          <w:rFonts w:hint="eastAsia"/>
        </w:rPr>
      </w:pPr>
      <w:r>
        <w:rPr>
          <w:rFonts w:hint="eastAsia"/>
        </w:rPr>
        <w:t>10.4 合同用款计划</w:t>
      </w:r>
    </w:p>
    <w:p w14:paraId="7F604C27">
      <w:pPr>
        <w:widowControl/>
        <w:spacing w:line="360" w:lineRule="auto"/>
        <w:ind w:firstLine="420" w:firstLineChars="200"/>
        <w:jc w:val="left"/>
        <w:rPr>
          <w:rFonts w:ascii="宋体" w:hAnsi="宋体"/>
          <w:szCs w:val="21"/>
        </w:rPr>
      </w:pPr>
      <w:r>
        <w:rPr>
          <w:rFonts w:hint="eastAsia" w:ascii="宋体" w:hAnsi="宋体" w:cs="宋体"/>
          <w:kern w:val="0"/>
          <w:szCs w:val="21"/>
          <w:lang w:bidi="ar"/>
        </w:rPr>
        <w:t xml:space="preserve">承包人应在签订本合同协议书后 </w:t>
      </w:r>
      <w:r>
        <w:rPr>
          <w:rFonts w:ascii="宋体" w:hAnsi="宋体"/>
          <w:kern w:val="0"/>
          <w:szCs w:val="21"/>
          <w:lang w:bidi="ar"/>
        </w:rPr>
        <w:t xml:space="preserve">28 </w:t>
      </w:r>
      <w:r>
        <w:rPr>
          <w:rFonts w:hint="eastAsia" w:ascii="宋体" w:hAnsi="宋体" w:cs="宋体"/>
          <w:kern w:val="0"/>
          <w:szCs w:val="21"/>
          <w:lang w:bidi="ar"/>
        </w:rPr>
        <w:t xml:space="preserve">天之内，按招标文件中规定的格式，向监理人提交 </w:t>
      </w:r>
      <w:r>
        <w:rPr>
          <w:rFonts w:ascii="宋体" w:hAnsi="宋体"/>
          <w:kern w:val="0"/>
          <w:szCs w:val="21"/>
          <w:lang w:bidi="ar"/>
        </w:rPr>
        <w:t xml:space="preserve">2 </w:t>
      </w:r>
      <w:r>
        <w:rPr>
          <w:rFonts w:hint="eastAsia" w:ascii="宋体" w:hAnsi="宋体" w:cs="宋体"/>
          <w:kern w:val="0"/>
          <w:szCs w:val="21"/>
          <w:lang w:bidi="ar"/>
        </w:rPr>
        <w:t>份按合同规定承包人有权得到支付的详细的季度合同用款计划，以备监理人查阅。如果监理人提出要求，承包人还应按季度提交修订的合同用款计划。</w:t>
      </w:r>
    </w:p>
    <w:p w14:paraId="166A65A8">
      <w:pPr>
        <w:pStyle w:val="5"/>
        <w:spacing w:before="0" w:after="0" w:line="360" w:lineRule="auto"/>
        <w:rPr>
          <w:rFonts w:hint="eastAsia" w:ascii="宋体" w:hAnsi="宋体"/>
        </w:rPr>
      </w:pPr>
      <w:bookmarkStart w:id="615" w:name="_Toc22496"/>
      <w:bookmarkStart w:id="616" w:name="_Toc31125"/>
      <w:bookmarkStart w:id="617" w:name="_Toc13853"/>
      <w:bookmarkStart w:id="618" w:name="_Toc57795975"/>
      <w:r>
        <w:rPr>
          <w:rFonts w:hint="eastAsia" w:ascii="宋体" w:hAnsi="宋体"/>
        </w:rPr>
        <w:t>11、开工和竣工</w:t>
      </w:r>
      <w:bookmarkEnd w:id="615"/>
      <w:bookmarkEnd w:id="616"/>
      <w:bookmarkEnd w:id="617"/>
      <w:bookmarkEnd w:id="618"/>
    </w:p>
    <w:p w14:paraId="24C050BB">
      <w:pPr>
        <w:pStyle w:val="6"/>
        <w:spacing w:before="0" w:beforeAutospacing="0" w:after="0" w:afterAutospacing="0" w:line="360" w:lineRule="auto"/>
        <w:rPr>
          <w:rFonts w:hint="eastAsia"/>
        </w:rPr>
      </w:pPr>
      <w:r>
        <w:rPr>
          <w:rFonts w:hint="eastAsia"/>
        </w:rPr>
        <w:t>11.1 开工</w:t>
      </w:r>
    </w:p>
    <w:p w14:paraId="610FC6F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11.1.2 项补充：</w:t>
      </w:r>
    </w:p>
    <w:p w14:paraId="754061E3">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承包人应在分部工程开工前 14 天向监理人提交分部工程开工报审表，若承包人的开工准备、工作计划和质量控制方法是可接受的且已获得批准，则经监理人书面同意，分部工程才能开工。</w:t>
      </w:r>
    </w:p>
    <w:p w14:paraId="72F2517A">
      <w:pPr>
        <w:pStyle w:val="6"/>
        <w:spacing w:before="0" w:beforeAutospacing="0" w:after="0" w:afterAutospacing="0" w:line="360" w:lineRule="auto"/>
        <w:rPr>
          <w:rFonts w:hint="eastAsia"/>
        </w:rPr>
      </w:pPr>
      <w:r>
        <w:rPr>
          <w:rFonts w:hint="eastAsia"/>
        </w:rPr>
        <w:t>11.3 发包人的工期延误</w:t>
      </w:r>
    </w:p>
    <w:p w14:paraId="3B9EE61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14:paraId="07F57A8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即使由于上述原因造成工期延误，如果受影响的工程并非处在工程施工进度网络计划的关键线路上，则承包人无权要求延长总工期。</w:t>
      </w:r>
    </w:p>
    <w:p w14:paraId="73A62728">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在合同履行过程中，因下列情况导致工期延误和（或）费用增加的，由发包人承担由此延误的工期和（或）增加的费用，且发包人应支付承包人合理的利润：</w:t>
      </w:r>
    </w:p>
    <w:p w14:paraId="5D2E8A78">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（1）发包人未能按合同约定提供施工场地，且该未能提供上述开工条件直接影响项目关键线路的；</w:t>
      </w:r>
    </w:p>
    <w:p w14:paraId="5D93FA3C">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（2）发包人提供的测量基准点、基准线和水准点及其书面资料存在错误或疏漏，且该错误或疏漏直接影响项目关键线路的；</w:t>
      </w:r>
    </w:p>
    <w:p w14:paraId="63CA6D50">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（3）监理人未按合同约定发出指示、批准等文件，且该未按合同约定发出指示、批准直接影响项目关键线路的；</w:t>
      </w:r>
    </w:p>
    <w:p w14:paraId="740723FB">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（4）变更未及时审批，直接影响项目关键线路的；</w:t>
      </w:r>
    </w:p>
    <w:p w14:paraId="1B48B9EA">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（5）实施变更直接影响项目关键线路的；</w:t>
      </w:r>
    </w:p>
    <w:p w14:paraId="7BC80CCA">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（6）因发包人原因导致工程暂停施工、停建、缓建的；</w:t>
      </w:r>
    </w:p>
    <w:p w14:paraId="3937BA6D">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（7）因征地拆迁、群众阻工等情形的；</w:t>
      </w:r>
    </w:p>
    <w:p w14:paraId="0488EB15">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w:t>
      </w:r>
      <w:r>
        <w:rPr>
          <w:rFonts w:hint="eastAsia" w:ascii="仿宋_GB2312" w:hAnsi="宋体" w:eastAsia="仿宋_GB2312" w:cs="宋体"/>
          <w:kern w:val="0"/>
          <w:szCs w:val="21"/>
          <w:u w:val="single"/>
        </w:rPr>
        <w:t xml:space="preserve">约定的其他情形：               </w:t>
      </w:r>
      <w:r>
        <w:rPr>
          <w:rFonts w:hint="eastAsia" w:ascii="仿宋_GB2312" w:hAnsi="宋体" w:eastAsia="仿宋_GB2312" w:cs="宋体"/>
          <w:kern w:val="0"/>
          <w:szCs w:val="21"/>
        </w:rPr>
        <w:t>。</w:t>
      </w:r>
    </w:p>
    <w:p w14:paraId="22A77BED">
      <w:pPr>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因发包人原因未按计划开工日期开工的，发包人应按实际开工日期顺延完工日期。因发包人原因导致工期延误需要修订施工进度计划的，按照第10.2合同进度计划的修订执行。</w:t>
      </w:r>
    </w:p>
    <w:p w14:paraId="3B45763D">
      <w:pPr>
        <w:pStyle w:val="6"/>
        <w:spacing w:before="0" w:beforeAutospacing="0" w:after="0" w:afterAutospacing="0" w:line="360" w:lineRule="auto"/>
        <w:rPr>
          <w:rFonts w:hint="eastAsia"/>
        </w:rPr>
      </w:pPr>
      <w:r>
        <w:rPr>
          <w:rFonts w:hint="eastAsia"/>
        </w:rPr>
        <w:t>11.4 异常恶劣的气候条件</w:t>
      </w:r>
    </w:p>
    <w:p w14:paraId="1FAC8BB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14:paraId="706E6AB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异常气候是指项目所在地 30 年以上一遇的罕见气候现象（包括温度、降水、降雪、风等）。</w:t>
      </w:r>
    </w:p>
    <w:p w14:paraId="089C6CE8">
      <w:pPr>
        <w:pStyle w:val="6"/>
        <w:spacing w:before="0" w:beforeAutospacing="0" w:after="0" w:afterAutospacing="0" w:line="360" w:lineRule="auto"/>
        <w:rPr>
          <w:rFonts w:hint="eastAsia"/>
        </w:rPr>
      </w:pPr>
      <w:r>
        <w:rPr>
          <w:rFonts w:hint="eastAsia"/>
        </w:rPr>
        <w:t>11.5 承包人的工期延误</w:t>
      </w:r>
    </w:p>
    <w:p w14:paraId="173384E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14:paraId="495EEDB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（1）承包人应严格执行监理人批准的合同进度计划，对工作量计划和形象进度计划分别控制。除第 11.3 款规定外，承包人的实际工程进度曲线应在合同进度管理曲线规定的安全区域之内。若承包人的实际工程进度曲线处在合同进度管理曲线规定的安全区域的下限之外时，则监理人有权认为本合同工程的进度过慢，并通知承包人应采取必要措施，以便加快工程进度，确保工程能在预定的工期内交工。承包人应采取措施加快进度，并承担加快进度所增加的费用。</w:t>
      </w:r>
    </w:p>
    <w:p w14:paraId="307B924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（2）如果承包人在接到监理人通知后的 14 天内，未能采取加快工程进度的措施，致使实际工程进度进一步滞后，或承包人虽采取了一些措施，仍无法按预计工期交工时，监理人应立即通知发包人。发包人在向承包人发出书面警告通知 14 天后，发包人可按第 22.1 款终止对承包人的雇用，也可将本合同工程中的一部分工作交由其他承包人或其他分包人完成。在不解除本合同规定的承包人责任和义务的同时，承包人应承担因此所增加的一切费用。</w:t>
      </w:r>
    </w:p>
    <w:p w14:paraId="66D36EF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（3）由于承包人原因造成工期延误，承包人应支付逾期交工违约金。逾期交工违约金的时间自预定的交工日期起到交工验收证书中写明的实际交工日期止（扣除已批准的延长工期），按天计算，</w:t>
      </w:r>
      <w:r>
        <w:rPr>
          <w:rFonts w:hint="eastAsia" w:ascii="宋体" w:hAnsi="宋体" w:cs="宋体"/>
          <w:kern w:val="0"/>
          <w:szCs w:val="21"/>
          <w:u w:val="single"/>
          <w:lang w:bidi="ar"/>
        </w:rPr>
        <w:t xml:space="preserve">        </w:t>
      </w:r>
      <w:r>
        <w:rPr>
          <w:rFonts w:hint="eastAsia" w:ascii="宋体" w:hAnsi="宋体" w:cs="宋体"/>
          <w:kern w:val="0"/>
          <w:szCs w:val="21"/>
          <w:lang w:bidi="ar"/>
        </w:rPr>
        <w:t>元/天。逾期交工违约金累计金额最高不超过</w:t>
      </w:r>
      <w:r>
        <w:rPr>
          <w:rFonts w:hint="eastAsia" w:ascii="宋体" w:hAnsi="宋体" w:cs="宋体"/>
          <w:kern w:val="0"/>
          <w:szCs w:val="21"/>
          <w:u w:val="single"/>
          <w:lang w:bidi="ar"/>
        </w:rPr>
        <w:t xml:space="preserve">        </w:t>
      </w:r>
      <w:r>
        <w:rPr>
          <w:rFonts w:hint="eastAsia" w:ascii="宋体" w:hAnsi="宋体" w:cs="宋体"/>
          <w:kern w:val="0"/>
          <w:szCs w:val="21"/>
          <w:lang w:bidi="ar"/>
        </w:rPr>
        <w:t>%签约合同价。发包人可以从应付或到期应付给承包人的任何款项中或采用其他方法扣除此违约金。</w:t>
      </w:r>
    </w:p>
    <w:p w14:paraId="1062654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（4）承包人支付逾期交工违约金，不免除承包人完成工程及修补缺陷的义务。</w:t>
      </w:r>
    </w:p>
    <w:p w14:paraId="74343C4F">
      <w:pPr>
        <w:widowControl/>
        <w:spacing w:line="360" w:lineRule="auto"/>
        <w:ind w:firstLine="420" w:firstLineChars="200"/>
        <w:jc w:val="left"/>
        <w:rPr>
          <w:rFonts w:ascii="宋体" w:hAnsi="宋体"/>
          <w:szCs w:val="21"/>
        </w:rPr>
      </w:pPr>
      <w:r>
        <w:rPr>
          <w:rFonts w:hint="eastAsia" w:ascii="宋体" w:hAnsi="宋体" w:cs="宋体"/>
          <w:kern w:val="0"/>
          <w:szCs w:val="21"/>
          <w:lang w:bidi="ar"/>
        </w:rPr>
        <w:t>（5）如果在合同工程完工之前，已对合同工程内按时完工的单位工程签发了交工验收证书，则合同工程的逾期交工违约金，应按已签发交工验收证书的单位工程的价值占合同工程价值的比例予以减少，但本规定不应影响逾期交工违约金的规定限额。</w:t>
      </w:r>
    </w:p>
    <w:p w14:paraId="5FF81AEF">
      <w:pPr>
        <w:pStyle w:val="6"/>
        <w:spacing w:before="0" w:beforeAutospacing="0" w:after="0" w:afterAutospacing="0" w:line="360" w:lineRule="auto"/>
        <w:rPr>
          <w:rFonts w:hint="eastAsia"/>
        </w:rPr>
      </w:pPr>
      <w:r>
        <w:rPr>
          <w:rFonts w:hint="eastAsia"/>
        </w:rPr>
        <w:t>11.6 工期提前</w:t>
      </w:r>
    </w:p>
    <w:p w14:paraId="450BD01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14:paraId="482E6CE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发包人不得随意要求承包人提前交工，承包人也不得随意提出提前交工的建议。 如遇特殊情况，确需将工期提前的，发包人和承包人必须采取有效措施，确保工程质量。</w:t>
      </w:r>
    </w:p>
    <w:p w14:paraId="1CC29D1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如果承包人提前交工，发包人支付奖金的计算方法为</w:t>
      </w:r>
      <w:r>
        <w:rPr>
          <w:rFonts w:hint="eastAsia" w:ascii="宋体" w:hAnsi="宋体" w:cs="宋体"/>
          <w:kern w:val="0"/>
          <w:szCs w:val="21"/>
          <w:u w:val="single"/>
          <w:lang w:bidi="ar"/>
        </w:rPr>
        <w:t xml:space="preserve">        </w:t>
      </w:r>
      <w:r>
        <w:rPr>
          <w:rFonts w:hint="eastAsia" w:ascii="宋体" w:hAnsi="宋体" w:cs="宋体"/>
          <w:kern w:val="0"/>
          <w:szCs w:val="21"/>
          <w:lang w:bidi="ar"/>
        </w:rPr>
        <w:t>，时间自交工验收证书中写明的实际交工日期起至预定的交工日期止，按天计算，</w:t>
      </w:r>
      <w:r>
        <w:rPr>
          <w:rFonts w:hint="eastAsia" w:ascii="宋体" w:hAnsi="宋体" w:cs="宋体"/>
          <w:kern w:val="0"/>
          <w:szCs w:val="21"/>
          <w:u w:val="single"/>
          <w:lang w:bidi="ar"/>
        </w:rPr>
        <w:t xml:space="preserve">    </w:t>
      </w:r>
      <w:r>
        <w:rPr>
          <w:rFonts w:hint="eastAsia" w:ascii="宋体" w:hAnsi="宋体" w:cs="宋体"/>
          <w:kern w:val="0"/>
          <w:szCs w:val="21"/>
          <w:lang w:bidi="ar"/>
        </w:rPr>
        <w:t>元/天。但奖金最高限额不超过</w:t>
      </w:r>
      <w:r>
        <w:rPr>
          <w:rFonts w:hint="eastAsia" w:ascii="宋体" w:hAnsi="宋体" w:cs="宋体"/>
          <w:kern w:val="0"/>
          <w:szCs w:val="21"/>
          <w:u w:val="single"/>
          <w:lang w:bidi="ar"/>
        </w:rPr>
        <w:t xml:space="preserve">        </w:t>
      </w:r>
      <w:r>
        <w:rPr>
          <w:rFonts w:hint="eastAsia" w:ascii="宋体" w:hAnsi="宋体" w:cs="宋体"/>
          <w:kern w:val="0"/>
          <w:szCs w:val="21"/>
          <w:lang w:bidi="ar"/>
        </w:rPr>
        <w:t>%签约合同价。</w:t>
      </w:r>
    </w:p>
    <w:p w14:paraId="754FEBA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本条补充第 11.7 款：</w:t>
      </w:r>
    </w:p>
    <w:p w14:paraId="7965B3CC">
      <w:pPr>
        <w:pStyle w:val="6"/>
        <w:spacing w:before="0" w:beforeAutospacing="0" w:after="0" w:afterAutospacing="0" w:line="360" w:lineRule="auto"/>
        <w:rPr>
          <w:rFonts w:hint="eastAsia"/>
        </w:rPr>
      </w:pPr>
      <w:r>
        <w:rPr>
          <w:rFonts w:hint="eastAsia"/>
        </w:rPr>
        <w:t>11.7 工作时间的限制</w:t>
      </w:r>
    </w:p>
    <w:p w14:paraId="3320FC40">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承包人在夜间或国家规定的节假日进行永久工程的施工，应向监理人报告，以便监理人履行监理职责和义务。</w:t>
      </w:r>
    </w:p>
    <w:p w14:paraId="118AD31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但是，为了抢救生命或保护财产，或为了工程的安全、质量而不可避免地短暂作业，则不必事先向监理人报告。但承包人应在事后立即向监理人报告。</w:t>
      </w:r>
    </w:p>
    <w:p w14:paraId="39556A2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本款规定不适用于习惯上或施工本身要求实行连续生产的作业。</w:t>
      </w:r>
    </w:p>
    <w:p w14:paraId="77949BC4">
      <w:pPr>
        <w:pStyle w:val="5"/>
        <w:spacing w:before="0" w:after="0" w:line="360" w:lineRule="auto"/>
        <w:rPr>
          <w:rFonts w:hint="eastAsia" w:ascii="宋体" w:hAnsi="宋体"/>
        </w:rPr>
      </w:pPr>
      <w:bookmarkStart w:id="619" w:name="_Toc21274"/>
      <w:bookmarkStart w:id="620" w:name="_Toc14939"/>
      <w:bookmarkStart w:id="621" w:name="_Toc57795976"/>
      <w:bookmarkStart w:id="622" w:name="_Toc18231"/>
      <w:r>
        <w:rPr>
          <w:rFonts w:hint="eastAsia" w:ascii="宋体" w:hAnsi="宋体"/>
        </w:rPr>
        <w:t>12、暂停施工</w:t>
      </w:r>
      <w:bookmarkEnd w:id="619"/>
      <w:bookmarkEnd w:id="620"/>
      <w:bookmarkEnd w:id="621"/>
      <w:bookmarkEnd w:id="622"/>
    </w:p>
    <w:p w14:paraId="28C7247A">
      <w:pPr>
        <w:pStyle w:val="6"/>
        <w:spacing w:before="0" w:beforeAutospacing="0" w:after="0" w:afterAutospacing="0" w:line="360" w:lineRule="auto"/>
        <w:rPr>
          <w:rFonts w:hint="eastAsia"/>
        </w:rPr>
      </w:pPr>
      <w:r>
        <w:rPr>
          <w:rFonts w:hint="eastAsia"/>
        </w:rPr>
        <w:t>12.1 承包人暂停施工的责任</w:t>
      </w:r>
    </w:p>
    <w:p w14:paraId="756A277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本款第（5）项细化为：</w:t>
      </w:r>
    </w:p>
    <w:p w14:paraId="29BE613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（5）现场气候条件导致的必要停工（第 11.4 款约定的异常恶劣的气候条件除外）；</w:t>
      </w:r>
    </w:p>
    <w:p w14:paraId="4A2060A1">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kern w:val="0"/>
          <w:szCs w:val="21"/>
          <w:lang w:bidi="ar"/>
        </w:rPr>
        <w:t>（6）</w:t>
      </w:r>
      <w:r>
        <w:rPr>
          <w:rFonts w:hint="eastAsia" w:ascii="仿宋_GB2312" w:hAnsi="宋体" w:eastAsia="仿宋_GB2312" w:cs="宋体"/>
          <w:szCs w:val="21"/>
        </w:rPr>
        <w:t>由承包人承担暂停施工责任</w:t>
      </w:r>
      <w:r>
        <w:rPr>
          <w:rFonts w:hint="eastAsia" w:ascii="仿宋_GB2312" w:hAnsi="宋体" w:eastAsia="仿宋_GB2312" w:cs="宋体"/>
          <w:szCs w:val="21"/>
          <w:lang w:eastAsia="zh-CN"/>
        </w:rPr>
        <w:t>的其他情形</w:t>
      </w:r>
      <w:r>
        <w:rPr>
          <w:rFonts w:hint="eastAsia" w:ascii="仿宋_GB2312" w:hAnsi="宋体" w:eastAsia="仿宋_GB2312" w:cs="宋体"/>
          <w:szCs w:val="21"/>
        </w:rPr>
        <w:t>：因承包人原因引起的暂停施工，承包人应承担由此增加的费用和（或）延误的工期，且承包人在收到监理人复工指示后84天内仍未复工的，视为第22.1.1项〔承包人违约的情形〕第（7）目约定的承包人无法继续履行合同的情形。</w:t>
      </w:r>
    </w:p>
    <w:p w14:paraId="559BC744">
      <w:pPr>
        <w:pStyle w:val="6"/>
        <w:spacing w:before="0" w:beforeAutospacing="0" w:after="0" w:afterAutospacing="0" w:line="360" w:lineRule="auto"/>
        <w:rPr>
          <w:rFonts w:hint="eastAsia" w:ascii="仿宋_GB2312" w:eastAsia="仿宋_GB2312"/>
        </w:rPr>
      </w:pPr>
      <w:r>
        <w:rPr>
          <w:rFonts w:hint="eastAsia" w:ascii="仿宋_GB2312" w:eastAsia="仿宋_GB2312"/>
        </w:rPr>
        <w:t>12.2 发包人暂停施工的责任</w:t>
      </w:r>
    </w:p>
    <w:p w14:paraId="6204BF7E">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szCs w:val="21"/>
        </w:rPr>
        <w:t>本款补充：发包人承担暂停施工责任</w:t>
      </w:r>
      <w:r>
        <w:rPr>
          <w:rFonts w:hint="eastAsia" w:ascii="仿宋_GB2312" w:hAnsi="宋体" w:eastAsia="仿宋_GB2312" w:cs="宋体"/>
          <w:szCs w:val="21"/>
          <w:lang w:eastAsia="zh-CN"/>
        </w:rPr>
        <w:t>的其他情形</w:t>
      </w:r>
      <w:r>
        <w:rPr>
          <w:rFonts w:hint="eastAsia" w:ascii="仿宋_GB2312" w:hAnsi="宋体" w:eastAsia="仿宋_GB2312" w:cs="宋体"/>
          <w:szCs w:val="21"/>
        </w:rPr>
        <w:t>：暂停施工持续84天以上不复工的，且不属于第12.1款〔承包人暂停施工的责任〕及第21条〔不可抗力〕约定的情形，并影响到整个工程以及合同目的实现的，承包人有权提出价格调整要求，或者解除合同。解除合同的，按照第22.2.3项〔发包人违约解除合同〕执行。</w:t>
      </w:r>
    </w:p>
    <w:p w14:paraId="0D6833FD">
      <w:pPr>
        <w:spacing w:line="360" w:lineRule="auto"/>
        <w:ind w:right="249" w:firstLine="420" w:firstLineChars="200"/>
        <w:rPr>
          <w:rFonts w:hint="eastAsia" w:ascii="仿宋_GB2312" w:hAnsi="宋体" w:eastAsia="仿宋_GB2312" w:cs="宋体"/>
          <w:szCs w:val="21"/>
        </w:rPr>
      </w:pPr>
      <w:r>
        <w:rPr>
          <w:rFonts w:hint="eastAsia" w:ascii="仿宋_GB2312" w:hAnsi="宋体" w:eastAsia="仿宋_GB2312" w:cs="宋体"/>
          <w:szCs w:val="21"/>
        </w:rPr>
        <w:t>本条补充第 12.6款、第 12.7 款</w:t>
      </w:r>
    </w:p>
    <w:p w14:paraId="6EC141A3">
      <w:pPr>
        <w:pStyle w:val="6"/>
        <w:spacing w:before="0" w:beforeAutospacing="0" w:after="0" w:afterAutospacing="0" w:line="360" w:lineRule="auto"/>
        <w:rPr>
          <w:rFonts w:hint="eastAsia" w:ascii="仿宋_GB2312" w:eastAsia="仿宋_GB2312"/>
        </w:rPr>
      </w:pPr>
      <w:r>
        <w:rPr>
          <w:rFonts w:hint="eastAsia" w:ascii="仿宋_GB2312" w:eastAsia="仿宋_GB2312"/>
        </w:rPr>
        <w:t>12.6 暂停施工期间的工程照管</w:t>
      </w:r>
    </w:p>
    <w:p w14:paraId="43B38D33">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暂停施工期间，承包人应负责妥善照管工程并提供安全保障，由此增加的费用由责任方承担。</w:t>
      </w:r>
    </w:p>
    <w:p w14:paraId="6CC5E3D6">
      <w:pPr>
        <w:pStyle w:val="6"/>
        <w:spacing w:before="0" w:beforeAutospacing="0" w:after="0" w:afterAutospacing="0" w:line="360" w:lineRule="auto"/>
        <w:rPr>
          <w:rFonts w:hint="eastAsia" w:ascii="仿宋_GB2312" w:eastAsia="仿宋_GB2312"/>
        </w:rPr>
      </w:pPr>
      <w:r>
        <w:rPr>
          <w:rFonts w:hint="eastAsia" w:ascii="仿宋_GB2312" w:eastAsia="仿宋_GB2312"/>
        </w:rPr>
        <w:t>12.7 暂停施工的措施</w:t>
      </w:r>
    </w:p>
    <w:p w14:paraId="3048FC7B">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暂停施工期间，发包人和承包人均应采取必要的措施确保工程质量及安全，防止因暂停施工扩大损失。</w:t>
      </w:r>
    </w:p>
    <w:p w14:paraId="6BF364E9">
      <w:pPr>
        <w:pStyle w:val="5"/>
        <w:spacing w:before="0" w:after="0" w:line="360" w:lineRule="auto"/>
        <w:rPr>
          <w:rFonts w:hint="eastAsia" w:ascii="宋体" w:hAnsi="宋体"/>
        </w:rPr>
      </w:pPr>
      <w:bookmarkStart w:id="623" w:name="_Toc30578"/>
      <w:bookmarkStart w:id="624" w:name="_Toc21938"/>
      <w:bookmarkStart w:id="625" w:name="_Toc57795977"/>
      <w:bookmarkStart w:id="626" w:name="_Toc6108"/>
      <w:r>
        <w:rPr>
          <w:rFonts w:hint="eastAsia" w:ascii="宋体" w:hAnsi="宋体"/>
        </w:rPr>
        <w:t>13、工程质量</w:t>
      </w:r>
      <w:bookmarkEnd w:id="623"/>
      <w:bookmarkEnd w:id="624"/>
      <w:bookmarkEnd w:id="625"/>
      <w:bookmarkEnd w:id="626"/>
    </w:p>
    <w:p w14:paraId="090FAB37">
      <w:pPr>
        <w:pStyle w:val="6"/>
        <w:spacing w:before="0" w:beforeAutospacing="0" w:after="0" w:afterAutospacing="0" w:line="360" w:lineRule="auto"/>
        <w:rPr>
          <w:rFonts w:hint="eastAsia"/>
        </w:rPr>
      </w:pPr>
      <w:r>
        <w:rPr>
          <w:rFonts w:hint="eastAsia"/>
        </w:rPr>
        <w:t>13.1 工程质量要求</w:t>
      </w:r>
    </w:p>
    <w:p w14:paraId="7C4BB52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13.1.1 项约定为：</w:t>
      </w:r>
    </w:p>
    <w:p w14:paraId="014D3520">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工程质量验收按技术规范及《公路养护工程质量检验评定标准》执行。</w:t>
      </w:r>
    </w:p>
    <w:p w14:paraId="0B78EED3">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13.1.4 项、第 13.1.5 项：</w:t>
      </w:r>
    </w:p>
    <w:p w14:paraId="430F0EC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13.1.4 发包人和承包人应严格遵守《关于严格落实公路工程质量责任制的若干意见》的相关规定，认真执行工程质量责任登记制度并按要求填写工程质量责任登记表。</w:t>
      </w:r>
    </w:p>
    <w:p w14:paraId="009DED0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13.1.5 本项目严格执行质量责任追究制度。质量事故处理实行“四不放过”原则：事故原因调查不清不放过；事故责任者没有受到教育不放过；没有防范措施不放过；相关责任人没受到处理不放过。</w:t>
      </w:r>
    </w:p>
    <w:p w14:paraId="157B3BF3">
      <w:pPr>
        <w:pStyle w:val="6"/>
        <w:spacing w:before="0" w:beforeAutospacing="0" w:after="0" w:afterAutospacing="0" w:line="360" w:lineRule="auto"/>
        <w:rPr>
          <w:rFonts w:hint="eastAsia"/>
        </w:rPr>
      </w:pPr>
      <w:r>
        <w:rPr>
          <w:rFonts w:hint="eastAsia"/>
        </w:rPr>
        <w:t>13.2 承包人的质量管理</w:t>
      </w:r>
    </w:p>
    <w:p w14:paraId="62FE5C9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13.2.1 项补充：</w:t>
      </w:r>
    </w:p>
    <w:p w14:paraId="7E7A703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承包人提交工程质量保证措施文件的期限：签订合同协议书后 28 天之内。</w:t>
      </w:r>
    </w:p>
    <w:p w14:paraId="3F35F58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13.2.3～13.2.10 项：</w:t>
      </w:r>
    </w:p>
    <w:p w14:paraId="3FD4737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13.2.3 公路工程施行质量责任终身制。承包人应当书面明确相应的项目负责人和质量负责人。承包人的相关人员按照国家法律法规和有关规定在工程合理使用年限内承担相应的质量责任。</w:t>
      </w:r>
    </w:p>
    <w:p w14:paraId="234BDE5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13.2.4 承包人应当建立健全工程质量保证体系，制定质量管理制度，强化工程质量管理措施，完善工程质量目标保障机制；严格遵守国家有关法律、法规和规章，严格执行公路工程强制性技术标准、各类技术规范及规程，全面履行工程合同义务。</w:t>
      </w:r>
    </w:p>
    <w:p w14:paraId="6833338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13.2.5 承包人对工程施工质量负责，应当按合同约定设立现场质量管理机构、 配备工程技术人员和质量管理人员，落实工程施工质量责任制。</w:t>
      </w:r>
    </w:p>
    <w:p w14:paraId="4DCAB76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13.2.6 承包人应当严格按照工程设计图纸、施工技术标准和合同约定施工，对原材料、混合料、构配件、工程实体、机电设备等进行检验；按规定施行班组自检、工序交接检、专职质检员检验的质量控制程序；对分项工程、分部工程和单位工程进行质量自评。检验或者自评不合格的，不得进入下道工序或者投入使用。</w:t>
      </w:r>
    </w:p>
    <w:p w14:paraId="0A08C2F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13.2.7 承包人应当加强施工过程质量控制，并形成完整、可追溯的施工质量管理资料，主体工程的隐蔽部位施工还应当保留影像资料。对施工中出现的质量问题或者验收不合格的工程，应当负责返工处理；对在保修范围和保修期限内发生质量问题的工程，应当履行保修义务。</w:t>
      </w:r>
    </w:p>
    <w:p w14:paraId="007A2FE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13.2.8 承包人应当按照合同约定设立工地临时试验室，配齐检测和试验仪器、仪表，及时校正确保其精度；严格按照工程技术标准、检测规范和规程，在核定的试验检测参数范围内开展试验检测活动，并确保规范规定的检验、抽检频率。承包人应当对其设立的工地临时试验室所出具的试验检测数据和报告的真实性、客观性、准确性负责。</w:t>
      </w:r>
    </w:p>
    <w:p w14:paraId="199B429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13.2.9 承包人应当依法规范分包行为，并对承担的工程质量负总责，分包单位对分包合同范围内的工程质量负责。</w:t>
      </w:r>
    </w:p>
    <w:p w14:paraId="42E8E4D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13.2.10 承包人驻工程现场机构应在现场驻地和重要的分部、分项工程施工现场设置明显的工程质量责任登记表公示牌。</w:t>
      </w:r>
    </w:p>
    <w:p w14:paraId="34655076">
      <w:pPr>
        <w:pStyle w:val="6"/>
        <w:spacing w:before="0" w:beforeAutospacing="0" w:after="0" w:afterAutospacing="0" w:line="360" w:lineRule="auto"/>
        <w:rPr>
          <w:rFonts w:hint="eastAsia"/>
        </w:rPr>
      </w:pPr>
      <w:r>
        <w:rPr>
          <w:rFonts w:hint="eastAsia"/>
        </w:rPr>
        <w:t>13.4 监理人的质量检查</w:t>
      </w:r>
    </w:p>
    <w:p w14:paraId="48BAC28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14:paraId="1327F04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监理人及其委派的检验人员，应能进入工程现场，以及材料或工程设备的制造、加工或制配的车间和场所，包括不属于承包人的车间或场所进行检查，承包人应为此提供便利和协助。</w:t>
      </w:r>
    </w:p>
    <w:p w14:paraId="28CF964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监理人可以将材料或工程设备的检查和检验委托给一家独立的有质量检验认证资格的检验单位。该独立检验单位的检验结果应视为监理人完成的。监理人应将这种委托的通知书不少于 7 天前交给承包人。</w:t>
      </w:r>
    </w:p>
    <w:p w14:paraId="5B4D37D1">
      <w:pPr>
        <w:pStyle w:val="6"/>
        <w:spacing w:before="0" w:beforeAutospacing="0" w:after="0" w:afterAutospacing="0" w:line="360" w:lineRule="auto"/>
        <w:rPr>
          <w:rFonts w:hint="eastAsia"/>
        </w:rPr>
      </w:pPr>
      <w:r>
        <w:rPr>
          <w:rFonts w:hint="eastAsia"/>
        </w:rPr>
        <w:t>13.5 工程隐蔽部位覆盖前的检查</w:t>
      </w:r>
    </w:p>
    <w:p w14:paraId="6D205D03">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13.5.1 项补充：</w:t>
      </w:r>
    </w:p>
    <w:p w14:paraId="0C4A25B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当监理人有指令时，承包人应对重要隐蔽工程进行拍摄或照相并应保证监理人有充分的机会对将要覆盖或掩蔽的工程进行检查和量测，特别是在基础以上的任一部分工程修筑之前，对该基础进行检查。</w:t>
      </w:r>
    </w:p>
    <w:p w14:paraId="786D9A6A">
      <w:pPr>
        <w:pStyle w:val="6"/>
        <w:spacing w:before="0" w:beforeAutospacing="0" w:after="0" w:afterAutospacing="0" w:line="360" w:lineRule="auto"/>
        <w:rPr>
          <w:rFonts w:hint="eastAsia"/>
        </w:rPr>
      </w:pPr>
      <w:r>
        <w:rPr>
          <w:rFonts w:hint="eastAsia"/>
        </w:rPr>
        <w:t>13.6 清除不合格工程</w:t>
      </w:r>
    </w:p>
    <w:p w14:paraId="2680356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13.6.1 项细化为：</w:t>
      </w:r>
    </w:p>
    <w:p w14:paraId="56C1CD8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承包人使用不合格材料、工程设备，或采用不适当的施工工艺，或施工不当，造成工程不合格的，监理人可以随时发出指示，要求承包人立即采取措施进行替换、补救或拆除重建，直至达到合同要求的质量标准，由此增加的费用和（或）工期延误由承包人承担。</w:t>
      </w:r>
    </w:p>
    <w:p w14:paraId="2E0B3C3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（2）如果承包人未在规定时间内执行监理人的指示，发包人有权雇用他人执行，由此增加的费用和（或）工期延误由承包人承担。</w:t>
      </w:r>
    </w:p>
    <w:p w14:paraId="61B53FC6">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本条补充第 13.7 款</w:t>
      </w:r>
    </w:p>
    <w:p w14:paraId="73AB5EF4">
      <w:pPr>
        <w:pStyle w:val="6"/>
        <w:spacing w:before="0" w:beforeAutospacing="0" w:after="0" w:afterAutospacing="0" w:line="360" w:lineRule="auto"/>
        <w:rPr>
          <w:rFonts w:hint="eastAsia" w:ascii="仿宋_GB2312" w:eastAsia="仿宋_GB2312"/>
        </w:rPr>
      </w:pPr>
      <w:r>
        <w:rPr>
          <w:rFonts w:hint="eastAsia" w:ascii="仿宋_GB2312" w:eastAsia="仿宋_GB2312"/>
        </w:rPr>
        <w:t>13.7 质量评定</w:t>
      </w:r>
    </w:p>
    <w:p w14:paraId="4AB24D17">
      <w:pPr>
        <w:adjustRightInd w:val="0"/>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13.7.1重要隐蔽单元工程和关键部位单元工程质量评定的约定：</w:t>
      </w:r>
      <w:r>
        <w:rPr>
          <w:rFonts w:hint="eastAsia" w:ascii="仿宋_GB2312" w:hAnsi="宋体" w:eastAsia="仿宋_GB2312" w:cs="宋体"/>
          <w:kern w:val="0"/>
          <w:szCs w:val="21"/>
          <w:u w:val="single"/>
        </w:rPr>
        <w:t>单元工程质量符合现行有效的</w:t>
      </w:r>
      <w:r>
        <w:rPr>
          <w:rFonts w:hint="eastAsia" w:ascii="仿宋_GB2312" w:hAnsi="宋体" w:eastAsia="仿宋_GB2312" w:cs="宋体"/>
          <w:kern w:val="0"/>
          <w:szCs w:val="21"/>
          <w:u w:val="single"/>
          <w:lang w:bidi="ar"/>
        </w:rPr>
        <w:t>《公路养护工程质量检验评定标准》</w:t>
      </w:r>
      <w:r>
        <w:rPr>
          <w:rFonts w:hint="eastAsia" w:ascii="仿宋_GB2312" w:hAnsi="宋体" w:eastAsia="仿宋_GB2312" w:cs="宋体"/>
          <w:kern w:val="0"/>
          <w:szCs w:val="21"/>
          <w:u w:val="single"/>
        </w:rPr>
        <w:t>的要求。承包人应严格遵守发包人为确保本工程质量而颁发的工程质量管理制度，含工程质量管理办法、不合格工程控制管理办法、工程事故应急和处理预案、工程验收管理办法、工程质量管理考核办法等。</w:t>
      </w:r>
    </w:p>
    <w:p w14:paraId="50C09251">
      <w:pPr>
        <w:pStyle w:val="2"/>
        <w:spacing w:after="0" w:line="360" w:lineRule="auto"/>
        <w:ind w:firstLine="420" w:firstLineChars="200"/>
        <w:rPr>
          <w:rFonts w:hint="eastAsia" w:ascii="仿宋_GB2312" w:eastAsia="仿宋_GB2312"/>
          <w:lang w:bidi="ar"/>
        </w:rPr>
      </w:pPr>
      <w:r>
        <w:rPr>
          <w:rFonts w:hint="eastAsia" w:ascii="仿宋_GB2312" w:hAnsi="宋体" w:eastAsia="仿宋_GB2312" w:cs="宋体"/>
          <w:szCs w:val="21"/>
        </w:rPr>
        <w:t>13.7.2工程合格标准为：</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2847919A">
      <w:pPr>
        <w:pStyle w:val="5"/>
        <w:spacing w:before="0" w:after="0" w:line="360" w:lineRule="auto"/>
        <w:rPr>
          <w:rFonts w:hint="eastAsia" w:ascii="宋体" w:hAnsi="宋体"/>
        </w:rPr>
      </w:pPr>
      <w:bookmarkStart w:id="627" w:name="_Toc7395"/>
      <w:bookmarkStart w:id="628" w:name="_Toc57795978"/>
      <w:bookmarkStart w:id="629" w:name="_Toc18024"/>
      <w:bookmarkStart w:id="630" w:name="_Toc18465"/>
      <w:r>
        <w:rPr>
          <w:rFonts w:hint="eastAsia" w:ascii="宋体" w:hAnsi="宋体"/>
        </w:rPr>
        <w:t>14、试验和检验</w:t>
      </w:r>
      <w:bookmarkEnd w:id="627"/>
      <w:bookmarkEnd w:id="628"/>
      <w:bookmarkEnd w:id="629"/>
      <w:bookmarkEnd w:id="630"/>
    </w:p>
    <w:p w14:paraId="642C6646">
      <w:pPr>
        <w:pStyle w:val="6"/>
        <w:spacing w:before="0" w:beforeAutospacing="0" w:after="0" w:afterAutospacing="0" w:line="360" w:lineRule="auto"/>
        <w:rPr>
          <w:rFonts w:hint="eastAsia" w:ascii="仿宋_GB2312" w:eastAsia="仿宋_GB2312"/>
        </w:rPr>
      </w:pPr>
      <w:r>
        <w:rPr>
          <w:rFonts w:hint="eastAsia" w:ascii="仿宋_GB2312" w:eastAsia="仿宋_GB2312"/>
        </w:rPr>
        <w:t>14.3 现场工艺试验</w:t>
      </w:r>
    </w:p>
    <w:p w14:paraId="37DB8725">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仿宋_GB2312" w:hAnsi="宋体" w:eastAsia="仿宋_GB2312" w:cs="宋体"/>
          <w:kern w:val="0"/>
          <w:szCs w:val="21"/>
        </w:rPr>
        <w:t>本款补充第 14.3.1项、第 14.3.2 项</w:t>
      </w:r>
    </w:p>
    <w:p w14:paraId="363C8DF8">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仿宋_GB2312" w:hAnsi="宋体" w:eastAsia="仿宋_GB2312" w:cs="宋体"/>
          <w:kern w:val="0"/>
          <w:szCs w:val="21"/>
        </w:rPr>
        <w:t>14.3.1若因承包人取样、制样、送检及相关配合不及时而导致工程的工期和费用增加，影响的工期不予延长，增加费用由承包人承担。</w:t>
      </w:r>
    </w:p>
    <w:p w14:paraId="631961D1">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仿宋_GB2312" w:hAnsi="宋体" w:eastAsia="仿宋_GB2312" w:cs="宋体"/>
          <w:kern w:val="0"/>
          <w:szCs w:val="21"/>
        </w:rPr>
        <w:t>14.3.2检测试验不合格的项目，其缺陷处理和复测费用由承包人承担，工期不予延长。</w:t>
      </w:r>
    </w:p>
    <w:p w14:paraId="24A30A5F">
      <w:pPr>
        <w:tabs>
          <w:tab w:val="left" w:pos="711"/>
          <w:tab w:val="left" w:pos="2580"/>
        </w:tabs>
        <w:snapToGrid w:val="0"/>
        <w:spacing w:line="360" w:lineRule="auto"/>
        <w:ind w:firstLine="420" w:firstLineChars="200"/>
        <w:textAlignment w:val="baseline"/>
        <w:rPr>
          <w:rFonts w:hint="eastAsia" w:ascii="仿宋_GB2312" w:hAnsi="宋体" w:eastAsia="仿宋_GB2312" w:cs="宋体"/>
          <w:kern w:val="0"/>
          <w:szCs w:val="21"/>
        </w:rPr>
      </w:pPr>
      <w:r>
        <w:rPr>
          <w:rFonts w:hint="eastAsia" w:ascii="宋体" w:hAnsi="宋体" w:cs="宋体"/>
          <w:kern w:val="0"/>
          <w:szCs w:val="21"/>
          <w:lang w:bidi="ar"/>
        </w:rPr>
        <w:t>本条补充第 14.4 款：</w:t>
      </w:r>
    </w:p>
    <w:p w14:paraId="64206483">
      <w:pPr>
        <w:pStyle w:val="6"/>
        <w:spacing w:before="0" w:beforeAutospacing="0" w:after="0" w:afterAutospacing="0" w:line="360" w:lineRule="auto"/>
        <w:rPr>
          <w:rFonts w:hint="eastAsia"/>
        </w:rPr>
      </w:pPr>
      <w:r>
        <w:rPr>
          <w:rFonts w:hint="eastAsia"/>
        </w:rPr>
        <w:t>14.4 试验和检验费用</w:t>
      </w:r>
    </w:p>
    <w:p w14:paraId="3131B1A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（1）承包人应负责提供合同和技术规范规定的试验和检验所需的全部样品，并承担其费用。</w:t>
      </w:r>
    </w:p>
    <w:p w14:paraId="34D25A5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（2）在合同中明确规定的试验和检验，包括无须在工程量清单中单独列项和已在工程量清单中单独列项的试验和检验，其试验和检验的费用由承包人承担。</w:t>
      </w:r>
    </w:p>
    <w:p w14:paraId="17EA29BB">
      <w:pPr>
        <w:widowControl/>
        <w:spacing w:line="360" w:lineRule="auto"/>
        <w:ind w:firstLine="420" w:firstLineChars="200"/>
        <w:jc w:val="left"/>
        <w:rPr>
          <w:rFonts w:ascii="宋体" w:hAnsi="宋体"/>
          <w:szCs w:val="21"/>
        </w:rPr>
      </w:pPr>
      <w:r>
        <w:rPr>
          <w:rFonts w:hint="eastAsia" w:ascii="宋体" w:hAnsi="宋体" w:cs="宋体"/>
          <w:kern w:val="0"/>
          <w:szCs w:val="21"/>
          <w:lang w:bidi="ar"/>
        </w:rPr>
        <w:t>（3）如果监理人所要求做的试验和检验为合同未规定的或是在该材料或工程设备的制造、加工、制配场地以外的场所进行的，则检验结束后，如表明操作工艺或材料、工程设备未能符合合同规定，其费用应由承包人承担，否则，其费用应由发包人承担。</w:t>
      </w:r>
    </w:p>
    <w:p w14:paraId="378F608C">
      <w:pPr>
        <w:pStyle w:val="5"/>
        <w:spacing w:before="0" w:after="0" w:line="360" w:lineRule="auto"/>
        <w:rPr>
          <w:rFonts w:hint="eastAsia" w:ascii="宋体" w:hAnsi="宋体"/>
        </w:rPr>
      </w:pPr>
      <w:bookmarkStart w:id="631" w:name="_Toc15174"/>
      <w:bookmarkStart w:id="632" w:name="_Toc57795979"/>
      <w:bookmarkStart w:id="633" w:name="_Toc5672"/>
      <w:bookmarkStart w:id="634" w:name="_Toc17813"/>
      <w:r>
        <w:rPr>
          <w:rFonts w:hint="eastAsia" w:ascii="宋体" w:hAnsi="宋体"/>
        </w:rPr>
        <w:t>15、变更</w:t>
      </w:r>
      <w:bookmarkEnd w:id="631"/>
      <w:bookmarkEnd w:id="632"/>
      <w:bookmarkEnd w:id="633"/>
      <w:bookmarkEnd w:id="634"/>
    </w:p>
    <w:p w14:paraId="76AFADF6">
      <w:pPr>
        <w:pStyle w:val="6"/>
        <w:spacing w:before="0" w:beforeAutospacing="0" w:after="0" w:afterAutospacing="0" w:line="360" w:lineRule="auto"/>
        <w:rPr>
          <w:rFonts w:hint="eastAsia"/>
        </w:rPr>
      </w:pPr>
      <w:r>
        <w:rPr>
          <w:rFonts w:hint="eastAsia"/>
        </w:rPr>
        <w:t>15.1 变更的范围和内容</w:t>
      </w:r>
    </w:p>
    <w:p w14:paraId="2D7D1614">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在履行合同中发生以下情形之一，应按照本条规定进行变更。</w:t>
      </w:r>
    </w:p>
    <w:p w14:paraId="636A9D3C">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（1）适用于工程的标准和（或）规范变化导致需要对工程进行改变，且该改变导致工期和（或）费用变化的；</w:t>
      </w:r>
    </w:p>
    <w:p w14:paraId="53C2560B">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（2）勘察设计变更；</w:t>
      </w:r>
    </w:p>
    <w:p w14:paraId="21181667">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（3）实施内容变更，包括因设计变更和非设计变更引起的实施地点、投资规模、结构型式、采购数量、服务内容等进行的调整，以及因此导致的合同价格、工期变更；</w:t>
      </w:r>
    </w:p>
    <w:p w14:paraId="5E1B04D8">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（4）项目管理人员变更；</w:t>
      </w:r>
    </w:p>
    <w:p w14:paraId="19F672DB">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（5）因人工、原材料等价格变化导致的合同总价变更；</w:t>
      </w:r>
    </w:p>
    <w:p w14:paraId="290F7DA2">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（6）非实施内容变化导致的工期变更；</w:t>
      </w:r>
    </w:p>
    <w:p w14:paraId="4A7CE3D4">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（7）其他：</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132CBC65">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合同变更应当符合国家法律法规、强制标准和技术规范的要求，且合同变更后更加有利于工程的建设、运营、安全、节约资金、保护生态环境或者实现功能要求。发包人对项目合同变更承担主体责任。项目合同变更后，发包人应当与承包人签订补充协议。项目合同变更应当按照《重庆市政府投资项目合同变更管理暂行办法》要求进行信息公开。项目合同变更未获得通过的，发包人和承包人均不得擅自变更原合同约定事项，且不得就同一理由同一事项再提出变更。</w:t>
      </w:r>
    </w:p>
    <w:p w14:paraId="54CC09E1">
      <w:pPr>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szCs w:val="21"/>
        </w:rPr>
        <w:t>承包人对其提供的材料、工程设备、施工、无负荷试车、热负荷试车及图纸参数存在的缺陷，自费修正、调整和完善，不属于变更。</w:t>
      </w:r>
    </w:p>
    <w:p w14:paraId="471C5A7E">
      <w:pPr>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rPr>
        <w:t>本款补充第 15.2.1项、第 15.2.2 项</w:t>
      </w:r>
    </w:p>
    <w:p w14:paraId="2B1CE984">
      <w:pPr>
        <w:adjustRightInd w:val="0"/>
        <w:snapToGrid w:val="0"/>
        <w:spacing w:line="360" w:lineRule="auto"/>
        <w:ind w:firstLine="420" w:firstLineChars="200"/>
        <w:rPr>
          <w:rFonts w:hint="eastAsia" w:ascii="仿宋_GB2312" w:hAnsi="宋体" w:eastAsia="仿宋_GB2312" w:cs="宋体"/>
          <w:bCs/>
          <w:kern w:val="0"/>
          <w:szCs w:val="21"/>
        </w:rPr>
      </w:pPr>
      <w:r>
        <w:rPr>
          <w:rFonts w:hint="eastAsia" w:ascii="仿宋_GB2312" w:hAnsi="宋体" w:eastAsia="仿宋_GB2312" w:cs="宋体"/>
          <w:bCs/>
          <w:kern w:val="0"/>
          <w:szCs w:val="21"/>
        </w:rPr>
        <w:t>15.2.1发包人和监理人提出变更</w:t>
      </w:r>
    </w:p>
    <w:p w14:paraId="43A34A40">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和监理人均可以提出变更。变更指示均通过监理人以书面形式发出，监理人发出变更指示前应征得发包人同意。承包人收到经发包人签认的变更指示后，方可实施变更。未取得经发包人签认的变更指示，承包人不得实施任何变更。</w:t>
      </w:r>
    </w:p>
    <w:p w14:paraId="6634C2BD">
      <w:pPr>
        <w:adjustRightInd w:val="0"/>
        <w:snapToGrid w:val="0"/>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kern w:val="0"/>
          <w:szCs w:val="21"/>
        </w:rPr>
        <w:t>涉及设计变更的，应由设计人提供变更后的图纸和说明，交由发包人同意后由监理人以书面形式发出。如变更超过原设计标准或批准的建设规模时，</w:t>
      </w:r>
      <w:r>
        <w:rPr>
          <w:rFonts w:hint="eastAsia" w:ascii="仿宋_GB2312" w:hAnsi="宋体" w:eastAsia="仿宋_GB2312" w:cs="宋体"/>
          <w:szCs w:val="21"/>
        </w:rPr>
        <w:t>由发包人及时办理规划、设计变更等审批手续。</w:t>
      </w:r>
    </w:p>
    <w:p w14:paraId="18450A13">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若出现重大设计变更，变更后的内容超出承包人资质或能力范围的，发包人将另行依法招标选择承包单位，无需征得承包人同意。</w:t>
      </w:r>
    </w:p>
    <w:p w14:paraId="320C37C0">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bCs/>
          <w:kern w:val="0"/>
          <w:szCs w:val="21"/>
        </w:rPr>
        <w:t>15.2.2 承包人提出变更建议</w:t>
      </w:r>
    </w:p>
    <w:p w14:paraId="05A51F40">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承包人可以向发包人提交书面变更建议，应当以承包人单位名义书面向发包人提出申请，详细说明变更的内容、理由，以及该变更对项目的工期、投资、质量、安全、运营管理、生态环境等的影响，客观反映项目合同变更的必要性和可行性，包括：缩短工期，降低发包人的工程、施工、维护、营运的费用，提高竣工工程的效率或价值，给发包人带来的长远利益和其他利益。发包人接到此类建议后，可以选择：不采纳/采纳/补充进一步资料的书面通知。</w:t>
      </w:r>
    </w:p>
    <w:p w14:paraId="4C84A0EC">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如果发包人对承包人已实施的施工项目在发出重大设计变更之前要求承包人提出一份建议，那么，承包人应尽快提出：</w:t>
      </w:r>
    </w:p>
    <w:p w14:paraId="27DF521A">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kern w:val="0"/>
          <w:szCs w:val="21"/>
          <w:u w:val="single"/>
        </w:rPr>
        <w:t>对所提方案和（或）待做工作及其实施计划的说明</w:t>
      </w:r>
      <w:r>
        <w:rPr>
          <w:rFonts w:hint="eastAsia" w:ascii="仿宋_GB2312" w:hAnsi="宋体" w:eastAsia="仿宋_GB2312" w:cs="宋体"/>
          <w:kern w:val="0"/>
          <w:szCs w:val="21"/>
        </w:rPr>
        <w:t>；</w:t>
      </w:r>
    </w:p>
    <w:p w14:paraId="4D340CFD">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hint="eastAsia" w:ascii="仿宋_GB2312" w:hAnsi="宋体" w:eastAsia="仿宋_GB2312" w:cs="宋体"/>
          <w:kern w:val="0"/>
          <w:szCs w:val="21"/>
          <w:u w:val="single"/>
        </w:rPr>
        <w:t>承包人按照对工程进度计划进行必要修改的建议</w:t>
      </w:r>
      <w:r>
        <w:rPr>
          <w:rFonts w:hint="eastAsia" w:ascii="仿宋_GB2312" w:hAnsi="宋体" w:eastAsia="仿宋_GB2312" w:cs="宋体"/>
          <w:kern w:val="0"/>
          <w:szCs w:val="21"/>
        </w:rPr>
        <w:t>；</w:t>
      </w:r>
    </w:p>
    <w:p w14:paraId="254AE6D1">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w:t>
      </w:r>
      <w:r>
        <w:rPr>
          <w:rFonts w:hint="eastAsia" w:ascii="仿宋_GB2312" w:hAnsi="宋体" w:eastAsia="仿宋_GB2312" w:cs="宋体"/>
          <w:kern w:val="0"/>
          <w:szCs w:val="21"/>
          <w:u w:val="single"/>
        </w:rPr>
        <w:t>承包人发生较大返工损失增加费用的建议</w:t>
      </w:r>
      <w:r>
        <w:rPr>
          <w:rFonts w:hint="eastAsia" w:ascii="仿宋_GB2312" w:hAnsi="宋体" w:eastAsia="仿宋_GB2312" w:cs="宋体"/>
          <w:kern w:val="0"/>
          <w:szCs w:val="21"/>
        </w:rPr>
        <w:t>。</w:t>
      </w:r>
    </w:p>
    <w:p w14:paraId="5C035189">
      <w:pPr>
        <w:autoSpaceDE w:val="0"/>
        <w:autoSpaceDN w:val="0"/>
        <w:adjustRightInd w:val="0"/>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u w:val="single"/>
        </w:rPr>
        <w:t>发包人在收到上述建议书后，应尽快给予批准、否决或提出意见</w:t>
      </w:r>
      <w:r>
        <w:rPr>
          <w:rFonts w:hint="eastAsia" w:ascii="仿宋_GB2312" w:hAnsi="宋体" w:eastAsia="仿宋_GB2312" w:cs="宋体"/>
          <w:kern w:val="0"/>
          <w:szCs w:val="21"/>
        </w:rPr>
        <w:t>。</w:t>
      </w:r>
    </w:p>
    <w:p w14:paraId="36F400FE">
      <w:pPr>
        <w:pStyle w:val="6"/>
        <w:spacing w:before="0" w:beforeAutospacing="0" w:after="0" w:afterAutospacing="0" w:line="360" w:lineRule="auto"/>
        <w:rPr>
          <w:rFonts w:hint="eastAsia"/>
        </w:rPr>
      </w:pPr>
      <w:r>
        <w:rPr>
          <w:rFonts w:hint="eastAsia"/>
        </w:rPr>
        <w:t xml:space="preserve">15.3 变更程序 </w:t>
      </w:r>
    </w:p>
    <w:p w14:paraId="41CFFBF0">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15.3.1项补充：</w:t>
      </w:r>
    </w:p>
    <w:p w14:paraId="2BD863CA">
      <w:pPr>
        <w:autoSpaceDE w:val="0"/>
        <w:autoSpaceDN w:val="0"/>
        <w:adjustRightIn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（5）一般设计变更：</w:t>
      </w:r>
      <w:r>
        <w:rPr>
          <w:rFonts w:hint="eastAsia" w:ascii="仿宋_GB2312" w:hAnsi="宋体" w:eastAsia="仿宋_GB2312" w:cs="宋体"/>
          <w:kern w:val="0"/>
          <w:szCs w:val="21"/>
          <w:u w:val="single"/>
        </w:rPr>
        <w:t>承包人收到监理人下达的变更指示后，应按照监理人下达的变更指示执行，并书面说明实施该变更指示对合同价格和工期的影响，按照第15.4项〔变更的估价原则〕约定执行</w:t>
      </w:r>
      <w:r>
        <w:rPr>
          <w:rFonts w:hint="eastAsia" w:ascii="仿宋_GB2312" w:hAnsi="宋体" w:eastAsia="仿宋_GB2312" w:cs="宋体"/>
          <w:kern w:val="0"/>
          <w:szCs w:val="21"/>
        </w:rPr>
        <w:t>。</w:t>
      </w:r>
    </w:p>
    <w:p w14:paraId="33329E72">
      <w:pPr>
        <w:autoSpaceDE w:val="0"/>
        <w:autoSpaceDN w:val="0"/>
        <w:adjustRightIn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（6）重大设计变更：</w:t>
      </w:r>
      <w:r>
        <w:rPr>
          <w:rFonts w:hint="eastAsia" w:ascii="仿宋_GB2312" w:hAnsi="宋体" w:eastAsia="仿宋_GB2312" w:cs="宋体"/>
          <w:szCs w:val="21"/>
          <w:u w:val="single"/>
        </w:rPr>
        <w:t>需经设计人、监理人和发包人三方签名认可并报相关行业部门审查同意后实施</w:t>
      </w:r>
      <w:r>
        <w:rPr>
          <w:rFonts w:hint="eastAsia" w:ascii="仿宋_GB2312" w:hAnsi="宋体" w:eastAsia="仿宋_GB2312" w:cs="宋体"/>
          <w:szCs w:val="21"/>
        </w:rPr>
        <w:t>。</w:t>
      </w:r>
    </w:p>
    <w:p w14:paraId="4383E636">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本款补充第 15.3.4 项：</w:t>
      </w:r>
    </w:p>
    <w:p w14:paraId="74453C63">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15.3.4 设计变更程序应执行</w:t>
      </w:r>
      <w:r>
        <w:rPr>
          <w:rFonts w:hint="eastAsia" w:ascii="仿宋_GB2312" w:hAnsi="宋体" w:eastAsia="仿宋_GB2312" w:cs="宋体"/>
          <w:kern w:val="0"/>
          <w:szCs w:val="21"/>
          <w:u w:val="single"/>
          <w:lang w:bidi="ar"/>
        </w:rPr>
        <w:t>《公路工程设计变更管理办法》《重庆市政府投资项目合同变更管理暂行办法》</w:t>
      </w:r>
      <w:r>
        <w:rPr>
          <w:rFonts w:hint="eastAsia" w:ascii="仿宋_GB2312" w:hAnsi="宋体" w:eastAsia="仿宋_GB2312" w:cs="宋体"/>
          <w:kern w:val="0"/>
          <w:szCs w:val="21"/>
          <w:lang w:bidi="ar"/>
        </w:rPr>
        <w:t>的相关规定。</w:t>
      </w:r>
    </w:p>
    <w:p w14:paraId="06465255">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w:t>
      </w:r>
      <w:r>
        <w:rPr>
          <w:rFonts w:hint="eastAsia" w:ascii="仿宋_GB2312" w:hAnsi="宋体" w:eastAsia="仿宋_GB2312" w:cs="宋体"/>
          <w:szCs w:val="21"/>
          <w:u w:val="single"/>
        </w:rPr>
        <w:t>合同变更提出后，应当首先由发包人组织相关单位、专家进行论证。经论证确需变更的，发包人按照《重庆市政府投资项目合同变更管理暂行办法》规定的程序自行决策或者报批；经论证不需要变更的，继续按合同执行</w:t>
      </w:r>
      <w:r>
        <w:rPr>
          <w:rFonts w:hint="eastAsia" w:ascii="仿宋_GB2312" w:hAnsi="宋体" w:eastAsia="仿宋_GB2312" w:cs="宋体"/>
          <w:szCs w:val="21"/>
        </w:rPr>
        <w:t>。</w:t>
      </w:r>
    </w:p>
    <w:p w14:paraId="562B4966">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w:t>
      </w:r>
      <w:r>
        <w:rPr>
          <w:rFonts w:hint="eastAsia" w:ascii="仿宋_GB2312" w:hAnsi="宋体" w:eastAsia="仿宋_GB2312" w:cs="宋体"/>
          <w:szCs w:val="21"/>
          <w:u w:val="single"/>
        </w:rPr>
        <w:t>项目的勘察设计、实施内容等作较大变更的，应当按照规定的程序报原审批部门审批；变更导致总投资超概的，应当报原投资概算核定部门核定</w:t>
      </w:r>
      <w:r>
        <w:rPr>
          <w:rFonts w:hint="eastAsia" w:ascii="仿宋_GB2312" w:hAnsi="宋体" w:eastAsia="仿宋_GB2312" w:cs="宋体"/>
          <w:szCs w:val="21"/>
        </w:rPr>
        <w:t>。</w:t>
      </w:r>
    </w:p>
    <w:p w14:paraId="3FBFF19E">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（3）</w:t>
      </w:r>
      <w:r>
        <w:rPr>
          <w:rFonts w:hint="eastAsia" w:ascii="仿宋_GB2312" w:hAnsi="宋体" w:eastAsia="仿宋_GB2312" w:cs="宋体"/>
          <w:szCs w:val="21"/>
          <w:u w:val="single"/>
        </w:rPr>
        <w:t>项目管理人员变更的，应当经发包人领导班子集体决策同意，并将变更信息推送给行业主管部门。变更后的项目管理人员应当符合招标文件和行业主管部门的相关规定</w:t>
      </w:r>
      <w:r>
        <w:rPr>
          <w:rFonts w:hint="eastAsia" w:ascii="仿宋_GB2312" w:hAnsi="宋体" w:eastAsia="仿宋_GB2312" w:cs="宋体"/>
          <w:szCs w:val="21"/>
        </w:rPr>
        <w:t>。</w:t>
      </w:r>
    </w:p>
    <w:p w14:paraId="24C303E9">
      <w:pPr>
        <w:autoSpaceDE w:val="0"/>
        <w:autoSpaceDN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（4）</w:t>
      </w:r>
      <w:r>
        <w:rPr>
          <w:rFonts w:hint="eastAsia" w:ascii="仿宋_GB2312" w:hAnsi="宋体" w:eastAsia="仿宋_GB2312" w:cs="宋体"/>
          <w:szCs w:val="21"/>
          <w:u w:val="single"/>
        </w:rPr>
        <w:t>项目实施内容无变更，因不可抗力导致的工期变更，由发包人领导班子集体决策同意，并将变更信息推送给行业主管部门；因项目实施内容变更导致的工期变更，与项目实施内容变更一并办理</w:t>
      </w:r>
      <w:r>
        <w:rPr>
          <w:rFonts w:hint="eastAsia" w:ascii="仿宋_GB2312" w:hAnsi="宋体" w:eastAsia="仿宋_GB2312" w:cs="宋体"/>
          <w:szCs w:val="21"/>
        </w:rPr>
        <w:t>。</w:t>
      </w:r>
    </w:p>
    <w:p w14:paraId="1D62D87F">
      <w:pPr>
        <w:pStyle w:val="6"/>
        <w:spacing w:before="0" w:beforeAutospacing="0" w:after="0" w:afterAutospacing="0" w:line="360" w:lineRule="auto"/>
        <w:rPr>
          <w:rFonts w:hint="eastAsia"/>
        </w:rPr>
      </w:pPr>
      <w:r>
        <w:rPr>
          <w:rFonts w:hint="eastAsia"/>
        </w:rPr>
        <w:t>15.4 变更的估价原则</w:t>
      </w:r>
    </w:p>
    <w:p w14:paraId="02875A2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14:paraId="01CD73CE">
      <w:pPr>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15.4.1 如果取消某项工作，则该项工作的总额价不予支付。</w:t>
      </w:r>
      <w:r>
        <w:rPr>
          <w:rFonts w:hint="eastAsia" w:ascii="仿宋_GB2312" w:hAnsi="宋体" w:eastAsia="仿宋_GB2312" w:cs="宋体"/>
          <w:kern w:val="0"/>
          <w:szCs w:val="21"/>
          <w:lang w:bidi="ar"/>
        </w:rPr>
        <w:t>已标价工程量清单中有适用于变更工作的子目，采用该子目的单价。但如果由于承包人不平衡报价的原因，个别子目单价明显高于市场行情价的，发包人有权对该子目单价按照市场行情价做出调整。如果取消某项工作，则该项工作的总额价不予支付。</w:t>
      </w:r>
    </w:p>
    <w:p w14:paraId="54D84EB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15.4.2 已标价工程量清单中有适用于变更工作的子目的，采用该子目的单价。</w:t>
      </w:r>
    </w:p>
    <w:p w14:paraId="7E4ED8E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15.4.3 已标价工程量清单中无适用于变更工作的子目，但有类似子目的，可在合理范围内参照类似子目的单价，由监理人按第 3.5 款商定或确定变更工作的单价。</w:t>
      </w:r>
    </w:p>
    <w:p w14:paraId="7E50DD4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15.4.4 已标价工程量清单中无适用或类似子目的单价，可在综合考虑承包人在投标时所提供的单价分析表的基础上，由监理人按第 3.5 款商定或确定变更工作的单价。</w:t>
      </w:r>
      <w:r>
        <w:rPr>
          <w:rFonts w:hint="eastAsia" w:ascii="仿宋_GB2312" w:hAnsi="宋体" w:eastAsia="仿宋_GB2312" w:cs="宋体"/>
          <w:kern w:val="0"/>
          <w:szCs w:val="21"/>
        </w:rPr>
        <w:t>已标价工程量清单中无相同项目亦无类似项目，也无定额可套用的，由承包人会同监理人、跟审单位、发包人按相关原则、编制方法编制补充，或参照重庆市场相同工作的市场价格上报监理人，最终价格按承包人、监理人、跟审单位、发包人共同询价确认的价格执行。</w:t>
      </w:r>
    </w:p>
    <w:p w14:paraId="31B59803">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宋体" w:hAnsi="宋体" w:cs="宋体"/>
          <w:kern w:val="0"/>
          <w:szCs w:val="21"/>
          <w:lang w:bidi="ar"/>
        </w:rPr>
        <w:t>15.4.5 如果本工程的变更指示是因承包人过错、承包人违反合同或承包人责任造成的，则这种违约引起的任何额外费用应由承包人承担。</w:t>
      </w:r>
      <w:r>
        <w:rPr>
          <w:rFonts w:hint="eastAsia" w:ascii="仿宋_GB2312" w:hAnsi="宋体" w:eastAsia="仿宋_GB2312" w:cs="宋体"/>
          <w:kern w:val="0"/>
          <w:szCs w:val="21"/>
        </w:rPr>
        <w:t>工程变更引起施工方案改变并使安全生产费、临时工程费发生变化时，承包人提出调整安全生产费、临时工程费的，应事前将拟实施的方案提交监理人审核报发包人确认，并应详细说明与原方案安全生产费、临时工程费相比的变化情况。拟实施的方案经发承包双方确认后执行，并应按照下列规定调整安全生产费和临时工程费：</w:t>
      </w:r>
    </w:p>
    <w:p w14:paraId="247E4AAC">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（1）安全生产费应根据实际发生变化的工程项目按照《重庆市公路养护工程预算编制办法》（[2018]渝非内字023号）文件要求执行。</w:t>
      </w:r>
    </w:p>
    <w:p w14:paraId="485B8546">
      <w:pPr>
        <w:pStyle w:val="6"/>
        <w:spacing w:before="0" w:beforeAutospacing="0" w:after="0" w:afterAutospacing="0" w:line="360" w:lineRule="auto"/>
        <w:rPr>
          <w:rFonts w:hint="eastAsia"/>
        </w:rPr>
      </w:pPr>
      <w:r>
        <w:rPr>
          <w:rFonts w:hint="eastAsia"/>
        </w:rPr>
        <w:t>15.5 承包人的合理化建议</w:t>
      </w:r>
    </w:p>
    <w:p w14:paraId="7F021B5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15.5.2 项约定为：</w:t>
      </w:r>
    </w:p>
    <w:p w14:paraId="7557FC34">
      <w:pPr>
        <w:snapToGrid w:val="0"/>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承包人提出的合理化建议缩短了工期，发包人按第 11.6 款的规定给予奖励。</w:t>
      </w:r>
    </w:p>
    <w:p w14:paraId="65151505">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承包人提出的合理化建议降低了合同价格或缩短了工期或者提高了工程经济效益的，奖励的方法和金额为</w:t>
      </w:r>
      <w:r>
        <w:rPr>
          <w:rFonts w:hint="eastAsia" w:ascii="宋体" w:hAnsi="宋体" w:cs="宋体"/>
          <w:kern w:val="0"/>
          <w:szCs w:val="21"/>
          <w:u w:val="single"/>
        </w:rPr>
        <w:t xml:space="preserve">：           </w:t>
      </w:r>
      <w:r>
        <w:rPr>
          <w:rFonts w:hint="eastAsia" w:ascii="宋体" w:hAnsi="宋体" w:cs="宋体"/>
          <w:kern w:val="0"/>
          <w:szCs w:val="21"/>
        </w:rPr>
        <w:t>。</w:t>
      </w:r>
    </w:p>
    <w:p w14:paraId="2D9383BF">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本款补充第 15.5.3 项：</w:t>
      </w:r>
    </w:p>
    <w:p w14:paraId="4173F5C2">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15.5.3</w:t>
      </w:r>
      <w:r>
        <w:rPr>
          <w:rFonts w:hint="eastAsia" w:ascii="仿宋_GB2312" w:hAnsi="宋体" w:eastAsia="仿宋_GB2312" w:cs="宋体"/>
          <w:kern w:val="0"/>
          <w:szCs w:val="21"/>
        </w:rPr>
        <w:t>承包人提出合理化建议的，应向监理人提交合理化建议说明，说明建议的内容和理由，以及实施该建议对合同价格和（或）工期和（或）工程经济效益的影响。</w:t>
      </w:r>
    </w:p>
    <w:p w14:paraId="65DCF548">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监理人审查承包人合理化建议的期限：</w:t>
      </w:r>
      <w:r>
        <w:rPr>
          <w:rFonts w:hint="eastAsia" w:ascii="仿宋_GB2312" w:hAnsi="宋体" w:eastAsia="仿宋_GB2312" w:cs="宋体"/>
          <w:kern w:val="0"/>
          <w:szCs w:val="21"/>
          <w:u w:val="single"/>
        </w:rPr>
        <w:t>不超过14天</w:t>
      </w:r>
      <w:r>
        <w:rPr>
          <w:rFonts w:hint="eastAsia" w:ascii="仿宋_GB2312" w:hAnsi="宋体" w:eastAsia="仿宋_GB2312" w:cs="宋体"/>
          <w:kern w:val="0"/>
          <w:szCs w:val="21"/>
        </w:rPr>
        <w:t>。</w:t>
      </w:r>
    </w:p>
    <w:p w14:paraId="742AC844">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发包人审批承包人合理化建议的期限：</w:t>
      </w:r>
      <w:r>
        <w:rPr>
          <w:rFonts w:hint="eastAsia" w:ascii="仿宋_GB2312" w:hAnsi="宋体" w:eastAsia="仿宋_GB2312" w:cs="宋体"/>
          <w:kern w:val="0"/>
          <w:szCs w:val="21"/>
          <w:u w:val="single"/>
        </w:rPr>
        <w:t>不超过14天</w:t>
      </w:r>
      <w:r>
        <w:rPr>
          <w:rFonts w:hint="eastAsia" w:ascii="仿宋_GB2312" w:hAnsi="宋体" w:eastAsia="仿宋_GB2312" w:cs="宋体"/>
          <w:kern w:val="0"/>
          <w:szCs w:val="21"/>
        </w:rPr>
        <w:t>。</w:t>
      </w:r>
    </w:p>
    <w:p w14:paraId="4F2441FB">
      <w:pPr>
        <w:pStyle w:val="6"/>
        <w:spacing w:before="0" w:beforeAutospacing="0" w:after="0" w:afterAutospacing="0" w:line="360" w:lineRule="auto"/>
        <w:rPr>
          <w:rFonts w:hint="eastAsia"/>
        </w:rPr>
      </w:pPr>
      <w:r>
        <w:rPr>
          <w:rFonts w:hint="eastAsia"/>
        </w:rPr>
        <w:t>15.6 暂列金额</w:t>
      </w:r>
    </w:p>
    <w:p w14:paraId="3F2F89A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14:paraId="2B048C13">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15.6.1 暂列金额应由监理人报发包人批准后指令全部或部分地使用，或者根本不予动用。</w:t>
      </w:r>
    </w:p>
    <w:p w14:paraId="6DB64F4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15.6.2 对于经发包人批准的每一笔暂列金额，监理人有权向承包人发出实施工程或提供材料、工程设备或服务的指令。这些指令应由承包人完成，监理人应根据第15.4 款约定的变更估价原则和第 15.7 款的规定，对合同价格进行相应调整。</w:t>
      </w:r>
    </w:p>
    <w:p w14:paraId="09BA115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15.6.3 当监理人提出要求时，承包人应提供有关暂列金额支出的所有报价单、发票、凭证和账单或收据，除非该工作是根据已标价工程量清单列明的单价或总额价进行的估价。</w:t>
      </w:r>
    </w:p>
    <w:p w14:paraId="257DAFFD">
      <w:pPr>
        <w:pStyle w:val="6"/>
        <w:spacing w:before="0" w:beforeAutospacing="0" w:after="0" w:afterAutospacing="0" w:line="360" w:lineRule="auto"/>
        <w:rPr>
          <w:rFonts w:hint="eastAsia"/>
        </w:rPr>
      </w:pPr>
      <w:r>
        <w:rPr>
          <w:rFonts w:hint="eastAsia"/>
        </w:rPr>
        <w:t>15.8 暂估价</w:t>
      </w:r>
    </w:p>
    <w:p w14:paraId="3284EF20">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第 15.8.1 项细化为：</w:t>
      </w:r>
    </w:p>
    <w:p w14:paraId="0E586288">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（1）发包人和承包人组织招标的暂估价项目：</w:t>
      </w:r>
      <w:r>
        <w:rPr>
          <w:rFonts w:hint="eastAsia" w:ascii="仿宋_GB2312" w:hAnsi="宋体" w:eastAsia="仿宋_GB2312" w:cs="宋体"/>
          <w:kern w:val="0"/>
          <w:szCs w:val="21"/>
          <w:u w:val="single"/>
        </w:rPr>
        <w:t xml:space="preserve">  （签约后填入）  </w:t>
      </w:r>
      <w:r>
        <w:rPr>
          <w:rFonts w:hint="eastAsia" w:ascii="仿宋_GB2312" w:hAnsi="宋体" w:eastAsia="仿宋_GB2312" w:cs="宋体"/>
          <w:kern w:val="0"/>
          <w:szCs w:val="21"/>
        </w:rPr>
        <w:t>；发包人组织招标的暂估价项目：</w:t>
      </w:r>
      <w:r>
        <w:rPr>
          <w:rFonts w:hint="eastAsia" w:ascii="仿宋_GB2312" w:hAnsi="宋体" w:eastAsia="仿宋_GB2312" w:cs="宋体"/>
          <w:kern w:val="0"/>
          <w:szCs w:val="21"/>
          <w:u w:val="single"/>
        </w:rPr>
        <w:t xml:space="preserve">（签约后填入）  </w:t>
      </w:r>
      <w:r>
        <w:rPr>
          <w:rFonts w:hint="eastAsia" w:ascii="仿宋_GB2312" w:hAnsi="宋体" w:eastAsia="仿宋_GB2312" w:cs="宋体"/>
          <w:kern w:val="0"/>
          <w:szCs w:val="21"/>
        </w:rPr>
        <w:t>。</w:t>
      </w:r>
    </w:p>
    <w:p w14:paraId="5F567335">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（2）发包人和承包人以招标方式选择暂估价项目供应商或分包人时，双方的权利义务关系：</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35A2CA77">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单项合同估算价在国家相关法律法规规定必须招标规模以下的，符合可以不招标相关规定的，由承包人实施，发包人配合。承包人（需在允许资质范围内）或承包人委托的有资质的专业分包单位实施。费用估价按照第15.4项〔变更的估价原则〕执行，承包人申报，经监理人、跟审单位、发包人共同审定。审定后根据承包人签订的相关合同（需经监理人、跟审单位、发包人）约定，由承包人申报，随进度款按与相关单位签订的合同约定一并支付。</w:t>
      </w:r>
    </w:p>
    <w:p w14:paraId="33DBB533">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单项合同暂估价在国家相关法律法规规定必须招标规模以上的，需依法必须招标的，由承包人、发包人共同招标确定。</w:t>
      </w:r>
    </w:p>
    <w:p w14:paraId="4560040B">
      <w:pPr>
        <w:pStyle w:val="5"/>
        <w:spacing w:before="0" w:after="0" w:line="360" w:lineRule="auto"/>
        <w:rPr>
          <w:rFonts w:hint="eastAsia" w:ascii="宋体" w:hAnsi="宋体"/>
        </w:rPr>
      </w:pPr>
      <w:bookmarkStart w:id="635" w:name="_Toc6680"/>
      <w:bookmarkStart w:id="636" w:name="_Toc57795980"/>
      <w:bookmarkStart w:id="637" w:name="_Toc32570"/>
      <w:bookmarkStart w:id="638" w:name="_Toc20259"/>
      <w:r>
        <w:rPr>
          <w:rFonts w:hint="eastAsia" w:ascii="宋体" w:hAnsi="宋体"/>
        </w:rPr>
        <w:t>16、价格调整</w:t>
      </w:r>
      <w:bookmarkEnd w:id="635"/>
      <w:bookmarkEnd w:id="636"/>
      <w:bookmarkEnd w:id="637"/>
      <w:bookmarkEnd w:id="638"/>
    </w:p>
    <w:p w14:paraId="20F5129A">
      <w:pPr>
        <w:pStyle w:val="6"/>
        <w:spacing w:before="0" w:beforeAutospacing="0" w:after="0" w:afterAutospacing="0" w:line="360" w:lineRule="auto"/>
        <w:rPr>
          <w:rFonts w:hint="eastAsia"/>
        </w:rPr>
      </w:pPr>
      <w:r>
        <w:rPr>
          <w:rFonts w:hint="eastAsia"/>
        </w:rPr>
        <w:t>16.1 物价波动引起的价格调整</w:t>
      </w:r>
    </w:p>
    <w:p w14:paraId="4467FB1A">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本款约定为：</w:t>
      </w:r>
    </w:p>
    <w:p w14:paraId="7507965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w:t>
      </w:r>
      <w:r>
        <w:rPr>
          <w:rFonts w:ascii="宋体" w:hAnsi="宋体"/>
          <w:kern w:val="0"/>
          <w:szCs w:val="21"/>
          <w:lang w:bidi="ar"/>
        </w:rPr>
        <w:t>1</w:t>
      </w:r>
      <w:r>
        <w:rPr>
          <w:rFonts w:hint="eastAsia" w:ascii="宋体" w:hAnsi="宋体" w:cs="宋体"/>
          <w:kern w:val="0"/>
          <w:szCs w:val="21"/>
          <w:lang w:bidi="ar"/>
        </w:rPr>
        <w:t xml:space="preserve">）因物价波动引起的价格调整按照第 </w:t>
      </w:r>
      <w:r>
        <w:rPr>
          <w:rFonts w:ascii="宋体" w:hAnsi="宋体"/>
          <w:kern w:val="0"/>
          <w:szCs w:val="21"/>
          <w:lang w:bidi="ar"/>
        </w:rPr>
        <w:t xml:space="preserve">16.1.1 </w:t>
      </w:r>
      <w:r>
        <w:rPr>
          <w:rFonts w:hint="eastAsia" w:ascii="宋体" w:hAnsi="宋体" w:cs="宋体"/>
          <w:kern w:val="0"/>
          <w:szCs w:val="21"/>
          <w:lang w:bidi="ar"/>
        </w:rPr>
        <w:t xml:space="preserve">项或第 </w:t>
      </w:r>
      <w:r>
        <w:rPr>
          <w:rFonts w:ascii="宋体" w:hAnsi="宋体"/>
          <w:kern w:val="0"/>
          <w:szCs w:val="21"/>
          <w:lang w:bidi="ar"/>
        </w:rPr>
        <w:t xml:space="preserve">16.1.2 </w:t>
      </w:r>
      <w:r>
        <w:rPr>
          <w:rFonts w:hint="eastAsia" w:ascii="宋体" w:hAnsi="宋体" w:cs="宋体"/>
          <w:kern w:val="0"/>
          <w:szCs w:val="21"/>
          <w:lang w:bidi="ar"/>
        </w:rPr>
        <w:t>项约定的原则处理；或者</w:t>
      </w:r>
    </w:p>
    <w:p w14:paraId="7E0FAC7E">
      <w:pPr>
        <w:widowControl/>
        <w:spacing w:line="360" w:lineRule="auto"/>
        <w:ind w:firstLine="420" w:firstLineChars="200"/>
        <w:jc w:val="left"/>
        <w:rPr>
          <w:rFonts w:ascii="宋体" w:hAnsi="宋体"/>
          <w:szCs w:val="21"/>
        </w:rPr>
      </w:pPr>
      <w:r>
        <w:rPr>
          <w:rFonts w:hint="eastAsia" w:ascii="宋体" w:hAnsi="宋体" w:cs="宋体"/>
          <w:kern w:val="0"/>
          <w:szCs w:val="21"/>
          <w:lang w:bidi="ar"/>
        </w:rPr>
        <w:t>（</w:t>
      </w:r>
      <w:r>
        <w:rPr>
          <w:rFonts w:ascii="宋体" w:hAnsi="宋体"/>
          <w:kern w:val="0"/>
          <w:szCs w:val="21"/>
          <w:lang w:bidi="ar"/>
        </w:rPr>
        <w:t>2</w:t>
      </w:r>
      <w:r>
        <w:rPr>
          <w:rFonts w:hint="eastAsia" w:ascii="宋体" w:hAnsi="宋体" w:cs="宋体"/>
          <w:kern w:val="0"/>
          <w:szCs w:val="21"/>
          <w:lang w:bidi="ar"/>
        </w:rPr>
        <w:t>）在合同执行期间（包括工期拖延期间）由于人工、材料和设备价格的上涨而引起工程施工成本增加的风险由承包人自行承担，合同价格不会因此而调整。</w:t>
      </w:r>
    </w:p>
    <w:p w14:paraId="6EA4031E">
      <w:pPr>
        <w:widowControl/>
        <w:spacing w:line="360" w:lineRule="auto"/>
        <w:ind w:firstLine="420" w:firstLineChars="200"/>
        <w:jc w:val="left"/>
        <w:rPr>
          <w:rFonts w:ascii="宋体" w:hAnsi="宋体"/>
          <w:szCs w:val="21"/>
        </w:rPr>
      </w:pPr>
      <w:r>
        <w:rPr>
          <w:rFonts w:ascii="宋体" w:hAnsi="宋体"/>
          <w:kern w:val="0"/>
          <w:szCs w:val="21"/>
          <w:lang w:bidi="ar"/>
        </w:rPr>
        <w:t xml:space="preserve">16.1.1 </w:t>
      </w:r>
      <w:r>
        <w:rPr>
          <w:rFonts w:hint="eastAsia" w:ascii="宋体" w:hAnsi="宋体" w:cs="黑体"/>
          <w:kern w:val="0"/>
          <w:szCs w:val="21"/>
          <w:lang w:bidi="ar"/>
        </w:rPr>
        <w:t>采用价格指数调整价格差额</w:t>
      </w:r>
    </w:p>
    <w:p w14:paraId="79AEDF7B">
      <w:pPr>
        <w:widowControl/>
        <w:spacing w:line="360" w:lineRule="auto"/>
        <w:ind w:firstLine="420" w:firstLineChars="200"/>
        <w:jc w:val="left"/>
        <w:rPr>
          <w:rFonts w:ascii="宋体" w:hAnsi="宋体"/>
          <w:szCs w:val="21"/>
        </w:rPr>
      </w:pPr>
      <w:r>
        <w:rPr>
          <w:rFonts w:ascii="宋体" w:hAnsi="宋体"/>
          <w:kern w:val="0"/>
          <w:szCs w:val="21"/>
          <w:lang w:bidi="ar"/>
        </w:rPr>
        <w:t xml:space="preserve">16.1.1.1 </w:t>
      </w:r>
      <w:r>
        <w:rPr>
          <w:rFonts w:hint="eastAsia" w:ascii="宋体" w:hAnsi="宋体" w:cs="宋体"/>
          <w:kern w:val="0"/>
          <w:szCs w:val="21"/>
          <w:lang w:bidi="ar"/>
        </w:rPr>
        <w:t>价格调整公式</w:t>
      </w:r>
    </w:p>
    <w:p w14:paraId="21847D6B">
      <w:pPr>
        <w:widowControl/>
        <w:spacing w:line="360" w:lineRule="auto"/>
        <w:ind w:firstLine="420" w:firstLineChars="200"/>
        <w:jc w:val="left"/>
        <w:rPr>
          <w:rFonts w:ascii="宋体" w:hAnsi="宋体"/>
          <w:szCs w:val="21"/>
        </w:rPr>
      </w:pPr>
      <w:r>
        <w:rPr>
          <w:rFonts w:hint="eastAsia" w:ascii="宋体" w:hAnsi="宋体" w:cs="宋体"/>
          <w:kern w:val="0"/>
          <w:szCs w:val="21"/>
          <w:lang w:bidi="ar"/>
        </w:rPr>
        <w:t>价格调整公式后增加备注如下：</w:t>
      </w:r>
    </w:p>
    <w:p w14:paraId="766BB112">
      <w:pPr>
        <w:widowControl/>
        <w:spacing w:line="360" w:lineRule="auto"/>
        <w:ind w:firstLine="420" w:firstLineChars="200"/>
        <w:jc w:val="left"/>
        <w:rPr>
          <w:rFonts w:ascii="宋体" w:hAnsi="宋体"/>
          <w:szCs w:val="21"/>
        </w:rPr>
      </w:pPr>
      <w:r>
        <w:rPr>
          <w:rFonts w:hint="eastAsia" w:ascii="宋体" w:hAnsi="宋体" w:cs="宋体"/>
          <w:kern w:val="0"/>
          <w:szCs w:val="21"/>
          <w:lang w:bidi="ar"/>
        </w:rPr>
        <w:t>式中，</w:t>
      </w:r>
      <w:r>
        <w:rPr>
          <w:rFonts w:ascii="宋体" w:hAnsi="宋体"/>
          <w:b/>
          <w:kern w:val="0"/>
          <w:szCs w:val="21"/>
          <w:lang w:bidi="ar"/>
        </w:rPr>
        <w:t>A=1</w:t>
      </w:r>
      <w:r>
        <w:rPr>
          <w:rFonts w:hint="eastAsia" w:ascii="宋体" w:hAnsi="宋体" w:cs="宋体"/>
          <w:b/>
          <w:kern w:val="0"/>
          <w:szCs w:val="21"/>
          <w:lang w:bidi="ar"/>
        </w:rPr>
        <w:t>－（</w:t>
      </w:r>
      <w:r>
        <w:rPr>
          <w:rFonts w:ascii="宋体" w:hAnsi="宋体"/>
          <w:b/>
          <w:kern w:val="0"/>
          <w:szCs w:val="21"/>
          <w:lang w:bidi="ar"/>
        </w:rPr>
        <w:t>B1</w:t>
      </w:r>
      <w:r>
        <w:rPr>
          <w:rFonts w:hint="eastAsia" w:ascii="宋体" w:hAnsi="宋体" w:cs="宋体"/>
          <w:b/>
          <w:kern w:val="0"/>
          <w:szCs w:val="21"/>
          <w:lang w:bidi="ar"/>
        </w:rPr>
        <w:t>＋</w:t>
      </w:r>
      <w:r>
        <w:rPr>
          <w:rFonts w:ascii="宋体" w:hAnsi="宋体"/>
          <w:b/>
          <w:kern w:val="0"/>
          <w:szCs w:val="21"/>
          <w:lang w:bidi="ar"/>
        </w:rPr>
        <w:t>B2</w:t>
      </w:r>
      <w:r>
        <w:rPr>
          <w:rFonts w:hint="eastAsia" w:ascii="宋体" w:hAnsi="宋体" w:cs="宋体"/>
          <w:b/>
          <w:kern w:val="0"/>
          <w:szCs w:val="21"/>
          <w:lang w:bidi="ar"/>
        </w:rPr>
        <w:t>＋</w:t>
      </w:r>
      <w:r>
        <w:rPr>
          <w:rFonts w:ascii="宋体" w:hAnsi="宋体"/>
          <w:b/>
          <w:kern w:val="0"/>
          <w:szCs w:val="21"/>
          <w:lang w:bidi="ar"/>
        </w:rPr>
        <w:t>B3</w:t>
      </w:r>
      <w:r>
        <w:rPr>
          <w:rFonts w:hint="eastAsia" w:ascii="宋体" w:hAnsi="宋体" w:cs="宋体"/>
          <w:b/>
          <w:kern w:val="0"/>
          <w:szCs w:val="21"/>
          <w:lang w:bidi="ar"/>
        </w:rPr>
        <w:t>＋</w:t>
      </w:r>
      <w:r>
        <w:rPr>
          <w:rFonts w:ascii="宋体" w:hAnsi="宋体"/>
          <w:b/>
          <w:kern w:val="0"/>
          <w:szCs w:val="21"/>
          <w:lang w:bidi="ar"/>
        </w:rPr>
        <w:t>……</w:t>
      </w:r>
      <w:r>
        <w:rPr>
          <w:rFonts w:hint="eastAsia" w:ascii="宋体" w:hAnsi="宋体" w:cs="宋体"/>
          <w:b/>
          <w:kern w:val="0"/>
          <w:szCs w:val="21"/>
          <w:lang w:bidi="ar"/>
        </w:rPr>
        <w:t>＋</w:t>
      </w:r>
      <w:r>
        <w:rPr>
          <w:rFonts w:ascii="宋体" w:hAnsi="宋体"/>
          <w:b/>
          <w:kern w:val="0"/>
          <w:szCs w:val="21"/>
          <w:lang w:bidi="ar"/>
        </w:rPr>
        <w:t>Bn</w:t>
      </w:r>
      <w:r>
        <w:rPr>
          <w:rFonts w:hint="eastAsia" w:ascii="宋体" w:hAnsi="宋体" w:cs="宋体"/>
          <w:b/>
          <w:kern w:val="0"/>
          <w:szCs w:val="21"/>
          <w:lang w:bidi="ar"/>
        </w:rPr>
        <w:t>）</w:t>
      </w:r>
      <w:r>
        <w:rPr>
          <w:rFonts w:hint="eastAsia" w:ascii="宋体" w:hAnsi="宋体" w:cs="宋体"/>
          <w:kern w:val="0"/>
          <w:szCs w:val="21"/>
          <w:lang w:bidi="ar"/>
        </w:rPr>
        <w:t>。</w:t>
      </w:r>
    </w:p>
    <w:p w14:paraId="7E7AEAFD">
      <w:pPr>
        <w:widowControl/>
        <w:spacing w:line="360" w:lineRule="auto"/>
        <w:ind w:firstLine="420" w:firstLineChars="200"/>
        <w:jc w:val="left"/>
        <w:rPr>
          <w:rFonts w:ascii="宋体" w:hAnsi="宋体"/>
          <w:szCs w:val="21"/>
        </w:rPr>
      </w:pPr>
      <w:r>
        <w:rPr>
          <w:rFonts w:hint="eastAsia" w:ascii="宋体" w:hAnsi="宋体" w:cs="宋体"/>
          <w:kern w:val="0"/>
          <w:szCs w:val="21"/>
          <w:lang w:bidi="ar"/>
        </w:rPr>
        <w:t>本目最后一段文字细化为：</w:t>
      </w:r>
    </w:p>
    <w:p w14:paraId="4DB42EF8">
      <w:pPr>
        <w:widowControl/>
        <w:spacing w:line="360" w:lineRule="auto"/>
        <w:ind w:firstLine="420" w:firstLineChars="200"/>
        <w:jc w:val="left"/>
        <w:rPr>
          <w:rFonts w:ascii="宋体" w:hAnsi="宋体"/>
          <w:szCs w:val="21"/>
        </w:rPr>
      </w:pPr>
      <w:r>
        <w:rPr>
          <w:rFonts w:hint="eastAsia" w:ascii="宋体" w:hAnsi="宋体" w:cs="宋体"/>
          <w:kern w:val="0"/>
          <w:szCs w:val="21"/>
          <w:lang w:bidi="ar"/>
        </w:rPr>
        <w:t>在采用价格调整公式进行调价时，还应遵守以下规定：</w:t>
      </w:r>
    </w:p>
    <w:p w14:paraId="6DE1ADAA">
      <w:pPr>
        <w:widowControl/>
        <w:spacing w:line="360" w:lineRule="auto"/>
        <w:ind w:firstLine="420" w:firstLineChars="200"/>
        <w:jc w:val="left"/>
        <w:rPr>
          <w:rFonts w:ascii="宋体" w:hAnsi="宋体"/>
          <w:szCs w:val="21"/>
        </w:rPr>
      </w:pPr>
      <w:r>
        <w:rPr>
          <w:rFonts w:hint="eastAsia" w:ascii="宋体" w:hAnsi="宋体" w:cs="宋体"/>
          <w:kern w:val="0"/>
          <w:szCs w:val="21"/>
          <w:lang w:bidi="ar"/>
        </w:rPr>
        <w:t>（</w:t>
      </w:r>
      <w:r>
        <w:rPr>
          <w:rFonts w:ascii="宋体" w:hAnsi="宋体"/>
          <w:kern w:val="0"/>
          <w:szCs w:val="21"/>
          <w:lang w:bidi="ar"/>
        </w:rPr>
        <w:t>1</w:t>
      </w:r>
      <w:r>
        <w:rPr>
          <w:rFonts w:hint="eastAsia" w:ascii="宋体" w:hAnsi="宋体" w:cs="宋体"/>
          <w:kern w:val="0"/>
          <w:szCs w:val="21"/>
          <w:lang w:bidi="ar"/>
        </w:rPr>
        <w:t>）以上价格调整公式中的各可调因子、定值权重，以及基本价格指数及其来源由发包人在投标函附录价格指数和权重表中约定。价格指数应首先采用国家或省、自治区、直辖市价格部门或统计部门提供的价格指数，缺乏上述价格指数时，可采用上述部门提供的价格代替。</w:t>
      </w:r>
    </w:p>
    <w:p w14:paraId="0A955B6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w:t>
      </w:r>
      <w:r>
        <w:rPr>
          <w:rFonts w:ascii="宋体" w:hAnsi="宋体"/>
          <w:kern w:val="0"/>
          <w:szCs w:val="21"/>
          <w:lang w:bidi="ar"/>
        </w:rPr>
        <w:t>2</w:t>
      </w:r>
      <w:r>
        <w:rPr>
          <w:rFonts w:hint="eastAsia" w:ascii="宋体" w:hAnsi="宋体" w:cs="宋体"/>
          <w:kern w:val="0"/>
          <w:szCs w:val="21"/>
          <w:lang w:bidi="ar"/>
        </w:rPr>
        <w:t>）价格调整公式中的变值权重，由发包人根据项目实际情况测算确定范围，并在投标函附录价格指数和权重表中约定范围；承包人在投标时在此范围内填写各可调因子的权重，合同实施期间将按此权重进行调价。</w:t>
      </w:r>
    </w:p>
    <w:p w14:paraId="0E3E8EF9">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物价波动超过合同当事人约定的范围，合同价格应当调整。合同当事人可以选择以下第</w:t>
      </w:r>
      <w:r>
        <w:rPr>
          <w:rFonts w:hint="eastAsia" w:ascii="仿宋_GB2312" w:hAnsi="宋体" w:eastAsia="仿宋_GB2312"/>
          <w:kern w:val="0"/>
          <w:szCs w:val="21"/>
          <w:u w:val="single"/>
        </w:rPr>
        <w:t xml:space="preserve">    </w:t>
      </w:r>
      <w:r>
        <w:rPr>
          <w:rFonts w:hint="eastAsia" w:ascii="仿宋_GB2312" w:hAnsi="宋体" w:eastAsia="仿宋_GB2312"/>
          <w:kern w:val="0"/>
          <w:szCs w:val="21"/>
        </w:rPr>
        <w:t>方式对合同价格进行调整：</w:t>
      </w:r>
    </w:p>
    <w:p w14:paraId="29547F99">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第1种方式：采用价格指数进行价格调整。（注：公路养护工程原则上不采用）</w:t>
      </w:r>
    </w:p>
    <w:p w14:paraId="45BE0CF0">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第2种方式：采用造价信息进行价格调整。</w:t>
      </w:r>
    </w:p>
    <w:p w14:paraId="7A039896">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u w:val="singl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r>
        <w:rPr>
          <w:rFonts w:hint="eastAsia" w:ascii="仿宋_GB2312" w:hAnsi="宋体" w:eastAsia="仿宋_GB2312"/>
          <w:kern w:val="0"/>
          <w:szCs w:val="21"/>
        </w:rPr>
        <w:t>。</w:t>
      </w:r>
    </w:p>
    <w:p w14:paraId="112224A6">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（1）</w:t>
      </w:r>
      <w:r>
        <w:rPr>
          <w:rFonts w:hint="eastAsia" w:ascii="仿宋_GB2312" w:hAnsi="宋体" w:eastAsia="仿宋_GB2312"/>
          <w:kern w:val="0"/>
          <w:szCs w:val="21"/>
          <w:u w:val="single"/>
        </w:rPr>
        <w:t>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r>
        <w:rPr>
          <w:rFonts w:hint="eastAsia" w:ascii="仿宋_GB2312" w:hAnsi="宋体" w:eastAsia="仿宋_GB2312"/>
          <w:kern w:val="0"/>
          <w:szCs w:val="21"/>
        </w:rPr>
        <w:t>。</w:t>
      </w:r>
    </w:p>
    <w:p w14:paraId="2C5D7F55">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（2）</w:t>
      </w:r>
      <w:r>
        <w:rPr>
          <w:rFonts w:hint="eastAsia" w:ascii="仿宋_GB2312" w:hAnsi="宋体" w:eastAsia="仿宋_GB2312"/>
          <w:kern w:val="0"/>
          <w:szCs w:val="21"/>
          <w:u w:val="single"/>
        </w:rPr>
        <w:t>材料、工程设备价格变化的价款调整按照发包人提供的基准价格，按以下风险范围规定执行</w:t>
      </w:r>
      <w:r>
        <w:rPr>
          <w:rFonts w:hint="eastAsia" w:ascii="仿宋_GB2312" w:hAnsi="宋体" w:eastAsia="仿宋_GB2312"/>
          <w:kern w:val="0"/>
          <w:szCs w:val="21"/>
        </w:rPr>
        <w:t>:</w:t>
      </w:r>
    </w:p>
    <w:p w14:paraId="205BB1F9">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①</w:t>
      </w:r>
      <w:r>
        <w:rPr>
          <w:rFonts w:hint="eastAsia" w:ascii="仿宋_GB2312" w:hAnsi="宋体" w:eastAsia="仿宋_GB2312"/>
          <w:kern w:val="0"/>
          <w:szCs w:val="21"/>
          <w:u w:val="single"/>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r>
        <w:rPr>
          <w:rFonts w:hint="eastAsia" w:ascii="仿宋_GB2312" w:hAnsi="宋体" w:eastAsia="仿宋_GB2312"/>
          <w:kern w:val="0"/>
          <w:szCs w:val="21"/>
        </w:rPr>
        <w:t>。</w:t>
      </w:r>
    </w:p>
    <w:p w14:paraId="51AB6693">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②</w:t>
      </w:r>
      <w:r>
        <w:rPr>
          <w:rFonts w:hint="eastAsia" w:ascii="仿宋_GB2312" w:hAnsi="宋体" w:eastAsia="仿宋_GB2312"/>
          <w:kern w:val="0"/>
          <w:szCs w:val="21"/>
          <w:u w:val="single"/>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r>
        <w:rPr>
          <w:rFonts w:hint="eastAsia" w:ascii="仿宋_GB2312" w:hAnsi="宋体" w:eastAsia="仿宋_GB2312"/>
          <w:kern w:val="0"/>
          <w:szCs w:val="21"/>
        </w:rPr>
        <w:t>。</w:t>
      </w:r>
    </w:p>
    <w:p w14:paraId="7446B63C">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③</w:t>
      </w:r>
      <w:r>
        <w:rPr>
          <w:rFonts w:hint="eastAsia" w:ascii="仿宋_GB2312" w:hAnsi="宋体" w:eastAsia="仿宋_GB2312"/>
          <w:kern w:val="0"/>
          <w:szCs w:val="21"/>
          <w:u w:val="single"/>
        </w:rPr>
        <w:t>承包人在已标价工程量清单或预算书中载明材料单价等于基准价格的：除专用合同条款另有约定外，合同履行期间材料单价涨跌幅以基准价格为基础超过±5%时，其超过部分据实调整</w:t>
      </w:r>
      <w:r>
        <w:rPr>
          <w:rFonts w:hint="eastAsia" w:ascii="仿宋_GB2312" w:hAnsi="宋体" w:eastAsia="仿宋_GB2312"/>
          <w:kern w:val="0"/>
          <w:szCs w:val="21"/>
        </w:rPr>
        <w:t>。</w:t>
      </w:r>
    </w:p>
    <w:p w14:paraId="1154F556">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④</w:t>
      </w:r>
      <w:r>
        <w:rPr>
          <w:rFonts w:hint="eastAsia" w:ascii="仿宋_GB2312" w:hAnsi="宋体" w:eastAsia="仿宋_GB2312"/>
          <w:kern w:val="0"/>
          <w:szCs w:val="21"/>
          <w:u w:val="single"/>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r>
        <w:rPr>
          <w:rFonts w:hint="eastAsia" w:ascii="仿宋_GB2312" w:hAnsi="宋体" w:eastAsia="仿宋_GB2312"/>
          <w:kern w:val="0"/>
          <w:szCs w:val="21"/>
        </w:rPr>
        <w:t>。</w:t>
      </w:r>
    </w:p>
    <w:p w14:paraId="49B7060A">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u w:val="single"/>
        </w:rPr>
        <w:t>前述基准价格是指由发包人在招标文件或专用合同条款中给定的材料、工程设备的价格，该价格原则上应当按照省级或行业建设主管部门或其授权的工程造价管理机构发布的信息价编制</w:t>
      </w:r>
      <w:r>
        <w:rPr>
          <w:rFonts w:hint="eastAsia" w:ascii="仿宋_GB2312" w:hAnsi="宋体" w:eastAsia="仿宋_GB2312"/>
          <w:kern w:val="0"/>
          <w:szCs w:val="21"/>
        </w:rPr>
        <w:t>。</w:t>
      </w:r>
    </w:p>
    <w:p w14:paraId="6ECF2304">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u w:val="single"/>
        </w:rPr>
        <w:t>可调价差材料：钢材、水泥、沥青</w:t>
      </w:r>
      <w:r>
        <w:rPr>
          <w:rFonts w:hint="eastAsia" w:ascii="仿宋_GB2312" w:hAnsi="宋体" w:eastAsia="仿宋_GB2312"/>
          <w:kern w:val="0"/>
          <w:szCs w:val="21"/>
        </w:rPr>
        <w:t>。</w:t>
      </w:r>
    </w:p>
    <w:p w14:paraId="154A5F9D">
      <w:pPr>
        <w:spacing w:line="360" w:lineRule="auto"/>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（3）</w:t>
      </w:r>
      <w:r>
        <w:rPr>
          <w:rFonts w:hint="eastAsia" w:ascii="仿宋_GB2312" w:hAnsi="宋体" w:eastAsia="仿宋_GB2312"/>
          <w:kern w:val="0"/>
          <w:szCs w:val="21"/>
          <w:u w:val="single"/>
        </w:rPr>
        <w:t>施工机械台班单价或施工机械使用费发生变化超过省级或行业建设主管部门或其授权的工程造价管理机构规定的范围时，按规定调整合同价格</w:t>
      </w:r>
      <w:r>
        <w:rPr>
          <w:rFonts w:hint="eastAsia" w:ascii="仿宋_GB2312" w:hAnsi="宋体" w:eastAsia="仿宋_GB2312"/>
          <w:kern w:val="0"/>
          <w:szCs w:val="21"/>
        </w:rPr>
        <w:t>。</w:t>
      </w:r>
    </w:p>
    <w:p w14:paraId="3BD550C5">
      <w:pPr>
        <w:pStyle w:val="2"/>
        <w:spacing w:after="0" w:line="360" w:lineRule="auto"/>
        <w:ind w:firstLine="420" w:firstLineChars="200"/>
        <w:rPr>
          <w:rFonts w:hint="eastAsia" w:ascii="仿宋_GB2312" w:hAnsi="宋体" w:eastAsia="仿宋_GB2312"/>
          <w:kern w:val="0"/>
          <w:szCs w:val="21"/>
        </w:rPr>
      </w:pPr>
      <w:r>
        <w:rPr>
          <w:rFonts w:hint="eastAsia" w:ascii="仿宋_GB2312" w:hAnsi="宋体" w:eastAsia="仿宋_GB2312"/>
          <w:kern w:val="0"/>
          <w:szCs w:val="21"/>
        </w:rPr>
        <w:t>第3种方式：</w:t>
      </w:r>
      <w:r>
        <w:rPr>
          <w:rFonts w:hint="eastAsia" w:ascii="仿宋_GB2312" w:hAnsi="宋体" w:eastAsia="仿宋_GB2312"/>
          <w:kern w:val="0"/>
          <w:szCs w:val="21"/>
          <w:u w:val="single"/>
        </w:rPr>
        <w:t xml:space="preserve">           </w:t>
      </w:r>
      <w:r>
        <w:rPr>
          <w:rFonts w:hint="eastAsia" w:ascii="仿宋_GB2312" w:hAnsi="宋体" w:eastAsia="仿宋_GB2312"/>
          <w:kern w:val="0"/>
          <w:szCs w:val="21"/>
        </w:rPr>
        <w:t>。</w:t>
      </w:r>
    </w:p>
    <w:p w14:paraId="39281255">
      <w:pPr>
        <w:pStyle w:val="6"/>
        <w:spacing w:before="0" w:beforeAutospacing="0" w:after="0" w:afterAutospacing="0" w:line="360" w:lineRule="auto"/>
        <w:rPr>
          <w:rFonts w:hint="eastAsia" w:ascii="仿宋_GB2312" w:eastAsia="仿宋_GB2312"/>
        </w:rPr>
      </w:pPr>
      <w:r>
        <w:rPr>
          <w:rFonts w:hint="eastAsia" w:ascii="仿宋_GB2312" w:eastAsia="仿宋_GB2312"/>
        </w:rPr>
        <w:t>16.2 法律变化引起的价格调整</w:t>
      </w:r>
    </w:p>
    <w:p w14:paraId="6FF0CF23">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w:t>
      </w:r>
    </w:p>
    <w:p w14:paraId="62FE9127">
      <w:pPr>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项目投标基准日后至完工验收之日，国家或相关行政主管部门发布直接影响项目的新法规、新政策、新文件、新标准，属强制执行的，自执行之日执行，由此增减的费用由发包人承担，估价照第15.4款〔变更的估价原则〕执行；属选择性执行的，发包人与承包人协商解决。</w:t>
      </w:r>
    </w:p>
    <w:p w14:paraId="72E1E5F9">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本条补充第 16.3 款：</w:t>
      </w:r>
    </w:p>
    <w:p w14:paraId="521C4F05">
      <w:pPr>
        <w:pStyle w:val="6"/>
        <w:spacing w:before="0" w:beforeAutospacing="0" w:after="0" w:afterAutospacing="0" w:line="360" w:lineRule="auto"/>
        <w:rPr>
          <w:rFonts w:hint="eastAsia" w:ascii="仿宋_GB2312" w:eastAsia="仿宋_GB2312"/>
        </w:rPr>
      </w:pPr>
      <w:r>
        <w:rPr>
          <w:rFonts w:hint="eastAsia" w:ascii="仿宋_GB2312" w:eastAsia="仿宋_GB2312"/>
        </w:rPr>
        <w:t>16.3 严重不平衡报价引起的调整</w:t>
      </w:r>
    </w:p>
    <w:p w14:paraId="5EFC4765">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合同履行期间，当按第17〔计量与支付〕约定确认的完成工程量比已标价工程量清单载明工程量增加超过15%，且发包人发现承包人的已标价工程量清单相关清单子目中有严重不平衡报价的。超过已标价工程量清单载明工程量15%的部分，发包人将对严重不平衡报价的清单子目综合单价进行修正，并按修正综合单价办理完工结算，修正综合单价按照第15.4项〔变更的估价原则〕约定执行。</w:t>
      </w:r>
    </w:p>
    <w:p w14:paraId="43E60236">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严重不平衡报价是指：清单子目综合单价与发包人按照第15.4项〔变更的估价原则〕目约定确定的综合单价相比高于50%的报价，即为“[严重不平衡报价清单子目综合单价 - 按照第15.4项〔变更的估价原则〕约定确定的综合单价]/按照第15.4项〔变更的估价原则〕目约定确定的综合单价×100%”。</w:t>
      </w:r>
    </w:p>
    <w:p w14:paraId="458C9221">
      <w:pPr>
        <w:pStyle w:val="5"/>
        <w:spacing w:before="0" w:after="0" w:line="360" w:lineRule="auto"/>
        <w:rPr>
          <w:rFonts w:hint="eastAsia" w:ascii="宋体" w:hAnsi="宋体"/>
        </w:rPr>
      </w:pPr>
      <w:bookmarkStart w:id="639" w:name="_Toc15231"/>
      <w:bookmarkStart w:id="640" w:name="_Toc19988"/>
      <w:bookmarkStart w:id="641" w:name="_Toc31610"/>
      <w:bookmarkStart w:id="642" w:name="_Toc57795981"/>
      <w:r>
        <w:rPr>
          <w:rFonts w:hint="eastAsia" w:ascii="宋体" w:hAnsi="宋体"/>
        </w:rPr>
        <w:t>17、计量与支付</w:t>
      </w:r>
      <w:bookmarkEnd w:id="639"/>
      <w:bookmarkEnd w:id="640"/>
      <w:bookmarkEnd w:id="641"/>
      <w:bookmarkEnd w:id="642"/>
    </w:p>
    <w:p w14:paraId="17C10B64">
      <w:pPr>
        <w:pStyle w:val="6"/>
        <w:spacing w:before="0" w:beforeAutospacing="0" w:after="0" w:afterAutospacing="0" w:line="360" w:lineRule="auto"/>
        <w:rPr>
          <w:rFonts w:hint="eastAsia"/>
        </w:rPr>
      </w:pPr>
      <w:r>
        <w:rPr>
          <w:rFonts w:hint="eastAsia"/>
        </w:rPr>
        <w:t>17.1 计量</w:t>
      </w:r>
    </w:p>
    <w:p w14:paraId="3DF0B49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17.1.2 计量方法</w:t>
      </w:r>
    </w:p>
    <w:p w14:paraId="1E600A6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14:paraId="6311D36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工程的计量应以净值为准，除非专用合同条款另有约定。工程量清单中各个子目的具体计量方法按本合同文件工程量清单计量规则中的规定执行。</w:t>
      </w:r>
    </w:p>
    <w:p w14:paraId="24504FA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17.1.4 单价子目的计量</w:t>
      </w:r>
    </w:p>
    <w:p w14:paraId="0B144C8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14:paraId="5BF67F8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（7）承包人未在已标价工程量清单中填入单价或总额价的工程子目，将被认为其已包含在本合同的其他子目的单价和总额价中，发包人将不另行支付。</w:t>
      </w:r>
    </w:p>
    <w:p w14:paraId="52E2FD77">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（8）承包人应于当月</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日前向监理人报送上月已完成的工程量，并附进度付款申请单、已完成工程量报表和其他有关资料。</w:t>
      </w:r>
    </w:p>
    <w:p w14:paraId="27F6F36D">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进行复核或抽样复测，并按监理人要求提供补充计量资料。承包人未按监理人要求参加复核或抽样复测的，监理人复核或修正的工程量视为承包人实际完成的工程量。</w:t>
      </w:r>
    </w:p>
    <w:p w14:paraId="79A3E1A3">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工程量的计量仅作为进度付款和工程施工进度控制的依据，不应认为是承包人履行合同义务完成工程的实际和准确的工程量，实际和准确工程量按完（竣）工图和第17.1.2项〔计量方法〕约定确认的工程量为准。</w:t>
      </w:r>
    </w:p>
    <w:p w14:paraId="0E77BEA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17.1.5 总价子目的计量</w:t>
      </w:r>
    </w:p>
    <w:p w14:paraId="35154DF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14:paraId="7F048CD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本项目工程量清单中要求承包人以“总额”方式报价的子目，各子目的支付原则和支付进度按专用合同条款的规定执行。</w:t>
      </w:r>
    </w:p>
    <w:p w14:paraId="71A35A3A">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总价子目包含的风险范围：包括但不限于为实施和完成合同工程所需的人工费、材料费、施工机械费、其他费用、其它直接费、现场经费、间接费用、利润、价差、税金及缺陷修复等费用，以及第16条〔市场价格波动引起的调整〕约定范围内的市场价格波动风险、政策性文件规定的各项应有费用、招标文件和合同明示或暗示的应由承包人承担的所有责任、义务和风险等所需的费用。</w:t>
      </w:r>
    </w:p>
    <w:p w14:paraId="4BCA6FD4">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风险费用的计算方法：由承包人自行考虑并计入签约合同价格中，包干使用。</w:t>
      </w:r>
    </w:p>
    <w:p w14:paraId="6104AF09">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风险范围以外合同价格的调整方法：除本合同第15条（变更）约定的价格调整外，其余不作调整。</w:t>
      </w:r>
    </w:p>
    <w:p w14:paraId="54F1B030">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关于总价合同计量的约定：</w:t>
      </w:r>
      <w:r>
        <w:rPr>
          <w:rFonts w:hint="eastAsia" w:ascii="仿宋_GB2312" w:hAnsi="宋体" w:eastAsia="仿宋_GB2312" w:cs="宋体"/>
          <w:szCs w:val="21"/>
        </w:rPr>
        <w:t>承包人应按批准的各总价子目支付周期，以确定分阶段实际完成的工程量和工程形象目标，并对已完成的总价子目进行计量，从而确定分项的应付金额列入进度付款申请单中。</w:t>
      </w:r>
    </w:p>
    <w:p w14:paraId="2B6EC21D">
      <w:pPr>
        <w:pStyle w:val="6"/>
        <w:spacing w:before="0" w:beforeAutospacing="0" w:after="0" w:afterAutospacing="0" w:line="360" w:lineRule="auto"/>
        <w:rPr>
          <w:rFonts w:hint="eastAsia"/>
        </w:rPr>
      </w:pPr>
      <w:r>
        <w:rPr>
          <w:rFonts w:hint="eastAsia"/>
        </w:rPr>
        <w:t>17.2 预付款</w:t>
      </w:r>
    </w:p>
    <w:p w14:paraId="752117A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17.2.1 预付款</w:t>
      </w:r>
    </w:p>
    <w:p w14:paraId="3F3F431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14:paraId="2D340E8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预付款包括开工预付款和材料、设备预付款。具体额度和预付办法如下：</w:t>
      </w:r>
    </w:p>
    <w:p w14:paraId="07750C6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（1）在承包人签订了合同协议书且承包人承诺的主要设备进场后，监理人应在当期进度付款证书中向承包人支付开工预付款。</w:t>
      </w:r>
    </w:p>
    <w:p w14:paraId="147E362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承包人不得将该预付款用于与本工程无关的支出，监理人有权监督承包人对该项费用的使用，如经查实承包人滥用开工预付款，发包人有权立即向银行索赔履约保证金，并解除合同。</w:t>
      </w:r>
    </w:p>
    <w:p w14:paraId="3C7DB92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（2）材料、设备预付款按专用合同条款中所列主要材料、设备单据费用（进口的材料、设备为到岸价，国内采购的为出厂价或销售价，地方材料为堆场价）的百分比支付。其预付条件为：</w:t>
      </w:r>
    </w:p>
    <w:p w14:paraId="017E1FA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a. 材料、设备符合规范要求并经监理人认可；</w:t>
      </w:r>
    </w:p>
    <w:p w14:paraId="0A50DE6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b. 承包人已出具材料、设备费用凭证或支付单据；</w:t>
      </w:r>
    </w:p>
    <w:p w14:paraId="0217449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c. 材料、设备已在现场交货，且存储良好，监理人认为材料、设备的存储方法符合要求。则监理人应将此项金额作为材料、设备预付款计入下一次的进度付款证书中。在预计交工前</w:t>
      </w:r>
      <w:r>
        <w:rPr>
          <w:rFonts w:hint="eastAsia" w:ascii="宋体" w:hAnsi="宋体" w:cs="宋体"/>
          <w:kern w:val="0"/>
          <w:szCs w:val="21"/>
          <w:u w:val="single"/>
          <w:lang w:bidi="ar"/>
        </w:rPr>
        <w:t xml:space="preserve">   </w:t>
      </w:r>
      <w:r>
        <w:rPr>
          <w:rFonts w:hint="eastAsia" w:ascii="宋体" w:hAnsi="宋体" w:cs="宋体"/>
          <w:kern w:val="0"/>
          <w:szCs w:val="21"/>
          <w:lang w:bidi="ar"/>
        </w:rPr>
        <w:t>天，将不再支付材料、设备预付款。</w:t>
      </w:r>
    </w:p>
    <w:p w14:paraId="0AE92E06">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（3）预付款支付比例或金额：工程预付款的总金额为签约合同价的</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（10%-30%），分</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次支付给承包人。</w:t>
      </w:r>
    </w:p>
    <w:p w14:paraId="7A679D1D">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各次预付款的支付额度和付款时间为：</w:t>
      </w:r>
    </w:p>
    <w:p w14:paraId="4F00EB2E">
      <w:pPr>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a.第一次预付款金额为工程预付款总金额的       ％，付款时间应在合同协议书签订后，由承包人向发包人提交了发包人认可的工程预付款担保，并经监理人出具付款证书报送发包人批准后14天内予以支付。</w:t>
      </w:r>
    </w:p>
    <w:p w14:paraId="32C0A965">
      <w:pPr>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b.第二次预付款金额为工程预付款总金额的       ％。付款时间需待承包人主要设备进入工地后，其估算价值已达到本次预付款金额时，由承包人提出书面申请，经监理人核实后出具付款证书报送发包人批准后14天内予以支付。</w:t>
      </w:r>
    </w:p>
    <w:p w14:paraId="6CAFE105">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c.</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 xml:space="preserve"> 。</w:t>
      </w:r>
    </w:p>
    <w:p w14:paraId="086B0FC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17.2.2 预付款保函</w:t>
      </w:r>
    </w:p>
    <w:p w14:paraId="47B3C7B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14:paraId="5EE57B7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承包人无须向发包人提交预付款保函。发包人向承包人支付的预付款，应按照本合同第 17.2.1 项规定使用，承包人提交的履约保证金对预付款的正常使用承担保证责任。</w:t>
      </w:r>
    </w:p>
    <w:p w14:paraId="2751F15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17.2.3 预付款的扣回与还清</w:t>
      </w:r>
    </w:p>
    <w:p w14:paraId="27C1777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14:paraId="71F1BE1E">
      <w:pPr>
        <w:widowControl/>
        <w:spacing w:line="360" w:lineRule="auto"/>
        <w:ind w:firstLine="420" w:firstLineChars="200"/>
        <w:jc w:val="left"/>
        <w:rPr>
          <w:rFonts w:hint="eastAsia" w:ascii="宋体" w:hAnsi="宋体" w:cs="宋体"/>
          <w:kern w:val="0"/>
          <w:szCs w:val="21"/>
          <w:u w:val="single"/>
          <w:lang w:bidi="ar"/>
        </w:rPr>
      </w:pPr>
      <w:r>
        <w:rPr>
          <w:rFonts w:hint="eastAsia" w:ascii="宋体" w:hAnsi="宋体" w:cs="宋体"/>
          <w:kern w:val="0"/>
          <w:szCs w:val="21"/>
          <w:u w:val="single"/>
          <w:lang w:bidi="ar"/>
        </w:rPr>
        <w:t>（1）开工预付款在进度付款证书的累计金额未达到签约合同价的 30%之前不予扣回，在达到签约合同价 30%之后，开始按工程进度以固定比例（即每完成签约合同价的 1%，扣回开工预付款的 2%）分期从各月的进度付款证书中扣回，全部金额在进度付款证书的累计金额达到签约合同价的 80%时扣完。</w:t>
      </w:r>
    </w:p>
    <w:p w14:paraId="4FE52E10">
      <w:pPr>
        <w:widowControl/>
        <w:spacing w:line="360" w:lineRule="auto"/>
        <w:ind w:firstLine="420" w:firstLineChars="200"/>
        <w:jc w:val="left"/>
        <w:rPr>
          <w:rFonts w:hint="eastAsia" w:ascii="宋体" w:hAnsi="宋体" w:cs="宋体"/>
          <w:kern w:val="0"/>
          <w:szCs w:val="21"/>
          <w:u w:val="single"/>
          <w:lang w:bidi="ar"/>
        </w:rPr>
      </w:pPr>
      <w:r>
        <w:rPr>
          <w:rFonts w:hint="eastAsia" w:ascii="宋体" w:hAnsi="宋体" w:cs="宋体"/>
          <w:kern w:val="0"/>
          <w:szCs w:val="21"/>
          <w:u w:val="single"/>
          <w:lang w:bidi="ar"/>
        </w:rPr>
        <w:t>（2）当材料、设备已用于或安装在永久工程之中时，材料、设备预付款应从进度付款证书中扣回，扣回期不超过 3 个月。已经支付材料、设备预付款的材料、设备的所有权应属于发包人。</w:t>
      </w:r>
    </w:p>
    <w:p w14:paraId="36A6AE41">
      <w:pPr>
        <w:pStyle w:val="6"/>
        <w:spacing w:before="0" w:beforeAutospacing="0" w:after="0" w:afterAutospacing="0" w:line="360" w:lineRule="auto"/>
        <w:rPr>
          <w:rFonts w:hint="eastAsia"/>
        </w:rPr>
      </w:pPr>
      <w:r>
        <w:rPr>
          <w:rFonts w:hint="eastAsia"/>
        </w:rPr>
        <w:t xml:space="preserve">17.3 工程进度付款 </w:t>
      </w:r>
    </w:p>
    <w:p w14:paraId="0045F658">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17.3.1 付款周期</w:t>
      </w:r>
    </w:p>
    <w:p w14:paraId="15470CB7">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本项补充：</w:t>
      </w:r>
    </w:p>
    <w:p w14:paraId="7A085AE7">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关于付款周期的约定：按月计量支付进度款。</w:t>
      </w:r>
    </w:p>
    <w:p w14:paraId="48CE88AF">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17.3.2 进度款申请单</w:t>
      </w:r>
    </w:p>
    <w:p w14:paraId="63358744">
      <w:pPr>
        <w:snapToGrid w:val="0"/>
        <w:spacing w:line="360" w:lineRule="auto"/>
        <w:ind w:firstLine="420" w:firstLineChars="200"/>
        <w:jc w:val="left"/>
        <w:rPr>
          <w:rFonts w:hint="eastAsia" w:ascii="仿宋_GB2312" w:hAnsi="仿宋" w:eastAsia="仿宋_GB2312" w:cs="宋体"/>
          <w:kern w:val="0"/>
          <w:szCs w:val="21"/>
        </w:rPr>
      </w:pPr>
      <w:r>
        <w:rPr>
          <w:rFonts w:hint="eastAsia" w:ascii="仿宋_GB2312" w:hAnsi="仿宋" w:eastAsia="仿宋_GB2312" w:cs="宋体"/>
          <w:kern w:val="0"/>
          <w:szCs w:val="21"/>
        </w:rPr>
        <w:t>本项补充第 17.3.2.1目、第17.3.2.2目</w:t>
      </w:r>
    </w:p>
    <w:p w14:paraId="7029EE68">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17.3.2.1进度付款申请单应包括下列内容：</w:t>
      </w:r>
    </w:p>
    <w:p w14:paraId="2E36DC53">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（1）截至本次付款周期已完成工作对应的金额；</w:t>
      </w:r>
    </w:p>
    <w:p w14:paraId="63F40D67">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（2）根据第15条〔变更〕应增加和扣减的已审定变更金额；</w:t>
      </w:r>
    </w:p>
    <w:p w14:paraId="5F0AD283">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（3）根据第17.2款〔预付款〕约定应支付的预付款和扣减的返还预付款；</w:t>
      </w:r>
    </w:p>
    <w:p w14:paraId="1767F939">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szCs w:val="21"/>
        </w:rPr>
        <w:t>（4）根据第17.4款〔质量保证金〕约定应扣减的质量保证金；</w:t>
      </w:r>
    </w:p>
    <w:p w14:paraId="082BD214">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（5）根据第23条〔索赔〕应增加和扣减的已审定索赔金额；</w:t>
      </w:r>
    </w:p>
    <w:p w14:paraId="78AAF60C">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（6）根据第16条〔价格调整〕应增加和扣减的价格调整金额；</w:t>
      </w:r>
    </w:p>
    <w:p w14:paraId="5E3B5A94">
      <w:pPr>
        <w:snapToGrid w:val="0"/>
        <w:spacing w:line="360" w:lineRule="auto"/>
        <w:ind w:firstLine="480"/>
        <w:jc w:val="left"/>
        <w:rPr>
          <w:rFonts w:hint="eastAsia" w:ascii="仿宋_GB2312" w:hAnsi="仿宋" w:eastAsia="仿宋_GB2312" w:cs="宋体"/>
          <w:kern w:val="0"/>
          <w:szCs w:val="21"/>
        </w:rPr>
      </w:pPr>
      <w:r>
        <w:rPr>
          <w:rFonts w:hint="eastAsia" w:ascii="仿宋_GB2312" w:hAnsi="仿宋" w:eastAsia="仿宋_GB2312" w:cs="宋体"/>
          <w:kern w:val="0"/>
          <w:szCs w:val="21"/>
        </w:rPr>
        <w:t>（7）对已签发的进度款支付证书中出现错误的修正，应在本次进度付款中支付或扣除的金额；</w:t>
      </w:r>
    </w:p>
    <w:p w14:paraId="078FEF46">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（8）根据合同约定承包人应向发包人支付的违约金；</w:t>
      </w:r>
    </w:p>
    <w:p w14:paraId="09DC13F5">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（9）根据合同约定发包人应向承包人支付的违约金和（或）奖励；</w:t>
      </w:r>
    </w:p>
    <w:p w14:paraId="1430C2B4">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（10）根据合同约定应增加和扣减的其他金额。</w:t>
      </w:r>
    </w:p>
    <w:p w14:paraId="515EF579">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17.3.2.2进度付款申请单的提交：</w:t>
      </w:r>
    </w:p>
    <w:p w14:paraId="2559CB86">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1）单价合同进度付款申请单提交的约定：按照第17.1.4项〔单价子目的计量〕约定的时间按月向监理人提交，并附上已完成工程量报表、经审核的农民工工资发放的情况说明及有关资料。单价合同中的总价子目按工程形象进度分月计量后汇总列入当期进度付款申请单。</w:t>
      </w:r>
    </w:p>
    <w:p w14:paraId="672410F6">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（2）总价合同进度付款申请单提交的约定：按照合同约定的形象进度的计量约定的时间向监理人提交，并附上已完成工程量报表、经审核的农民工工资发放的情况说明及有关资料。</w:t>
      </w:r>
    </w:p>
    <w:p w14:paraId="5A565150">
      <w:pPr>
        <w:snapToGrid w:val="0"/>
        <w:spacing w:line="360" w:lineRule="auto"/>
        <w:ind w:firstLine="470"/>
        <w:jc w:val="left"/>
        <w:rPr>
          <w:rFonts w:hint="eastAsia" w:ascii="仿宋_GB2312" w:hAnsi="仿宋" w:eastAsia="仿宋_GB2312" w:cs="宋体"/>
          <w:kern w:val="0"/>
          <w:szCs w:val="21"/>
        </w:rPr>
      </w:pPr>
      <w:r>
        <w:rPr>
          <w:rFonts w:hint="eastAsia" w:ascii="仿宋_GB2312" w:hAnsi="仿宋" w:eastAsia="仿宋_GB2312" w:cs="宋体"/>
          <w:kern w:val="0"/>
          <w:szCs w:val="21"/>
        </w:rPr>
        <w:t>（3）其他价格形式合同进度付款申请单提交的约定：</w:t>
      </w:r>
      <w:r>
        <w:rPr>
          <w:rFonts w:hint="eastAsia" w:ascii="仿宋_GB2312" w:hAnsi="仿宋" w:eastAsia="仿宋_GB2312" w:cs="宋体"/>
          <w:kern w:val="0"/>
          <w:szCs w:val="21"/>
          <w:u w:val="single"/>
        </w:rPr>
        <w:t xml:space="preserve">        </w:t>
      </w:r>
      <w:r>
        <w:rPr>
          <w:rFonts w:hint="eastAsia" w:ascii="仿宋_GB2312" w:hAnsi="仿宋" w:eastAsia="仿宋_GB2312" w:cs="宋体"/>
          <w:kern w:val="0"/>
          <w:szCs w:val="21"/>
        </w:rPr>
        <w:t>。</w:t>
      </w:r>
    </w:p>
    <w:p w14:paraId="27019FAB">
      <w:pPr>
        <w:snapToGrid w:val="0"/>
        <w:spacing w:line="360" w:lineRule="auto"/>
        <w:ind w:firstLine="470"/>
        <w:jc w:val="left"/>
        <w:rPr>
          <w:rFonts w:hint="eastAsia" w:ascii="仿宋_GB2312" w:hAnsi="仿宋" w:eastAsia="仿宋_GB2312" w:cs="宋体"/>
          <w:kern w:val="0"/>
          <w:szCs w:val="21"/>
        </w:rPr>
      </w:pPr>
      <w:r>
        <w:rPr>
          <w:rFonts w:hint="eastAsia" w:ascii="宋体" w:hAnsi="宋体" w:cs="宋体"/>
          <w:kern w:val="0"/>
          <w:szCs w:val="21"/>
          <w:lang w:bidi="ar"/>
        </w:rPr>
        <w:t>17.3.3 进度付款证书和支付时间</w:t>
      </w:r>
    </w:p>
    <w:p w14:paraId="27D03EC5">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（1）监理人审查并报送发包人的期限：收到完整资料后7天内。</w:t>
      </w:r>
    </w:p>
    <w:p w14:paraId="0AAA8082">
      <w:pPr>
        <w:snapToGrid w:val="0"/>
        <w:spacing w:line="360" w:lineRule="auto"/>
        <w:ind w:firstLine="48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发包人完成审批并签发进度款支付证书的期限：发包人收到监理人报送资料后7天内完成审查并签发进度款支付证书。</w:t>
      </w:r>
    </w:p>
    <w:p w14:paraId="3DFDC566">
      <w:pPr>
        <w:snapToGrid w:val="0"/>
        <w:spacing w:line="360" w:lineRule="auto"/>
        <w:ind w:firstLine="480"/>
        <w:jc w:val="left"/>
        <w:rPr>
          <w:rFonts w:hint="eastAsia" w:ascii="仿宋_GB2312" w:hAnsi="宋体" w:eastAsia="仿宋_GB2312" w:cs="宋体"/>
          <w:kern w:val="0"/>
          <w:szCs w:val="21"/>
        </w:rPr>
      </w:pPr>
      <w:r>
        <w:rPr>
          <w:rFonts w:hint="eastAsia" w:ascii="仿宋_GB2312" w:hAnsi="宋体" w:eastAsia="仿宋_GB2312" w:cs="宋体"/>
          <w:kern w:val="0"/>
          <w:szCs w:val="21"/>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收到监理人报送资料后7天内完成审批并向承包人签发无异议部分的临时进度款支付证书。存在争议的部分，按照合同约定的争议解决的约定处理。</w:t>
      </w:r>
    </w:p>
    <w:p w14:paraId="66903842">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发包人签发进度款支付证书或临时进度款支付证书，不表明发包人已同意、批准或接受了承包人完成的相应部分的工作。</w:t>
      </w:r>
    </w:p>
    <w:p w14:paraId="465CA8E0">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（2）进度款支付：</w:t>
      </w:r>
    </w:p>
    <w:p w14:paraId="29140A63">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①发包人将上月农民工工资支付凭证作为当月进度款支付的前置条件，进度款支付应支持网上查询。</w:t>
      </w:r>
    </w:p>
    <w:p w14:paraId="039DFEB7">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②进度款按承包人当期完成并经监理人和发包人审定的工程量乘以相应综合单价计算当期完成的合同价款，发包人在收到承包人提交的发票后7日内按经监理人和发包人审定的当期完成的合同价款</w:t>
      </w:r>
      <w:r>
        <w:rPr>
          <w:rFonts w:hint="eastAsia" w:ascii="仿宋_GB2312" w:hAnsi="宋体" w:eastAsia="仿宋_GB2312" w:cs="宋体"/>
          <w:szCs w:val="21"/>
          <w:u w:val="single"/>
        </w:rPr>
        <w:t>（不含人工费价差和材料费价差）</w:t>
      </w:r>
      <w:r>
        <w:rPr>
          <w:rFonts w:hint="eastAsia" w:ascii="仿宋_GB2312" w:hAnsi="宋体" w:eastAsia="仿宋_GB2312" w:cs="宋体"/>
          <w:kern w:val="0"/>
          <w:szCs w:val="21"/>
          <w:u w:val="single"/>
        </w:rPr>
        <w:t>的    %（不低于80%）支付承包人。</w:t>
      </w:r>
    </w:p>
    <w:p w14:paraId="112567C7">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③暂估价、暂列金按承包人当期完成并经监理人和发包人审定的工程量乘以监理人和发包人审定的相应综合单价计算当期完成的价款，发包人在收到承包人提交的发票后7日内，按经监理人和发包人审定的当期完成价款的    %（不低于80%）纳入当期进度款支付承包人。</w:t>
      </w:r>
    </w:p>
    <w:p w14:paraId="1E75A958">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④人工、材料价差按    %（不低于80%）纳入当期进度支付，价差调整方式按16条约定执行。</w:t>
      </w:r>
    </w:p>
    <w:p w14:paraId="4DA1E879">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⑤进度每期付款证书最低限额：    %（不低于80%）签约合同价或    万元。</w:t>
      </w:r>
    </w:p>
    <w:p w14:paraId="08914552">
      <w:pPr>
        <w:snapToGrid w:val="0"/>
        <w:spacing w:line="360" w:lineRule="auto"/>
        <w:ind w:firstLine="420" w:firstLineChars="200"/>
        <w:jc w:val="left"/>
        <w:rPr>
          <w:rFonts w:hint="eastAsia" w:ascii="仿宋_GB2312" w:hAnsi="宋体" w:eastAsia="仿宋_GB2312" w:cs="宋体"/>
          <w:szCs w:val="21"/>
          <w:u w:val="single"/>
        </w:rPr>
      </w:pPr>
      <w:r>
        <w:rPr>
          <w:rFonts w:hint="eastAsia" w:ascii="仿宋_GB2312" w:hAnsi="宋体" w:eastAsia="仿宋_GB2312" w:cs="宋体"/>
          <w:kern w:val="0"/>
          <w:szCs w:val="21"/>
          <w:u w:val="single"/>
        </w:rPr>
        <w:t>⑥合同工程完工验收合格且收到承包人提交的发票后7日内，发包人向承包人支付至累计进度审定金额的    %（不低于80%）；移交完整的工程交工验收资料且收到承包人提交的发票后7日内，发包人向承包人支付至累计进度审定金额的    %（90%-95%）；完成交工结算后且收到承包人提交的发票后7日内，发包人扣留质量保证金后向承包人支付至交工结算合同总价的    %（95%-97%）；缺陷责任期满后5日内，发包人向承包人支付剩余工程款。</w:t>
      </w:r>
    </w:p>
    <w:p w14:paraId="60BEA690">
      <w:pPr>
        <w:snapToGrid w:val="0"/>
        <w:spacing w:line="360" w:lineRule="auto"/>
        <w:ind w:firstLine="420" w:firstLineChars="200"/>
        <w:jc w:val="left"/>
        <w:rPr>
          <w:rFonts w:hint="eastAsia" w:ascii="宋体" w:hAnsi="宋体" w:cs="宋体"/>
          <w:kern w:val="0"/>
          <w:szCs w:val="21"/>
          <w:u w:val="single"/>
        </w:rPr>
      </w:pPr>
      <w:r>
        <w:rPr>
          <w:rFonts w:hint="eastAsia" w:ascii="仿宋_GB2312" w:hAnsi="宋体" w:eastAsia="仿宋_GB2312" w:cs="宋体"/>
          <w:kern w:val="0"/>
          <w:szCs w:val="21"/>
          <w:u w:val="single"/>
        </w:rPr>
        <w:t>⑦发包人应按规定时间支付承包人费用，逾期付款违约金的利率：    ‰/天。</w:t>
      </w:r>
    </w:p>
    <w:p w14:paraId="000F1880">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17.3.5 项：</w:t>
      </w:r>
    </w:p>
    <w:p w14:paraId="6F0BB68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17.3.5 农民工工资保证金</w:t>
      </w:r>
    </w:p>
    <w:p w14:paraId="409F1713">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（1）为确保施工过程中农民工工资实时、足额发放到位，承包人应按照下列条款约定的时间和金额缴存农民工工资保证金。</w:t>
      </w:r>
    </w:p>
    <w:p w14:paraId="4AC8CE82">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农民工工资保证金的缴存时间：</w:t>
      </w:r>
      <w:r>
        <w:rPr>
          <w:rFonts w:hint="eastAsia" w:ascii="仿宋_GB2312" w:hAnsi="仿宋_GB2312" w:eastAsia="仿宋_GB2312" w:cs="仿宋_GB2312"/>
          <w:kern w:val="0"/>
          <w:szCs w:val="21"/>
          <w:u w:val="single"/>
          <w:lang w:bidi="ar"/>
        </w:rPr>
        <w:t xml:space="preserve">        </w:t>
      </w:r>
    </w:p>
    <w:p w14:paraId="1F248DD9">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农民工工资保证金的缴存金额：</w:t>
      </w:r>
      <w:r>
        <w:rPr>
          <w:rFonts w:hint="eastAsia" w:ascii="仿宋_GB2312" w:hAnsi="仿宋_GB2312" w:eastAsia="仿宋_GB2312" w:cs="仿宋_GB2312"/>
          <w:kern w:val="0"/>
          <w:szCs w:val="21"/>
          <w:u w:val="single"/>
          <w:lang w:bidi="ar"/>
        </w:rPr>
        <w:t xml:space="preserve">        </w:t>
      </w:r>
    </w:p>
    <w:p w14:paraId="432FDC9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（2）农民工工资保证金可采用银行保函或现金、支票形式。采用银行保函时，出具保函的银行须具有相应担保能力，且按照发包人批准的格式出具，所需费用由承包人承担。</w:t>
      </w:r>
    </w:p>
    <w:p w14:paraId="39D50E5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（3）农民工工资保证金的扣留条件、返还时间按照下列条款的约定执行。</w:t>
      </w:r>
    </w:p>
    <w:p w14:paraId="6EE32D70">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农民工工资保证金的扣留条件：</w:t>
      </w:r>
      <w:r>
        <w:rPr>
          <w:rFonts w:hint="eastAsia" w:ascii="仿宋_GB2312" w:hAnsi="仿宋_GB2312" w:eastAsia="仿宋_GB2312" w:cs="仿宋_GB2312"/>
          <w:kern w:val="0"/>
          <w:szCs w:val="21"/>
          <w:u w:val="single"/>
          <w:lang w:bidi="ar"/>
        </w:rPr>
        <w:t xml:space="preserve">        </w:t>
      </w:r>
    </w:p>
    <w:p w14:paraId="4B2CD1E9">
      <w:pPr>
        <w:widowControl/>
        <w:spacing w:line="360" w:lineRule="auto"/>
        <w:ind w:firstLine="420" w:firstLineChars="200"/>
        <w:jc w:val="left"/>
        <w:rPr>
          <w:rFonts w:hint="eastAsia" w:ascii="仿宋_GB2312" w:hAnsi="仿宋_GB2312" w:eastAsia="仿宋_GB2312" w:cs="仿宋_GB2312"/>
          <w:kern w:val="0"/>
          <w:szCs w:val="21"/>
          <w:lang w:bidi="ar"/>
        </w:rPr>
      </w:pPr>
      <w:r>
        <w:rPr>
          <w:rFonts w:hint="eastAsia" w:ascii="仿宋_GB2312" w:hAnsi="仿宋_GB2312" w:eastAsia="仿宋_GB2312" w:cs="仿宋_GB2312"/>
          <w:kern w:val="0"/>
          <w:szCs w:val="21"/>
          <w:lang w:bidi="ar"/>
        </w:rPr>
        <w:t>农民工工资保证金的返还时间：</w:t>
      </w:r>
      <w:r>
        <w:rPr>
          <w:rFonts w:hint="eastAsia" w:ascii="仿宋_GB2312" w:hAnsi="仿宋_GB2312" w:eastAsia="仿宋_GB2312" w:cs="仿宋_GB2312"/>
          <w:kern w:val="0"/>
          <w:szCs w:val="21"/>
          <w:u w:val="single"/>
          <w:lang w:bidi="ar"/>
        </w:rPr>
        <w:t xml:space="preserve">        </w:t>
      </w:r>
    </w:p>
    <w:p w14:paraId="73C979FA">
      <w:pPr>
        <w:widowControl/>
        <w:spacing w:line="360" w:lineRule="auto"/>
        <w:ind w:firstLine="420" w:firstLineChars="200"/>
        <w:jc w:val="left"/>
        <w:rPr>
          <w:rFonts w:hint="eastAsia" w:ascii="宋体" w:hAnsi="宋体" w:eastAsia="仿宋_GB2312" w:cs="宋体"/>
          <w:kern w:val="0"/>
          <w:szCs w:val="21"/>
          <w:lang w:bidi="ar"/>
        </w:rPr>
      </w:pPr>
      <w:r>
        <w:rPr>
          <w:rFonts w:hint="eastAsia" w:ascii="仿宋_GB2312" w:hAnsi="宋体" w:eastAsia="仿宋_GB2312" w:cs="宋体"/>
          <w:kern w:val="0"/>
          <w:szCs w:val="21"/>
        </w:rPr>
        <w:t>发包人应按行业主管部门的相关规定将合同价款支付至承包人指定的开户银行及银行账户。</w:t>
      </w:r>
    </w:p>
    <w:p w14:paraId="06F42053">
      <w:pPr>
        <w:pStyle w:val="6"/>
        <w:spacing w:before="0" w:beforeAutospacing="0" w:after="0" w:afterAutospacing="0" w:line="360" w:lineRule="auto"/>
        <w:rPr>
          <w:rFonts w:hint="eastAsia"/>
        </w:rPr>
      </w:pPr>
      <w:r>
        <w:rPr>
          <w:rFonts w:hint="eastAsia"/>
        </w:rPr>
        <w:t xml:space="preserve">17.4 质量保证金 </w:t>
      </w:r>
    </w:p>
    <w:p w14:paraId="752D411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17.4.1 项、第 17.4.2 项细化为：</w:t>
      </w:r>
    </w:p>
    <w:p w14:paraId="3E5A6EB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17.4.1 交工验收证书签发后 14 天内，承包人应向发包人交纳质量保证金。质量保证金可采用银行保函或现金、支票形式，金额应符合专用合同条款的规定。采用银行保函时，出具保函的银行须具有相应担保能力，且按照发包人批准的格式出具，所需费用由承包人承担。</w:t>
      </w:r>
    </w:p>
    <w:p w14:paraId="61B6A9C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质量保证金采用现金、支票形式提交的，发包人应在专用合同条款中明确是否计付利息以及利息的计算方式。</w:t>
      </w:r>
    </w:p>
    <w:p w14:paraId="44E83081">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承包人提供质量保证金的方式：</w:t>
      </w:r>
    </w:p>
    <w:p w14:paraId="1B967815">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保证金金额为：</w:t>
      </w:r>
      <w:r>
        <w:rPr>
          <w:rFonts w:hint="eastAsia" w:ascii="仿宋_GB2312" w:hAnsi="宋体" w:eastAsia="仿宋_GB2312" w:cs="宋体"/>
          <w:kern w:val="0"/>
          <w:szCs w:val="21"/>
          <w:u w:val="single"/>
        </w:rPr>
        <w:t>完工结算总价的1.5%，</w:t>
      </w:r>
      <w:r>
        <w:rPr>
          <w:rFonts w:hint="eastAsia" w:ascii="仿宋_GB2312" w:hAnsi="宋体" w:eastAsia="仿宋_GB2312" w:cs="宋体"/>
          <w:szCs w:val="21"/>
        </w:rPr>
        <w:t>提交时间：</w:t>
      </w:r>
      <w:r>
        <w:rPr>
          <w:rFonts w:hint="eastAsia" w:ascii="仿宋_GB2312" w:hAnsi="宋体" w:eastAsia="仿宋_GB2312" w:cs="宋体"/>
          <w:szCs w:val="21"/>
          <w:u w:val="single"/>
        </w:rPr>
        <w:t>交工验收证书签发后14天内</w:t>
      </w:r>
      <w:r>
        <w:rPr>
          <w:rFonts w:hint="eastAsia" w:ascii="仿宋_GB2312" w:hAnsi="宋体" w:eastAsia="仿宋_GB2312" w:cs="宋体"/>
          <w:szCs w:val="21"/>
        </w:rPr>
        <w:t>。</w:t>
      </w:r>
    </w:p>
    <w:p w14:paraId="293CE28C">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质量保证金采用以下第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种方式提交：</w:t>
      </w:r>
    </w:p>
    <w:p w14:paraId="744D1C19">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（1）质量保证金保函</w:t>
      </w:r>
    </w:p>
    <w:p w14:paraId="77292365">
      <w:pPr>
        <w:spacing w:line="360" w:lineRule="auto"/>
        <w:ind w:firstLine="420" w:firstLineChars="200"/>
        <w:rPr>
          <w:rFonts w:hint="eastAsia" w:ascii="仿宋_GB2312" w:hAnsi="宋体" w:eastAsia="仿宋_GB2312" w:cs="宋体"/>
          <w:kern w:val="0"/>
          <w:szCs w:val="21"/>
          <w:u w:val="single"/>
        </w:rPr>
      </w:pPr>
      <w:r>
        <w:rPr>
          <w:rFonts w:hint="eastAsia" w:ascii="仿宋_GB2312" w:hAnsi="宋体" w:eastAsia="仿宋_GB2312" w:cs="宋体"/>
          <w:kern w:val="0"/>
          <w:szCs w:val="21"/>
          <w:u w:val="single"/>
        </w:rPr>
        <w:t>1）缴纳形式：质量保证金保函包括银行保函、保证保险和担保保函，其示范文本详见合同附件。承包人提交的质量保证金保函应严格执行其示范文本，不得对示范文本中的实质性内容进行修改。</w:t>
      </w:r>
    </w:p>
    <w:p w14:paraId="6DC1CCF9">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u w:val="single"/>
        </w:rPr>
        <w:t>2）具体要求：质量保证金保函的开立人应当是具有相应资格的银行、保险机构、融资担保公司，其信用资质、履约能力、担保能力、赔付流程、安全保密等应符合工程保函业务条件。质量保证金保函应合法合规，符合招投标行政监督部门、行业主管部门和金融监管部门的相关规定，满足招标文件约定要求。承包人应选择在渝依法设立总部或者设有分支机构的金融机构开具质量保证金保函（包括纸质保函或电子保函）。质量保证金保函为纸质保函的，承包人应提供该纸质保函在重庆市辖区范围内的核验地址和核验方式，并确保该纸质保函能在开立人在渝的总部或者分支机构进行核验。承包人对所提交的质量保证金保函的真实性、合法性、有效性负责。</w:t>
      </w:r>
    </w:p>
    <w:p w14:paraId="76EF2EB9">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（2）现金、支票、转账形式；</w:t>
      </w:r>
    </w:p>
    <w:p w14:paraId="7219AB29">
      <w:pPr>
        <w:spacing w:line="360" w:lineRule="auto"/>
        <w:ind w:firstLine="420" w:firstLineChars="200"/>
        <w:rPr>
          <w:rFonts w:hint="eastAsia" w:ascii="宋体" w:hAnsi="宋体" w:cs="宋体"/>
          <w:kern w:val="0"/>
          <w:szCs w:val="21"/>
        </w:rPr>
      </w:pPr>
      <w:r>
        <w:rPr>
          <w:rFonts w:hint="eastAsia" w:ascii="仿宋_GB2312" w:hAnsi="宋体" w:eastAsia="仿宋_GB2312" w:cs="宋体"/>
          <w:kern w:val="0"/>
          <w:szCs w:val="21"/>
        </w:rPr>
        <w:t>（3）其他方式:</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0D6C358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17.4.2 在第 1.1.4.5 目约定的缺陷责任期满，且质量监督机构已按规定对工程质量检测鉴定合格，承包人向发包人申请到期应返还承包人剩余的质量保证金金额， 发包人应在5天内会同承包人按照合同约定的内容核实承包人是否完成缺陷责任。 如无异议，发包人应当在核实后将剩余保证金返还承包人。</w:t>
      </w:r>
    </w:p>
    <w:p w14:paraId="7E603E2B">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质量保证金的退还：</w:t>
      </w:r>
    </w:p>
    <w:p w14:paraId="080C2BEB">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（1）</w:t>
      </w:r>
      <w:r>
        <w:rPr>
          <w:rFonts w:hint="eastAsia" w:ascii="仿宋_GB2312" w:hAnsi="宋体" w:eastAsia="仿宋_GB2312" w:cs="宋体"/>
          <w:szCs w:val="21"/>
        </w:rPr>
        <w:t>质量保证金保函：</w:t>
      </w:r>
      <w:r>
        <w:rPr>
          <w:rFonts w:hint="eastAsia" w:ascii="仿宋_GB2312" w:hAnsi="宋体" w:eastAsia="仿宋_GB2312" w:cs="宋体"/>
          <w:kern w:val="0"/>
          <w:szCs w:val="21"/>
          <w:u w:val="single"/>
        </w:rPr>
        <w:t>在发包人颁发缺陷责任期终止证书之日起5天内退还</w:t>
      </w:r>
      <w:r>
        <w:rPr>
          <w:rFonts w:hint="eastAsia" w:ascii="仿宋_GB2312" w:hAnsi="宋体" w:eastAsia="仿宋_GB2312" w:cs="宋体"/>
          <w:kern w:val="0"/>
          <w:szCs w:val="21"/>
        </w:rPr>
        <w:t>。</w:t>
      </w:r>
    </w:p>
    <w:p w14:paraId="4F73DED6">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（2）缺陷责任期内，承包人认真履行合同约定的责任，到期后，承包人可向发包人申请返还质量保证金。</w:t>
      </w:r>
    </w:p>
    <w:p w14:paraId="025732F2">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（3）质量保证金是否支付利息采取以下第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w:t>
      </w:r>
    </w:p>
    <w:p w14:paraId="1D038542">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①</w:t>
      </w:r>
      <w:r>
        <w:rPr>
          <w:rFonts w:hint="eastAsia" w:ascii="仿宋_GB2312" w:hAnsi="宋体" w:eastAsia="仿宋_GB2312" w:cs="宋体"/>
          <w:szCs w:val="21"/>
        </w:rPr>
        <w:t>按照中国人民银行</w:t>
      </w:r>
      <w:r>
        <w:rPr>
          <w:rFonts w:hint="eastAsia" w:ascii="仿宋_GB2312" w:hAnsi="宋体" w:eastAsia="仿宋_GB2312" w:cs="宋体"/>
          <w:szCs w:val="21"/>
          <w:u w:val="single"/>
        </w:rPr>
        <w:t xml:space="preserve">   </w:t>
      </w:r>
      <w:r>
        <w:rPr>
          <w:rFonts w:hint="eastAsia" w:ascii="仿宋_GB2312" w:hAnsi="宋体" w:eastAsia="仿宋_GB2312" w:cs="宋体"/>
          <w:szCs w:val="21"/>
        </w:rPr>
        <w:t>年</w:t>
      </w:r>
      <w:r>
        <w:rPr>
          <w:rFonts w:hint="eastAsia" w:ascii="仿宋_GB2312" w:hAnsi="宋体" w:eastAsia="仿宋_GB2312" w:cs="宋体"/>
          <w:szCs w:val="21"/>
          <w:u w:val="single"/>
        </w:rPr>
        <w:t xml:space="preserve">   </w:t>
      </w:r>
      <w:r>
        <w:rPr>
          <w:rFonts w:hint="eastAsia" w:ascii="仿宋_GB2312" w:hAnsi="宋体" w:eastAsia="仿宋_GB2312" w:cs="宋体"/>
          <w:szCs w:val="21"/>
        </w:rPr>
        <w:t>月公布的</w:t>
      </w:r>
      <w:r>
        <w:rPr>
          <w:rFonts w:hint="eastAsia" w:ascii="仿宋_GB2312" w:hAnsi="宋体" w:eastAsia="仿宋_GB2312" w:cs="宋体"/>
          <w:szCs w:val="21"/>
          <w:u w:val="single"/>
        </w:rPr>
        <w:t xml:space="preserve">   </w:t>
      </w:r>
      <w:r>
        <w:rPr>
          <w:rFonts w:hint="eastAsia" w:ascii="仿宋_GB2312" w:hAnsi="宋体" w:eastAsia="仿宋_GB2312" w:cs="宋体"/>
          <w:szCs w:val="21"/>
        </w:rPr>
        <w:t>年期贷款市场报价利率支付利息。</w:t>
      </w:r>
    </w:p>
    <w:p w14:paraId="3CDF0EF4">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②不采用。</w:t>
      </w:r>
    </w:p>
    <w:p w14:paraId="11D1E92E">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本款补充第 17.4.4 项：</w:t>
      </w:r>
    </w:p>
    <w:p w14:paraId="020F79A6">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rPr>
        <w:t>17.4.4 承包人拒绝按照本合同约定交纳质量保证金的，发包人有权从交工付款证书中扣留相应金额作为质量保证金，或者直接将履约保证金相应金额用于保证承包人在缺陷责任期内履行缺陷修复义务。</w:t>
      </w:r>
    </w:p>
    <w:p w14:paraId="43E6E7DE">
      <w:pPr>
        <w:pStyle w:val="6"/>
        <w:spacing w:before="0" w:beforeAutospacing="0" w:after="0" w:afterAutospacing="0" w:line="360" w:lineRule="auto"/>
        <w:rPr>
          <w:rFonts w:hint="eastAsia"/>
        </w:rPr>
      </w:pPr>
      <w:r>
        <w:rPr>
          <w:rFonts w:hint="eastAsia"/>
        </w:rPr>
        <w:t>17.5 交工结算</w:t>
      </w:r>
    </w:p>
    <w:p w14:paraId="4F8A587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17.5.1 交工付款申请单</w:t>
      </w:r>
    </w:p>
    <w:p w14:paraId="0C229C4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本项（1）目约定为：</w:t>
      </w:r>
    </w:p>
    <w:p w14:paraId="3A2A8FE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承包人向监理人提交交工付款申请单（包括相关证明材料）的份数:</w:t>
      </w:r>
      <w:r>
        <w:rPr>
          <w:rFonts w:hint="eastAsia" w:ascii="宋体" w:hAnsi="宋体" w:cs="宋体"/>
          <w:kern w:val="0"/>
          <w:szCs w:val="21"/>
          <w:u w:val="single"/>
          <w:lang w:bidi="ar"/>
        </w:rPr>
        <w:t xml:space="preserve">      </w:t>
      </w:r>
      <w:r>
        <w:rPr>
          <w:rFonts w:hint="eastAsia" w:ascii="宋体" w:hAnsi="宋体" w:cs="宋体"/>
          <w:kern w:val="0"/>
          <w:szCs w:val="21"/>
          <w:lang w:bidi="ar"/>
        </w:rPr>
        <w:t>；期限：交工验收证书签发后 42 天内。</w:t>
      </w:r>
    </w:p>
    <w:p w14:paraId="71EFBB52">
      <w:pPr>
        <w:spacing w:line="360" w:lineRule="auto"/>
        <w:ind w:right="248" w:firstLine="480"/>
        <w:rPr>
          <w:rFonts w:hint="eastAsia" w:ascii="仿宋_GB2312" w:hAnsi="宋体" w:eastAsia="仿宋_GB2312" w:cs="宋体"/>
          <w:szCs w:val="21"/>
        </w:rPr>
      </w:pPr>
      <w:r>
        <w:rPr>
          <w:rFonts w:hint="eastAsia" w:ascii="仿宋_GB2312" w:hAnsi="宋体" w:eastAsia="仿宋_GB2312" w:cs="宋体"/>
          <w:kern w:val="0"/>
          <w:szCs w:val="21"/>
        </w:rPr>
        <w:t>监理人或发包人对交工付款申请单有异议的，应在接到交工付款申请单后14天内要求承包人进行修正和提供补充资料，承包人在接到监理人或发包人提出的审核意见后，应在28天内按监理人或发包人提出的合理要求补充资料、修改交工结算资料，并再次提交监理人或发包人审核。承包人未在规定时间内报送交工结算资料给发包人造成经济损失的，承包人应承担赔偿责任。</w:t>
      </w:r>
    </w:p>
    <w:p w14:paraId="4C0707D2">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交工付款申请单</w:t>
      </w:r>
      <w:r>
        <w:rPr>
          <w:rFonts w:hint="eastAsia" w:ascii="仿宋_GB2312" w:hAnsi="宋体" w:eastAsia="仿宋_GB2312" w:cs="宋体"/>
          <w:kern w:val="0"/>
          <w:szCs w:val="21"/>
        </w:rPr>
        <w:t>包括但不限于以下内容：</w:t>
      </w:r>
    </w:p>
    <w:p w14:paraId="7719B217">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（1）</w:t>
      </w:r>
      <w:r>
        <w:rPr>
          <w:rFonts w:hint="eastAsia" w:ascii="仿宋_GB2312" w:hAnsi="宋体" w:eastAsia="仿宋_GB2312" w:cs="宋体"/>
          <w:szCs w:val="21"/>
        </w:rPr>
        <w:t>交工</w:t>
      </w:r>
      <w:r>
        <w:rPr>
          <w:rFonts w:hint="eastAsia" w:ascii="仿宋_GB2312" w:hAnsi="宋体" w:eastAsia="仿宋_GB2312" w:cs="宋体"/>
          <w:kern w:val="0"/>
          <w:szCs w:val="21"/>
        </w:rPr>
        <w:t>结算合同价格；</w:t>
      </w:r>
    </w:p>
    <w:p w14:paraId="20B71032">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（2）变更增减金额；</w:t>
      </w:r>
    </w:p>
    <w:p w14:paraId="6B7D9866">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（3）现场签证增减金额；</w:t>
      </w:r>
    </w:p>
    <w:p w14:paraId="191286A0">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（4）价格调整；</w:t>
      </w:r>
    </w:p>
    <w:p w14:paraId="6EC54485">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（5）索赔增减金额；</w:t>
      </w:r>
    </w:p>
    <w:p w14:paraId="0DB207E6">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（6）奖励、罚金及违约金；</w:t>
      </w:r>
    </w:p>
    <w:p w14:paraId="527066DE">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（7）发包人已支付承包人的款项；</w:t>
      </w:r>
    </w:p>
    <w:p w14:paraId="5DFDA82A">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（8）应扣留的质量保证金；</w:t>
      </w:r>
    </w:p>
    <w:p w14:paraId="3367A854">
      <w:pPr>
        <w:snapToGrid w:val="0"/>
        <w:spacing w:line="360" w:lineRule="auto"/>
        <w:ind w:firstLine="470"/>
        <w:jc w:val="left"/>
        <w:rPr>
          <w:rFonts w:hint="eastAsia" w:ascii="仿宋_GB2312" w:hAnsi="宋体" w:eastAsia="仿宋_GB2312" w:cs="宋体"/>
          <w:kern w:val="0"/>
          <w:szCs w:val="21"/>
        </w:rPr>
      </w:pPr>
      <w:r>
        <w:rPr>
          <w:rFonts w:hint="eastAsia" w:ascii="仿宋_GB2312" w:hAnsi="宋体" w:eastAsia="仿宋_GB2312" w:cs="宋体"/>
          <w:kern w:val="0"/>
          <w:szCs w:val="21"/>
        </w:rPr>
        <w:t>（9）发包人应支付承包人的合同价款。</w:t>
      </w:r>
    </w:p>
    <w:p w14:paraId="5D6F7811">
      <w:pPr>
        <w:snapToGrid w:val="0"/>
        <w:spacing w:line="360" w:lineRule="auto"/>
        <w:ind w:firstLine="470"/>
        <w:jc w:val="left"/>
        <w:rPr>
          <w:rFonts w:hint="eastAsia" w:ascii="仿宋_GB2312" w:hAnsi="宋体" w:eastAsia="仿宋_GB2312" w:cs="宋体"/>
          <w:szCs w:val="21"/>
        </w:rPr>
      </w:pPr>
      <w:r>
        <w:rPr>
          <w:rFonts w:hint="eastAsia" w:ascii="仿宋_GB2312" w:hAnsi="宋体" w:eastAsia="仿宋_GB2312" w:cs="宋体"/>
          <w:kern w:val="0"/>
          <w:szCs w:val="21"/>
        </w:rPr>
        <w:t>（10）</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3D52854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17.5.2 交工付款证书及支付时间</w:t>
      </w:r>
    </w:p>
    <w:p w14:paraId="1B2C4C3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14:paraId="2EEF640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发包人应在监理人出具交工付款证书且承包人提交了合格的增值税专用发票后的 14 天内，将应支付款支付给承包人。发包人不按期支付的，按第 17.3.3（2）目的约定，将逾期付款违约金支付给承包人。</w:t>
      </w:r>
    </w:p>
    <w:p w14:paraId="0345A92C">
      <w:pPr>
        <w:pStyle w:val="6"/>
        <w:spacing w:before="0" w:beforeAutospacing="0" w:after="0" w:afterAutospacing="0" w:line="360" w:lineRule="auto"/>
        <w:rPr>
          <w:rFonts w:hint="eastAsia"/>
        </w:rPr>
      </w:pPr>
      <w:r>
        <w:rPr>
          <w:rFonts w:hint="eastAsia"/>
        </w:rPr>
        <w:t>17.6 最终结清</w:t>
      </w:r>
    </w:p>
    <w:p w14:paraId="73F124A0">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17.6.1 最终结清申请单</w:t>
      </w:r>
    </w:p>
    <w:p w14:paraId="16FDD15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本项（1）目约定为：</w:t>
      </w:r>
    </w:p>
    <w:p w14:paraId="6562C32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承包人向监理人提交最终结清申请单（包括相关证明材料）的份数        ；期限：缺陷责任期终止证书签发后 28 天内。</w:t>
      </w:r>
    </w:p>
    <w:p w14:paraId="70C0A4D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最终结清申请单中的总金额应认为是代表了根据合同规定应付给承包人的全部款项的最后结算。</w:t>
      </w:r>
    </w:p>
    <w:p w14:paraId="4F11ABF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17.6.2 最终结清证书和支付时间</w:t>
      </w:r>
    </w:p>
    <w:p w14:paraId="063C061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14:paraId="6B6AA5A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（2）发包人应在监理人出具最终结清证书且承包人提交了合格的增值税专用发票后的 14 天内，将应支付款支付给承包人。发包人不按期支付的，按第 17.3.3（2）目的约定，将逾期付款违约金支付给承包人。</w:t>
      </w:r>
    </w:p>
    <w:p w14:paraId="172307D5">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17.6.3 项：</w:t>
      </w:r>
    </w:p>
    <w:p w14:paraId="3B2830EF">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17.6.3 逾期办理或不配合办理完工结算的处理</w:t>
      </w:r>
    </w:p>
    <w:p w14:paraId="385B7828">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有下列情形之一的，视为承包人放弃与发包人共同办理完工结算的权利，发包人有权会同审计单位、监理人根据有效资料共同确定完工结算金额。</w:t>
      </w:r>
    </w:p>
    <w:p w14:paraId="18F20B6D">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（1）承包人具备报送条件但逾期未报送完工结算资料，亦未获得发包人批准延期报送，经发包人两次书面催告仍未在限期内报送的。</w:t>
      </w:r>
    </w:p>
    <w:p w14:paraId="2694C224">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承包人在接到监理人或发包人对交工付款申请单提出的审核意见后，未在限期内按监理人或发包人提出的合理要求补充资料和（或）修改完工结算资料，亦未获得发包人批准延期报送，经发包人两次书面催告仍未在限期内报送的。</w:t>
      </w:r>
    </w:p>
    <w:p w14:paraId="3AF846E1">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（3）承包人不配合发包人、审计单位、监理人、发包人委托的工程造价咨询服务单位办理完工结算的，经发包人两次书面函告仍未改正的。</w:t>
      </w:r>
    </w:p>
    <w:p w14:paraId="15161EE8">
      <w:pPr>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发包人应在完工结算定案表确定后28天内，以书面函件形式将完工结算定案表函告承包人，该定案表自送达之日起生效。该书面函件应采用直接送达方式送达，双方应办理书面签收手续，承包人实际签收日期为送达之日；若承包人拒绝签收的，视为已经送达，以该书面函件载明的签发日期为送达之日。</w:t>
      </w:r>
    </w:p>
    <w:p w14:paraId="2F7583EA">
      <w:pPr>
        <w:pStyle w:val="5"/>
        <w:spacing w:before="0" w:after="0" w:line="360" w:lineRule="auto"/>
        <w:rPr>
          <w:rFonts w:hint="eastAsia" w:ascii="宋体" w:hAnsi="宋体"/>
        </w:rPr>
      </w:pPr>
      <w:bookmarkStart w:id="643" w:name="_Toc3444"/>
      <w:bookmarkStart w:id="644" w:name="_Toc57795982"/>
      <w:bookmarkStart w:id="645" w:name="_Toc26301"/>
      <w:bookmarkStart w:id="646" w:name="_Toc24477"/>
      <w:r>
        <w:rPr>
          <w:rFonts w:hint="eastAsia" w:ascii="宋体" w:hAnsi="宋体"/>
        </w:rPr>
        <w:t>18、竣工验收</w:t>
      </w:r>
      <w:bookmarkEnd w:id="643"/>
      <w:bookmarkEnd w:id="644"/>
      <w:bookmarkEnd w:id="645"/>
      <w:bookmarkEnd w:id="646"/>
    </w:p>
    <w:p w14:paraId="646B1686">
      <w:pPr>
        <w:pStyle w:val="6"/>
        <w:spacing w:before="0" w:beforeAutospacing="0" w:after="0" w:afterAutospacing="0" w:line="360" w:lineRule="auto"/>
        <w:rPr>
          <w:rFonts w:hint="eastAsia"/>
        </w:rPr>
      </w:pPr>
      <w:r>
        <w:rPr>
          <w:rFonts w:hint="eastAsia"/>
        </w:rPr>
        <w:t>18.2 交工验收申请报告</w:t>
      </w:r>
    </w:p>
    <w:p w14:paraId="66DE12F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本款第（2）项约定为：</w:t>
      </w:r>
    </w:p>
    <w:p w14:paraId="48C03CA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竣工资料的内容：承包人应按照《公路工程竣（交）工验收办法》和相关规定编制竣工资料。</w:t>
      </w:r>
    </w:p>
    <w:p w14:paraId="05DC31A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竣工资料的份数：</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72BF6EAC">
      <w:pPr>
        <w:pStyle w:val="6"/>
        <w:spacing w:before="0" w:beforeAutospacing="0" w:after="0" w:afterAutospacing="0" w:line="360" w:lineRule="auto"/>
        <w:rPr>
          <w:rFonts w:hint="eastAsia"/>
        </w:rPr>
      </w:pPr>
      <w:r>
        <w:rPr>
          <w:rFonts w:hint="eastAsia"/>
        </w:rPr>
        <w:t xml:space="preserve">18.3 验收 </w:t>
      </w:r>
    </w:p>
    <w:p w14:paraId="60FCB41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18.3.2 项补充：</w:t>
      </w:r>
    </w:p>
    <w:p w14:paraId="686A2C6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交工验收由发包人主持，由发包人、监理人、质监、设计、施工、运营、管理养护等有关部门代表组成交工验收小组，对本项目的工程质量进行评定，并写出交工验收报告报交通运输主管部门备案。承包人应按发包人的要求提交竣工资料，完成交工验收准备工作。</w:t>
      </w:r>
    </w:p>
    <w:p w14:paraId="6A9D0DD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18.3.5 项约定为：</w:t>
      </w:r>
    </w:p>
    <w:p w14:paraId="4C661490">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经验收合格工程的实际交工日期，以最终提交交工验收申请报告的日期为准，并在交工验收证书中写明。</w:t>
      </w:r>
    </w:p>
    <w:p w14:paraId="7754FA5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本款补充第 18.3.7 项：</w:t>
      </w:r>
    </w:p>
    <w:p w14:paraId="05DD692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组织办理交工验收和签发交工验收证书的费用由发包人承担。但按照第 18.3.4 项规定达不到合格标准的交工验收费用由承包人承担。</w:t>
      </w:r>
    </w:p>
    <w:p w14:paraId="6253284A">
      <w:pPr>
        <w:pStyle w:val="6"/>
        <w:spacing w:before="0" w:beforeAutospacing="0" w:after="0" w:afterAutospacing="0" w:line="360" w:lineRule="auto"/>
        <w:rPr>
          <w:rFonts w:hint="eastAsia" w:ascii="仿宋_GB2312" w:eastAsia="仿宋_GB2312"/>
        </w:rPr>
      </w:pPr>
      <w:r>
        <w:rPr>
          <w:rFonts w:hint="eastAsia" w:ascii="仿宋_GB2312" w:eastAsia="仿宋_GB2312"/>
        </w:rPr>
        <w:t>18.5 施工期运行</w:t>
      </w:r>
    </w:p>
    <w:p w14:paraId="2E34D0A9">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第 18.5.1 项细化为：</w:t>
      </w:r>
    </w:p>
    <w:p w14:paraId="50690E49">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单位工程或工程设备是否需投入施工期运行：□是□否</w:t>
      </w:r>
    </w:p>
    <w:p w14:paraId="6706A15F">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如单位工程或工程设备需要进行施工期运行，需要施工期运行的单位工程或</w:t>
      </w:r>
    </w:p>
    <w:p w14:paraId="29279C89">
      <w:pPr>
        <w:spacing w:line="360" w:lineRule="auto"/>
        <w:ind w:firstLine="420" w:firstLineChars="200"/>
        <w:rPr>
          <w:rFonts w:hint="eastAsia" w:ascii="仿宋_GB2312" w:hAnsi="宋体" w:eastAsia="仿宋_GB2312"/>
          <w:szCs w:val="21"/>
          <w:u w:val="single"/>
        </w:rPr>
      </w:pPr>
      <w:r>
        <w:rPr>
          <w:rFonts w:hint="eastAsia" w:ascii="仿宋_GB2312" w:hAnsi="宋体" w:eastAsia="仿宋_GB2312"/>
          <w:szCs w:val="21"/>
        </w:rPr>
        <w:t>工程设备规定如下：</w:t>
      </w:r>
      <w:r>
        <w:rPr>
          <w:rFonts w:hint="eastAsia" w:ascii="仿宋_GB2312" w:hAnsi="宋体" w:eastAsia="仿宋_GB2312"/>
          <w:szCs w:val="21"/>
          <w:u w:val="single"/>
        </w:rPr>
        <w:t xml:space="preserve">                      </w:t>
      </w:r>
    </w:p>
    <w:p w14:paraId="32E85332">
      <w:pPr>
        <w:pStyle w:val="6"/>
        <w:spacing w:before="0" w:beforeAutospacing="0" w:after="0" w:afterAutospacing="0" w:line="360" w:lineRule="auto"/>
        <w:rPr>
          <w:rFonts w:hint="eastAsia" w:ascii="仿宋_GB2312" w:eastAsia="仿宋_GB2312"/>
        </w:rPr>
      </w:pPr>
      <w:r>
        <w:rPr>
          <w:rFonts w:hint="eastAsia" w:ascii="仿宋_GB2312" w:eastAsia="仿宋_GB2312"/>
        </w:rPr>
        <w:t>18.6 试运行</w:t>
      </w:r>
    </w:p>
    <w:p w14:paraId="22840DA4">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第 18.6.1 项细化为：</w:t>
      </w:r>
    </w:p>
    <w:p w14:paraId="0D5E6390">
      <w:pPr>
        <w:spacing w:line="360" w:lineRule="auto"/>
        <w:ind w:firstLine="420" w:firstLineChars="200"/>
        <w:rPr>
          <w:rFonts w:hint="eastAsia" w:ascii="仿宋_GB2312" w:hAnsi="宋体" w:eastAsia="仿宋_GB2312"/>
          <w:szCs w:val="21"/>
        </w:rPr>
      </w:pPr>
      <w:r>
        <w:rPr>
          <w:rFonts w:hint="eastAsia" w:ascii="仿宋_GB2312" w:hAnsi="宋体" w:eastAsia="仿宋_GB2312"/>
          <w:szCs w:val="21"/>
        </w:rPr>
        <w:t>本工程及工程设备是否进行试运行：是。</w:t>
      </w:r>
    </w:p>
    <w:p w14:paraId="4309C0C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本条补充第 18.9 款：</w:t>
      </w:r>
    </w:p>
    <w:p w14:paraId="24B3D029">
      <w:pPr>
        <w:pStyle w:val="6"/>
        <w:spacing w:before="0" w:beforeAutospacing="0" w:after="0" w:afterAutospacing="0" w:line="360" w:lineRule="auto"/>
        <w:rPr>
          <w:rFonts w:hint="eastAsia"/>
        </w:rPr>
      </w:pPr>
      <w:r>
        <w:rPr>
          <w:rFonts w:hint="eastAsia"/>
        </w:rPr>
        <w:t>18.9 竣工文件</w:t>
      </w:r>
    </w:p>
    <w:p w14:paraId="2ED9A8C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承包人应按照《公路工程竣（交）工验收办法》的相关规定，在缺陷责任期内为竣工验收补充竣工资料，并在签发缺陷责任期终止证书之前提交。</w:t>
      </w:r>
    </w:p>
    <w:p w14:paraId="14DE2B18">
      <w:pPr>
        <w:pStyle w:val="5"/>
        <w:spacing w:before="0" w:after="0" w:line="360" w:lineRule="auto"/>
        <w:rPr>
          <w:rFonts w:hint="eastAsia" w:ascii="宋体" w:hAnsi="宋体"/>
        </w:rPr>
      </w:pPr>
      <w:bookmarkStart w:id="647" w:name="_Toc19735"/>
      <w:bookmarkStart w:id="648" w:name="_Toc31675"/>
      <w:bookmarkStart w:id="649" w:name="_Toc57795983"/>
      <w:bookmarkStart w:id="650" w:name="_Toc27442"/>
      <w:r>
        <w:rPr>
          <w:rFonts w:hint="eastAsia" w:ascii="宋体" w:hAnsi="宋体"/>
        </w:rPr>
        <w:t>19、缺陷责任与保修责任</w:t>
      </w:r>
      <w:bookmarkEnd w:id="647"/>
      <w:bookmarkEnd w:id="648"/>
      <w:bookmarkEnd w:id="649"/>
      <w:bookmarkEnd w:id="650"/>
    </w:p>
    <w:p w14:paraId="69AE27B4">
      <w:pPr>
        <w:pStyle w:val="6"/>
        <w:spacing w:before="0" w:beforeAutospacing="0" w:after="0" w:afterAutospacing="0" w:line="360" w:lineRule="auto"/>
        <w:rPr>
          <w:rFonts w:hint="eastAsia"/>
        </w:rPr>
      </w:pPr>
      <w:r>
        <w:rPr>
          <w:rFonts w:hint="eastAsia"/>
        </w:rPr>
        <w:t>19.2 缺陷责任</w:t>
      </w:r>
    </w:p>
    <w:p w14:paraId="4B077CD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19.2.2 项补充：</w:t>
      </w:r>
    </w:p>
    <w:p w14:paraId="22E2CA2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在缺陷责任期内，承包人应尽快完成在交工验收证书中写明的未完成工作，并完成对本工程缺陷的修复或监理人指令的修补工作。</w:t>
      </w:r>
    </w:p>
    <w:p w14:paraId="171FDFCF">
      <w:pPr>
        <w:pStyle w:val="6"/>
        <w:spacing w:before="0" w:beforeAutospacing="0" w:after="0" w:afterAutospacing="0" w:line="360" w:lineRule="auto"/>
        <w:rPr>
          <w:rFonts w:hint="eastAsia"/>
        </w:rPr>
      </w:pPr>
      <w:r>
        <w:rPr>
          <w:rFonts w:hint="eastAsia"/>
        </w:rPr>
        <w:t>19.5 承包人的进入权</w:t>
      </w:r>
    </w:p>
    <w:p w14:paraId="54FA07D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本款补充：</w:t>
      </w:r>
    </w:p>
    <w:p w14:paraId="7D2A351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承包人在缺陷修复施工过程中，应服从管养单位的有关安全管理规定，由于承包人自身原因造成的人员伤亡、设备和材料的损毁及罚款等责任由承包人自负。</w:t>
      </w:r>
    </w:p>
    <w:p w14:paraId="2D7553A1">
      <w:pPr>
        <w:pStyle w:val="6"/>
        <w:spacing w:before="0" w:beforeAutospacing="0" w:after="0" w:afterAutospacing="0" w:line="360" w:lineRule="auto"/>
        <w:rPr>
          <w:rFonts w:hint="eastAsia"/>
        </w:rPr>
      </w:pPr>
      <w:r>
        <w:rPr>
          <w:rFonts w:hint="eastAsia"/>
        </w:rPr>
        <w:t>19.7 保修责任</w:t>
      </w:r>
    </w:p>
    <w:p w14:paraId="2E476DE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本款细化为：</w:t>
      </w:r>
    </w:p>
    <w:p w14:paraId="59354EC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（1）保修期：自实际交工日期起计算</w:t>
      </w:r>
      <w:r>
        <w:rPr>
          <w:rFonts w:hint="eastAsia" w:ascii="宋体" w:hAnsi="宋体" w:cs="宋体"/>
          <w:kern w:val="0"/>
          <w:szCs w:val="21"/>
          <w:u w:val="single"/>
          <w:lang w:bidi="ar"/>
        </w:rPr>
        <w:t xml:space="preserve">        </w:t>
      </w:r>
      <w:r>
        <w:rPr>
          <w:rFonts w:hint="eastAsia" w:ascii="宋体" w:hAnsi="宋体" w:cs="宋体"/>
          <w:kern w:val="0"/>
          <w:szCs w:val="21"/>
          <w:lang w:bidi="ar"/>
        </w:rPr>
        <w:t>年。保修期与缺陷责任期重叠的期间内，承包人的保修责任同缺陷责任。在缺陷责任期满后的保修期内，承包人可不在工地留有办事人员和机械设备，但必须随时与发包人保持联系，在保修期内承包人应对由于施工质量原因造成的损坏自费进行修复。</w:t>
      </w:r>
    </w:p>
    <w:p w14:paraId="735FFE1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（2）在全部工程交工验收前，已经发包人提前验收的单位工程，其保修期的起算日期相应提前。</w:t>
      </w:r>
    </w:p>
    <w:p w14:paraId="76667E7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（3）工程保修期终止后 28 天内，监理人签发保修期终止证书。</w:t>
      </w:r>
    </w:p>
    <w:p w14:paraId="3FC12C2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（4）若承包人不履行保修义务和责任，则承包人应承担由于违约造成的法律后果，并由发包人将其违约行为上报省级交通运输主管部门，作为不良记录纳入公路建设市场信用信息管理系统。</w:t>
      </w:r>
    </w:p>
    <w:p w14:paraId="15E71806">
      <w:pPr>
        <w:pStyle w:val="5"/>
        <w:spacing w:before="0" w:after="0" w:line="360" w:lineRule="auto"/>
        <w:rPr>
          <w:rFonts w:hint="eastAsia" w:ascii="宋体" w:hAnsi="宋体"/>
        </w:rPr>
      </w:pPr>
      <w:bookmarkStart w:id="651" w:name="_Toc24181"/>
      <w:bookmarkStart w:id="652" w:name="_Toc57795984"/>
      <w:bookmarkStart w:id="653" w:name="_Toc1576"/>
      <w:bookmarkStart w:id="654" w:name="_Toc23333"/>
      <w:r>
        <w:rPr>
          <w:rFonts w:hint="eastAsia" w:ascii="宋体" w:hAnsi="宋体"/>
        </w:rPr>
        <w:t>20、保险</w:t>
      </w:r>
      <w:bookmarkEnd w:id="651"/>
      <w:bookmarkEnd w:id="652"/>
      <w:bookmarkEnd w:id="653"/>
      <w:bookmarkEnd w:id="654"/>
    </w:p>
    <w:p w14:paraId="53A7D9D9">
      <w:pPr>
        <w:pStyle w:val="6"/>
        <w:spacing w:before="0" w:beforeAutospacing="0" w:after="0" w:afterAutospacing="0" w:line="360" w:lineRule="auto"/>
        <w:rPr>
          <w:rFonts w:hint="eastAsia"/>
        </w:rPr>
      </w:pPr>
      <w:r>
        <w:rPr>
          <w:rFonts w:hint="eastAsia"/>
        </w:rPr>
        <w:t>20.1 工程保险</w:t>
      </w:r>
    </w:p>
    <w:p w14:paraId="63897C7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本款约定为：</w:t>
      </w:r>
    </w:p>
    <w:p w14:paraId="5CA4DDA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建筑工程一切险的投保内容：为本合同工程的永久工程、临时工程和设备及已运至施工工地用于永久工程的材料和设备所投的保险。</w:t>
      </w:r>
    </w:p>
    <w:p w14:paraId="5B8D685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保险金额：工程量清单第 100 章（不含建筑工程一切险及第三者责任险的保险费）至第 700 章的合计金额。</w:t>
      </w:r>
    </w:p>
    <w:p w14:paraId="49E1AC4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保险费率：建筑工程一切险的保险费率</w:t>
      </w:r>
      <w:r>
        <w:rPr>
          <w:rFonts w:hint="eastAsia" w:ascii="宋体" w:hAnsi="宋体" w:cs="宋体"/>
          <w:kern w:val="0"/>
          <w:szCs w:val="21"/>
          <w:u w:val="single"/>
          <w:lang w:bidi="ar"/>
        </w:rPr>
        <w:t xml:space="preserve">    </w:t>
      </w:r>
      <w:r>
        <w:rPr>
          <w:rFonts w:hint="eastAsia" w:ascii="宋体" w:hAnsi="宋体" w:cs="宋体"/>
          <w:kern w:val="0"/>
          <w:szCs w:val="21"/>
          <w:lang w:bidi="ar"/>
        </w:rPr>
        <w:t>‰。</w:t>
      </w:r>
    </w:p>
    <w:p w14:paraId="1724FAC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 xml:space="preserve">保险期限：开工日起直至本合同工程签发缺陷责任期终止证书止（即合同工期＋缺陷责任期）。 </w:t>
      </w:r>
    </w:p>
    <w:p w14:paraId="60A0B33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 xml:space="preserve">承包人应以发包人和承包人的共同名义投保建筑工程一切险。建筑工程一切险的保险费由承包人报价时列入工程量清单第 100 章内。发包人在接到保险单后，将按照保险单的费用直接向承包人支付。 </w:t>
      </w:r>
    </w:p>
    <w:p w14:paraId="76AF2015">
      <w:pPr>
        <w:pStyle w:val="6"/>
        <w:spacing w:before="0" w:beforeAutospacing="0" w:after="0" w:afterAutospacing="0" w:line="360" w:lineRule="auto"/>
        <w:rPr>
          <w:rFonts w:hint="eastAsia"/>
        </w:rPr>
      </w:pPr>
      <w:r>
        <w:rPr>
          <w:rFonts w:hint="eastAsia"/>
        </w:rPr>
        <w:t>20.4 第三者责任险</w:t>
      </w:r>
    </w:p>
    <w:p w14:paraId="0D28E45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20.4.2 项补充：</w:t>
      </w:r>
    </w:p>
    <w:p w14:paraId="35C3536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第三者责任险的保险费由承包人报价时列入工程量清单第 100 章内。发包人在接到保险单后，将按照保险单的费用直接向承包人支付。</w:t>
      </w:r>
    </w:p>
    <w:p w14:paraId="64982790">
      <w:pPr>
        <w:pStyle w:val="2"/>
        <w:spacing w:after="0" w:line="360" w:lineRule="auto"/>
        <w:ind w:firstLine="420" w:firstLineChars="200"/>
        <w:rPr>
          <w:rFonts w:hint="eastAsia" w:ascii="仿宋_GB2312" w:eastAsia="仿宋_GB2312"/>
          <w:lang w:bidi="ar"/>
        </w:rPr>
      </w:pPr>
      <w:r>
        <w:rPr>
          <w:rFonts w:hint="eastAsia" w:ascii="仿宋_GB2312" w:eastAsia="仿宋_GB2312"/>
          <w:lang w:bidi="ar"/>
        </w:rPr>
        <w:t>第三者责任险的最低投保金额：</w:t>
      </w:r>
      <w:r>
        <w:rPr>
          <w:rFonts w:hint="eastAsia" w:ascii="仿宋_GB2312" w:eastAsia="仿宋_GB2312"/>
          <w:u w:val="single"/>
          <w:lang w:bidi="ar"/>
        </w:rPr>
        <w:t xml:space="preserve">        </w:t>
      </w:r>
      <w:r>
        <w:rPr>
          <w:rFonts w:hint="eastAsia" w:ascii="仿宋_GB2312" w:eastAsia="仿宋_GB2312"/>
          <w:lang w:bidi="ar"/>
        </w:rPr>
        <w:t>万元，事故次数不限（不计免赔额</w:t>
      </w:r>
      <w:r>
        <w:rPr>
          <w:rFonts w:hint="eastAsia" w:ascii="仿宋_GB2312" w:eastAsia="仿宋_GB2312"/>
          <w:u w:val="single"/>
          <w:lang w:bidi="ar"/>
        </w:rPr>
        <w:t xml:space="preserve">        </w:t>
      </w:r>
      <w:r>
        <w:rPr>
          <w:rFonts w:hint="eastAsia" w:ascii="仿宋_GB2312" w:eastAsia="仿宋_GB2312"/>
          <w:lang w:bidi="ar"/>
        </w:rPr>
        <w:t>万元）保险费率</w:t>
      </w:r>
      <w:r>
        <w:rPr>
          <w:rFonts w:hint="eastAsia" w:ascii="仿宋_GB2312" w:eastAsia="仿宋_GB2312"/>
          <w:u w:val="single"/>
          <w:lang w:bidi="ar"/>
        </w:rPr>
        <w:t xml:space="preserve">        </w:t>
      </w:r>
      <w:r>
        <w:rPr>
          <w:rFonts w:hint="eastAsia" w:ascii="仿宋_GB2312" w:eastAsia="仿宋_GB2312"/>
          <w:lang w:bidi="ar"/>
        </w:rPr>
        <w:t>‰。</w:t>
      </w:r>
    </w:p>
    <w:p w14:paraId="3570A1E3">
      <w:pPr>
        <w:pStyle w:val="6"/>
        <w:spacing w:before="0" w:beforeAutospacing="0" w:after="0" w:afterAutospacing="0" w:line="360" w:lineRule="auto"/>
        <w:rPr>
          <w:rFonts w:hint="eastAsia"/>
        </w:rPr>
      </w:pPr>
      <w:r>
        <w:rPr>
          <w:rFonts w:hint="eastAsia"/>
        </w:rPr>
        <w:t>20.5 其他保险</w:t>
      </w:r>
    </w:p>
    <w:p w14:paraId="745A9E6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本款约定为：</w:t>
      </w:r>
    </w:p>
    <w:p w14:paraId="2CC0ECF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承包人应为其施工设备等办理保险，其投保金额应足以现场重置。办理本款保险的一切费用均由承包人承担，并包括在工程量清单的单价及总额价中，发包人不单独支付。</w:t>
      </w:r>
    </w:p>
    <w:p w14:paraId="2872ADBD">
      <w:pPr>
        <w:pStyle w:val="6"/>
        <w:spacing w:before="0" w:beforeAutospacing="0" w:after="0" w:afterAutospacing="0" w:line="360" w:lineRule="auto"/>
        <w:rPr>
          <w:rFonts w:hint="eastAsia"/>
        </w:rPr>
      </w:pPr>
      <w:r>
        <w:rPr>
          <w:rFonts w:hint="eastAsia"/>
        </w:rPr>
        <w:t>20.6 对各项保险的一般要求</w:t>
      </w:r>
    </w:p>
    <w:p w14:paraId="2B57054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20.6.1 保险凭证</w:t>
      </w:r>
    </w:p>
    <w:p w14:paraId="7B6CD9B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本项约定为：</w:t>
      </w:r>
    </w:p>
    <w:p w14:paraId="262A786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承包人向发包人提交各项保险生效的证据和保险单副本的期限：开工后 56 天内。</w:t>
      </w:r>
    </w:p>
    <w:p w14:paraId="335BA94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20.6.3 持续保险</w:t>
      </w:r>
    </w:p>
    <w:p w14:paraId="62293FF0">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14:paraId="7A79328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在整个合同期内，承包人应按合同条款规定保证足够的保险额。</w:t>
      </w:r>
    </w:p>
    <w:p w14:paraId="0FB4FF5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20.6.4 保险金不足的补偿</w:t>
      </w:r>
    </w:p>
    <w:p w14:paraId="74EC0DA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14:paraId="0D329BDD">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保险金不足以补偿损失的（包括免赔额和超过赔偿限额的部分），应由承包人和 （或）发包人按合同约定负责补偿。</w:t>
      </w:r>
    </w:p>
    <w:p w14:paraId="2034321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20.6.5 未按约定投保的补救</w:t>
      </w:r>
    </w:p>
    <w:p w14:paraId="471481B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14:paraId="3EFD391E">
      <w:pPr>
        <w:widowControl/>
        <w:spacing w:line="360" w:lineRule="auto"/>
        <w:ind w:firstLine="420" w:firstLineChars="200"/>
        <w:jc w:val="left"/>
        <w:rPr>
          <w:rFonts w:ascii="宋体" w:hAnsi="宋体"/>
          <w:szCs w:val="21"/>
        </w:rPr>
      </w:pPr>
      <w:r>
        <w:rPr>
          <w:rFonts w:hint="eastAsia" w:ascii="宋体" w:hAnsi="宋体" w:cs="宋体"/>
          <w:kern w:val="0"/>
          <w:szCs w:val="21"/>
          <w:lang w:bidi="ar"/>
        </w:rPr>
        <w:t>（2）由于负有投保义务的一方当事人未按合同约定办理某项保险，或未按保险单规定的条件和期限及时向保险人报告事故情况，或未按要求的保险期限进行投保，或未按要求投保足够的保险金额，导致受益人未能或未能全部得到保险人的赔偿，原应从该项保险得到的保险金应由负有投保义务的一方当事人支付。</w:t>
      </w:r>
    </w:p>
    <w:p w14:paraId="66807E70">
      <w:pPr>
        <w:pStyle w:val="5"/>
        <w:spacing w:before="0" w:after="0" w:line="360" w:lineRule="auto"/>
        <w:rPr>
          <w:rFonts w:hint="eastAsia" w:ascii="宋体" w:hAnsi="宋体"/>
        </w:rPr>
      </w:pPr>
      <w:bookmarkStart w:id="655" w:name="_Toc2833"/>
      <w:bookmarkStart w:id="656" w:name="_Toc7366"/>
      <w:bookmarkStart w:id="657" w:name="_Toc31259"/>
      <w:bookmarkStart w:id="658" w:name="_Toc57795985"/>
      <w:r>
        <w:rPr>
          <w:rFonts w:hint="eastAsia" w:ascii="宋体" w:hAnsi="宋体"/>
        </w:rPr>
        <w:t>21、不可抗力</w:t>
      </w:r>
      <w:bookmarkEnd w:id="655"/>
      <w:bookmarkEnd w:id="656"/>
      <w:bookmarkEnd w:id="657"/>
      <w:bookmarkEnd w:id="658"/>
    </w:p>
    <w:p w14:paraId="5D05FC35">
      <w:pPr>
        <w:pStyle w:val="6"/>
        <w:spacing w:before="0" w:beforeAutospacing="0" w:after="0" w:afterAutospacing="0" w:line="360" w:lineRule="auto"/>
        <w:rPr>
          <w:rFonts w:hint="eastAsia"/>
        </w:rPr>
      </w:pPr>
      <w:r>
        <w:rPr>
          <w:rFonts w:hint="eastAsia"/>
        </w:rPr>
        <w:t>21.1 不可抗力的确认</w:t>
      </w:r>
    </w:p>
    <w:p w14:paraId="01F908F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21.1.1 项细化为：</w:t>
      </w:r>
    </w:p>
    <w:p w14:paraId="639B5DA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不可抗力是指承包人和发包人在订立合同时不可预见，在工程施工过程中不可避免发生并不能克服的自然灾害和社会性突发事件。包括但不限于：</w:t>
      </w:r>
    </w:p>
    <w:p w14:paraId="626E87E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（1）地震、海啸、火山爆发、泥石流、暴雨（雪）、台风、龙卷风、水灾等自然灾害；</w:t>
      </w:r>
    </w:p>
    <w:p w14:paraId="589EA39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（2）战争、骚乱、暴动，但纯属承包人或其分包人派遣与雇用的人员由于本合同工程施工原因引起者除外；</w:t>
      </w:r>
    </w:p>
    <w:p w14:paraId="1E16133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（3）核反应、辐射或放射性污染；</w:t>
      </w:r>
    </w:p>
    <w:p w14:paraId="740832D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（4）空中飞行物体坠落或非发包人或承包人责任造成的爆炸、火灾；</w:t>
      </w:r>
    </w:p>
    <w:p w14:paraId="6B9BED6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（5）瘟疫；</w:t>
      </w:r>
    </w:p>
    <w:p w14:paraId="11E4A16F">
      <w:pPr>
        <w:widowControl/>
        <w:spacing w:line="360" w:lineRule="auto"/>
        <w:ind w:firstLine="420" w:firstLineChars="200"/>
        <w:jc w:val="left"/>
        <w:rPr>
          <w:rFonts w:hint="eastAsia" w:ascii="宋体" w:hAnsi="宋体" w:cs="宋体"/>
          <w:kern w:val="0"/>
          <w:szCs w:val="21"/>
          <w:lang w:bidi="ar"/>
        </w:rPr>
      </w:pPr>
      <w:r>
        <w:rPr>
          <w:rFonts w:hint="eastAsia" w:ascii="仿宋_GB2312" w:hAnsi="宋体" w:eastAsia="仿宋_GB2312" w:cs="宋体"/>
          <w:kern w:val="0"/>
          <w:szCs w:val="21"/>
          <w:lang w:bidi="ar"/>
        </w:rPr>
        <w:t>（6）</w:t>
      </w:r>
      <w:r>
        <w:rPr>
          <w:rFonts w:hint="eastAsia" w:ascii="仿宋_GB2312" w:hAnsi="宋体" w:eastAsia="仿宋_GB2312" w:cs="宋体"/>
          <w:kern w:val="0"/>
          <w:szCs w:val="21"/>
        </w:rPr>
        <w:t>非双方责任引起的火灾、爆炸、船舶撞击等情形；</w:t>
      </w:r>
      <w:r>
        <w:rPr>
          <w:rFonts w:hint="eastAsia" w:ascii="仿宋_GB2312" w:hAnsi="宋体" w:eastAsia="仿宋_GB2312" w:cs="宋体"/>
          <w:kern w:val="0"/>
          <w:szCs w:val="21"/>
          <w:lang w:eastAsia="zh-CN"/>
        </w:rPr>
        <w:t>环境治理</w:t>
      </w:r>
      <w:r>
        <w:rPr>
          <w:rFonts w:hint="eastAsia" w:ascii="仿宋_GB2312" w:hAnsi="宋体" w:eastAsia="仿宋_GB2312" w:cs="宋体"/>
          <w:kern w:val="0"/>
          <w:szCs w:val="21"/>
        </w:rPr>
        <w:t>等政府行为导致项目停工的</w:t>
      </w:r>
      <w:r>
        <w:rPr>
          <w:rFonts w:hint="eastAsia" w:ascii="宋体" w:hAnsi="宋体" w:cs="宋体"/>
          <w:kern w:val="0"/>
          <w:szCs w:val="21"/>
        </w:rPr>
        <w:t>。</w:t>
      </w:r>
    </w:p>
    <w:p w14:paraId="080B6314">
      <w:pPr>
        <w:pStyle w:val="6"/>
        <w:spacing w:before="0" w:beforeAutospacing="0" w:after="0" w:afterAutospacing="0" w:line="360" w:lineRule="auto"/>
        <w:rPr>
          <w:rFonts w:hint="eastAsia"/>
        </w:rPr>
      </w:pPr>
      <w:r>
        <w:rPr>
          <w:rFonts w:hint="eastAsia"/>
        </w:rPr>
        <w:t>21.3 不可抗力后果及其处理</w:t>
      </w:r>
    </w:p>
    <w:p w14:paraId="25E51C69">
      <w:pPr>
        <w:snapToGrid w:val="0"/>
        <w:spacing w:line="360" w:lineRule="auto"/>
        <w:ind w:firstLine="630" w:firstLineChars="300"/>
        <w:jc w:val="left"/>
        <w:rPr>
          <w:rFonts w:hint="eastAsia" w:ascii="仿宋_GB2312" w:hAnsi="宋体" w:eastAsia="仿宋_GB2312" w:cs="宋体"/>
          <w:kern w:val="0"/>
          <w:szCs w:val="21"/>
        </w:rPr>
      </w:pPr>
      <w:r>
        <w:rPr>
          <w:rFonts w:hint="eastAsia" w:ascii="仿宋_GB2312" w:hAnsi="宋体" w:eastAsia="仿宋_GB2312" w:cs="宋体"/>
          <w:kern w:val="0"/>
          <w:szCs w:val="21"/>
        </w:rPr>
        <w:t>21.3.1 不可抗力造成损害的责任</w:t>
      </w:r>
    </w:p>
    <w:p w14:paraId="690D3EF2">
      <w:pPr>
        <w:snapToGrid w:val="0"/>
        <w:spacing w:line="360" w:lineRule="auto"/>
        <w:ind w:firstLine="630" w:firstLineChars="300"/>
        <w:jc w:val="left"/>
        <w:rPr>
          <w:rFonts w:hint="eastAsia" w:ascii="仿宋_GB2312" w:hAnsi="宋体" w:eastAsia="仿宋_GB2312" w:cs="宋体"/>
          <w:kern w:val="0"/>
          <w:szCs w:val="21"/>
        </w:rPr>
      </w:pPr>
      <w:r>
        <w:rPr>
          <w:rFonts w:hint="eastAsia" w:ascii="仿宋_GB2312" w:hAnsi="宋体" w:eastAsia="仿宋_GB2312" w:cs="宋体"/>
          <w:kern w:val="0"/>
          <w:szCs w:val="21"/>
        </w:rPr>
        <w:t>本项补充：</w:t>
      </w:r>
    </w:p>
    <w:p w14:paraId="6D44C082">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（6）不可抗力发生前已完成的工程应当按照合同约定进行计量支付。</w:t>
      </w:r>
    </w:p>
    <w:p w14:paraId="54D89028">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（7）因不可抗力影响承包人履行合同约定的义务，已经引起或将引起工期延误的，应当顺延工期，由此导致承包人停工的费用损失由发包人和承包人合理共担，停工期间必须支付的工人工资由发包人承担；</w:t>
      </w:r>
    </w:p>
    <w:p w14:paraId="26A425CA">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（8）不可抗力事件发生后，合同当事人均应采取措施尽量避免和减少损失的扩大，任何一方当事人没有采取有效措施导致损失扩大的，应对扩大的损失承担责任。</w:t>
      </w:r>
    </w:p>
    <w:p w14:paraId="0EBD528D">
      <w:pPr>
        <w:snapToGrid w:val="0"/>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21.3.4 因不可抗力解除合同</w:t>
      </w:r>
    </w:p>
    <w:p w14:paraId="4553B105">
      <w:pPr>
        <w:snapToGrid w:val="0"/>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14:paraId="3529FBE8">
      <w:pPr>
        <w:snapToGrid w:val="0"/>
        <w:spacing w:line="360" w:lineRule="auto"/>
        <w:ind w:firstLine="420" w:firstLineChars="200"/>
        <w:jc w:val="left"/>
        <w:rPr>
          <w:rFonts w:hint="eastAsia" w:ascii="仿宋_GB2312" w:hAnsi="宋体" w:eastAsia="仿宋_GB2312" w:cs="宋体"/>
          <w:kern w:val="0"/>
          <w:szCs w:val="21"/>
        </w:rPr>
      </w:pPr>
      <w:r>
        <w:rPr>
          <w:rFonts w:hint="eastAsia" w:ascii="宋体" w:hAnsi="宋体" w:cs="宋体"/>
          <w:kern w:val="0"/>
          <w:szCs w:val="21"/>
          <w:lang w:bidi="ar"/>
        </w:rPr>
        <w:t>合同一方当事人因不可抗力不能履行合同的，应当及时通知对方解除合同。合同解除后，承包人应按照第 22.2.5 项约定撤离施工场地。已经订货的材料、设备由订货方负责退货或解除订货合同，不能退还的货款和因退货、解除订货合同发生的费用，由发包人承担，因未及时退货造成的损失由责任方承担。合同解除后的付款，参照第 22.2.4 项约定，由监理人按第 3.5 款商定或确定，但由于解除合同应赔偿的承包人损失不予考虑。</w:t>
      </w:r>
      <w:r>
        <w:rPr>
          <w:rFonts w:hint="eastAsia" w:ascii="宋体" w:hAnsi="宋体" w:cs="宋体"/>
          <w:kern w:val="0"/>
          <w:szCs w:val="21"/>
        </w:rPr>
        <w:t>合同解除后，发包人应在商定或确定发包人应支付款项后</w:t>
      </w:r>
      <w:r>
        <w:rPr>
          <w:rFonts w:hint="eastAsia" w:ascii="宋体" w:hAnsi="宋体" w:cs="宋体"/>
          <w:kern w:val="0"/>
          <w:szCs w:val="21"/>
          <w:u w:val="single"/>
        </w:rPr>
        <w:t>28</w:t>
      </w:r>
      <w:r>
        <w:rPr>
          <w:rFonts w:hint="eastAsia" w:ascii="宋体" w:hAnsi="宋体" w:cs="宋体"/>
          <w:kern w:val="0"/>
          <w:szCs w:val="21"/>
        </w:rPr>
        <w:t>天内完成款项的支付。</w:t>
      </w:r>
    </w:p>
    <w:p w14:paraId="3A9B38FB">
      <w:pPr>
        <w:pStyle w:val="5"/>
        <w:spacing w:before="0" w:after="0" w:line="360" w:lineRule="auto"/>
        <w:rPr>
          <w:rFonts w:hint="eastAsia" w:ascii="宋体" w:hAnsi="宋体"/>
        </w:rPr>
      </w:pPr>
      <w:bookmarkStart w:id="659" w:name="_Toc2946"/>
      <w:bookmarkStart w:id="660" w:name="_Toc29128"/>
      <w:bookmarkStart w:id="661" w:name="_Toc57795986"/>
      <w:bookmarkStart w:id="662" w:name="_Toc3621"/>
      <w:r>
        <w:rPr>
          <w:rFonts w:hint="eastAsia" w:ascii="宋体" w:hAnsi="宋体"/>
        </w:rPr>
        <w:t>22、违约</w:t>
      </w:r>
      <w:bookmarkEnd w:id="659"/>
      <w:bookmarkEnd w:id="660"/>
      <w:bookmarkEnd w:id="661"/>
      <w:bookmarkEnd w:id="662"/>
    </w:p>
    <w:p w14:paraId="0B636700">
      <w:pPr>
        <w:pStyle w:val="6"/>
        <w:spacing w:before="0" w:beforeAutospacing="0" w:after="0" w:afterAutospacing="0" w:line="360" w:lineRule="auto"/>
        <w:rPr>
          <w:rFonts w:hint="eastAsia"/>
        </w:rPr>
      </w:pPr>
      <w:r>
        <w:rPr>
          <w:rFonts w:hint="eastAsia"/>
        </w:rPr>
        <w:t>22.1 承包人违约</w:t>
      </w:r>
    </w:p>
    <w:p w14:paraId="7D3C394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22.1.1 承包人违约的情形</w:t>
      </w:r>
    </w:p>
    <w:p w14:paraId="56C07559">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14:paraId="44803A1F">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（2）承包人违反第 5.3 款或第 6.4 款的约定，未经监理人批准，私自将已按合同约定进入施工场地的施工设备、临时设施、材料或工程设备撤离施工场地；</w:t>
      </w:r>
    </w:p>
    <w:p w14:paraId="788520E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本项（7）目细化为：</w:t>
      </w:r>
    </w:p>
    <w:p w14:paraId="7908AE66">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（7）承包人未能按期开工；</w:t>
      </w:r>
    </w:p>
    <w:p w14:paraId="683D730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（8）承包人违反第 4.6 款或第 6.3 款的规定，未按承诺或未按监理人的要求及时配备称职的主要管理人员、技术骨干或关键施工设备；</w:t>
      </w:r>
    </w:p>
    <w:p w14:paraId="5F38C03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（9）经监理人和发包人检查，发现承包人有安全问题或有违反安全管理规章制度的情况</w:t>
      </w:r>
    </w:p>
    <w:p w14:paraId="6320A44A">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（10）承包人未按合同约定提交履约保证金、低价风险担保或质量保证金的；</w:t>
      </w:r>
    </w:p>
    <w:p w14:paraId="655D417C">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（11）承包人在缺陷责任期及保修期内，未能在合理期限对工程缺陷进行修复，或拒绝按发包人要求进行修复的；</w:t>
      </w:r>
    </w:p>
    <w:p w14:paraId="077CBEA8">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（12）承包人拖欠其工人或所雇人员工资或报酬，导致其工人或所雇人员向有关部门投诉、控告、检举或以聚集等方式讨要工资或报酬的；</w:t>
      </w:r>
    </w:p>
    <w:p w14:paraId="65823CDE">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（13）承包人不配合发包人、监理人及发包人委托的工程造价咨询服务单位结算审核或承包人其他原因导致未按期完成工程竣（完）工结算的；</w:t>
      </w:r>
    </w:p>
    <w:p w14:paraId="7F90EE7D">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（14）承包人违反合同约定进行转包或违法分包的；</w:t>
      </w:r>
    </w:p>
    <w:p w14:paraId="6CE83298">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（15）承包人未按合同约定移交全部或部分工作的；</w:t>
      </w:r>
    </w:p>
    <w:p w14:paraId="1E4C9E6E">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（16）承包人未按合同约定购买保险的；</w:t>
      </w:r>
    </w:p>
    <w:p w14:paraId="15ECAB6C">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（17）项目经理若有以下情形，属于承包人违约：</w:t>
      </w:r>
    </w:p>
    <w:p w14:paraId="7ECCD882">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1）项目经理不按承诺到岗的；</w:t>
      </w:r>
    </w:p>
    <w:p w14:paraId="2F91DD60">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2）每月在施工现场的天数少于约定天数的；</w:t>
      </w:r>
    </w:p>
    <w:p w14:paraId="0F09A44A">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3）承包人未提交项目经理劳动合同和社会保险证明的；</w:t>
      </w:r>
    </w:p>
    <w:p w14:paraId="258463CF">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4）未经批准，擅自离开施工现场（超过约定时间）的；</w:t>
      </w:r>
    </w:p>
    <w:p w14:paraId="5EAB3575">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5）未经批准，擅自变更项目经理的；</w:t>
      </w:r>
    </w:p>
    <w:p w14:paraId="3AC01ACD">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6）发包人有正当理由认为项目经理不称职/不履职，且承包人在约定时间内不予更换的；</w:t>
      </w:r>
    </w:p>
    <w:p w14:paraId="2F56A767">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7）其他双方约定的情形：</w:t>
      </w:r>
      <w:r>
        <w:rPr>
          <w:rFonts w:hint="eastAsia" w:ascii="仿宋_GB2312" w:hAnsi="宋体" w:eastAsia="仿宋_GB2312" w:cs="宋体"/>
          <w:kern w:val="0"/>
          <w:sz w:val="21"/>
          <w:szCs w:val="21"/>
          <w:u w:val="single"/>
        </w:rPr>
        <w:t xml:space="preserve">        </w:t>
      </w:r>
      <w:r>
        <w:rPr>
          <w:rFonts w:hint="eastAsia" w:ascii="仿宋_GB2312" w:hAnsi="宋体" w:eastAsia="仿宋_GB2312" w:cs="宋体"/>
          <w:kern w:val="0"/>
          <w:sz w:val="21"/>
          <w:szCs w:val="21"/>
        </w:rPr>
        <w:t>。</w:t>
      </w:r>
    </w:p>
    <w:p w14:paraId="23EA10E2">
      <w:pPr>
        <w:snapToGrid w:val="0"/>
        <w:spacing w:line="360" w:lineRule="auto"/>
        <w:ind w:left="480"/>
        <w:jc w:val="left"/>
        <w:rPr>
          <w:rFonts w:hint="eastAsia" w:ascii="仿宋_GB2312" w:hAnsi="宋体" w:eastAsia="仿宋_GB2312" w:cs="宋体"/>
          <w:kern w:val="0"/>
          <w:szCs w:val="21"/>
        </w:rPr>
      </w:pPr>
      <w:r>
        <w:rPr>
          <w:rFonts w:hint="eastAsia" w:ascii="仿宋_GB2312" w:hAnsi="宋体" w:eastAsia="仿宋_GB2312" w:cs="宋体"/>
          <w:kern w:val="0"/>
          <w:szCs w:val="21"/>
        </w:rPr>
        <w:t>（18）项目总工若有以下情形，属于承包人违约：</w:t>
      </w:r>
    </w:p>
    <w:p w14:paraId="2B9A70A9">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1）每月在施工现场的天数少于约定天数的；</w:t>
      </w:r>
    </w:p>
    <w:p w14:paraId="54C3596C">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2）承包人未提交项目总工劳动合同和社会保险证明的；</w:t>
      </w:r>
    </w:p>
    <w:p w14:paraId="579D1159">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3）未经批准，擅自离开施工现场（超过约定时间）的；</w:t>
      </w:r>
    </w:p>
    <w:p w14:paraId="386F670A">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4）未经批准，擅自变更项目总工的；</w:t>
      </w:r>
    </w:p>
    <w:p w14:paraId="0F8007F0">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5）发包人有正当理由认为项目总工不称职/不履职，且承包人在约定时间内不予更换的；</w:t>
      </w:r>
    </w:p>
    <w:p w14:paraId="5C02E0D3">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6）其他双方约定的情形：</w:t>
      </w:r>
      <w:r>
        <w:rPr>
          <w:rFonts w:hint="eastAsia" w:ascii="仿宋_GB2312" w:hAnsi="宋体" w:eastAsia="仿宋_GB2312" w:cs="宋体"/>
          <w:kern w:val="0"/>
          <w:sz w:val="21"/>
          <w:szCs w:val="21"/>
          <w:u w:val="single"/>
        </w:rPr>
        <w:t xml:space="preserve">        </w:t>
      </w:r>
      <w:r>
        <w:rPr>
          <w:rFonts w:hint="eastAsia" w:ascii="仿宋_GB2312" w:hAnsi="宋体" w:eastAsia="仿宋_GB2312" w:cs="宋体"/>
          <w:kern w:val="0"/>
          <w:sz w:val="21"/>
          <w:szCs w:val="21"/>
        </w:rPr>
        <w:t>。</w:t>
      </w:r>
    </w:p>
    <w:p w14:paraId="5890456C">
      <w:pPr>
        <w:snapToGrid w:val="0"/>
        <w:spacing w:line="360" w:lineRule="auto"/>
        <w:ind w:left="480"/>
        <w:jc w:val="left"/>
        <w:rPr>
          <w:rFonts w:hint="eastAsia" w:ascii="仿宋_GB2312" w:hAnsi="宋体" w:eastAsia="仿宋_GB2312" w:cs="宋体"/>
          <w:kern w:val="0"/>
          <w:szCs w:val="21"/>
        </w:rPr>
      </w:pPr>
      <w:r>
        <w:rPr>
          <w:rFonts w:hint="eastAsia" w:ascii="仿宋_GB2312" w:hAnsi="宋体" w:eastAsia="仿宋_GB2312" w:cs="宋体"/>
          <w:kern w:val="0"/>
          <w:szCs w:val="21"/>
        </w:rPr>
        <w:t>（19）主要施工管理人员若有以下情形，属于承包人违约：</w:t>
      </w:r>
    </w:p>
    <w:p w14:paraId="0DAF71C7">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1）承包人未提交主要管理人员劳动合同和社会保险证明的；</w:t>
      </w:r>
    </w:p>
    <w:p w14:paraId="57726570">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2）未经批准，擅自离开施工现场（超过约定时间）的；</w:t>
      </w:r>
    </w:p>
    <w:p w14:paraId="1AB154A1">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3）未经批准，擅自变更主要施工管理人员的；</w:t>
      </w:r>
    </w:p>
    <w:p w14:paraId="57E2071D">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4）发包人有正当理由认为主要施工管理人员不称职/不履职，且承包人在约定时间内不予更换的；</w:t>
      </w:r>
    </w:p>
    <w:p w14:paraId="609F051D">
      <w:pPr>
        <w:pStyle w:val="54"/>
        <w:snapToGrid w:val="0"/>
        <w:spacing w:line="360" w:lineRule="auto"/>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5）其他双方约定的情形：</w:t>
      </w:r>
      <w:r>
        <w:rPr>
          <w:rFonts w:hint="eastAsia" w:ascii="仿宋_GB2312" w:hAnsi="宋体" w:eastAsia="仿宋_GB2312" w:cs="宋体"/>
          <w:kern w:val="0"/>
          <w:sz w:val="21"/>
          <w:szCs w:val="21"/>
          <w:u w:val="single"/>
        </w:rPr>
        <w:t xml:space="preserve">        </w:t>
      </w:r>
      <w:r>
        <w:rPr>
          <w:rFonts w:hint="eastAsia" w:ascii="仿宋_GB2312" w:hAnsi="宋体" w:eastAsia="仿宋_GB2312" w:cs="宋体"/>
          <w:kern w:val="0"/>
          <w:sz w:val="21"/>
          <w:szCs w:val="21"/>
        </w:rPr>
        <w:t>。</w:t>
      </w:r>
    </w:p>
    <w:p w14:paraId="3E21A1BE">
      <w:pPr>
        <w:widowControl/>
        <w:spacing w:line="360" w:lineRule="auto"/>
        <w:ind w:firstLine="420" w:firstLineChars="200"/>
        <w:jc w:val="left"/>
        <w:rPr>
          <w:rFonts w:hint="eastAsia" w:ascii="仿宋_GB2312" w:hAnsi="宋体" w:eastAsia="仿宋_GB2312" w:cs="宋体"/>
          <w:kern w:val="0"/>
          <w:szCs w:val="21"/>
          <w:lang w:bidi="ar"/>
        </w:rPr>
      </w:pPr>
      <w:r>
        <w:rPr>
          <w:rFonts w:hint="eastAsia" w:ascii="仿宋_GB2312" w:hAnsi="宋体" w:eastAsia="仿宋_GB2312" w:cs="宋体"/>
          <w:kern w:val="0"/>
          <w:szCs w:val="21"/>
          <w:lang w:bidi="ar"/>
        </w:rPr>
        <w:t>（20）发包人在合同签订前对承包人“已标价工程量清单”进行复核时发现承包人未按招标文件要求填报工程量清单的，发包人按招标文件规定的原则对承包人“已标价工程量清单”进行修正，承包人必须无条件接受。</w:t>
      </w:r>
    </w:p>
    <w:p w14:paraId="19EBEE39">
      <w:pPr>
        <w:widowControl/>
        <w:spacing w:line="360" w:lineRule="auto"/>
        <w:ind w:firstLine="420" w:firstLineChars="200"/>
        <w:jc w:val="left"/>
        <w:rPr>
          <w:rFonts w:ascii="宋体" w:hAnsi="宋体" w:cs="宋体"/>
          <w:kern w:val="0"/>
          <w:szCs w:val="21"/>
          <w:u w:val="single"/>
          <w:lang w:bidi="ar"/>
        </w:rPr>
      </w:pPr>
      <w:r>
        <w:rPr>
          <w:rFonts w:hint="eastAsia" w:ascii="仿宋_GB2312" w:hAnsi="宋体" w:eastAsia="仿宋_GB2312" w:cs="宋体"/>
          <w:kern w:val="0"/>
          <w:szCs w:val="21"/>
          <w:lang w:bidi="ar"/>
        </w:rPr>
        <w:t>（21）</w:t>
      </w:r>
      <w:r>
        <w:rPr>
          <w:rFonts w:hint="eastAsia" w:ascii="仿宋_GB2312" w:hAnsi="宋体" w:eastAsia="仿宋_GB2312" w:cs="宋体"/>
          <w:kern w:val="0"/>
          <w:szCs w:val="21"/>
          <w:u w:val="single"/>
          <w:lang w:bidi="ar"/>
        </w:rPr>
        <w:t xml:space="preserve">        </w:t>
      </w:r>
      <w:r>
        <w:rPr>
          <w:rFonts w:hint="eastAsia" w:ascii="仿宋_GB2312" w:hAnsi="宋体" w:eastAsia="仿宋_GB2312" w:cs="宋体"/>
          <w:kern w:val="0"/>
          <w:szCs w:val="21"/>
          <w:lang w:bidi="ar"/>
        </w:rPr>
        <w:t>。</w:t>
      </w:r>
    </w:p>
    <w:p w14:paraId="4AF6C51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22.1.2 对承包人违约的处理</w:t>
      </w:r>
    </w:p>
    <w:p w14:paraId="61B9FA8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14:paraId="277819A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（4）承包人发生第 22.1.1 项约定的违约情况时，无论发包人是否解除合同，发包人均有权向承包人课以专用合同条款中规定的违约金，并由发包人将其违约行为上报省级交通运输主管部门，作为不良记录纳入公路建设市场信用信息管理系统。</w:t>
      </w:r>
    </w:p>
    <w:p w14:paraId="541BD6AD">
      <w:pPr>
        <w:adjustRightInd w:val="0"/>
        <w:snapToGrid w:val="0"/>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（5）承包人违约责任的承担方式和计算方法：</w:t>
      </w:r>
    </w:p>
    <w:p w14:paraId="61649211">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承包人未按合同约定提交履约保证金、低价风险担保、质量保证金的违约责任：承包人应支付违约金，违约金的计算方法：每延误1天，承包人按</w:t>
      </w:r>
      <w:r>
        <w:rPr>
          <w:rFonts w:hint="eastAsia" w:ascii="仿宋_GB2312" w:hAnsi="宋体" w:eastAsia="仿宋_GB2312" w:cs="宋体"/>
          <w:kern w:val="0"/>
          <w:szCs w:val="21"/>
          <w:u w:val="single"/>
        </w:rPr>
        <w:t xml:space="preserve"> （5000～50000）元/天</w:t>
      </w:r>
      <w:r>
        <w:rPr>
          <w:rFonts w:hint="eastAsia" w:ascii="仿宋_GB2312" w:hAnsi="宋体" w:eastAsia="仿宋_GB2312" w:cs="宋体"/>
          <w:kern w:val="0"/>
          <w:szCs w:val="21"/>
        </w:rPr>
        <w:t>计算违约金，累计违约金上限：</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万元（不超过签约合同价的3%）。</w:t>
      </w:r>
    </w:p>
    <w:p w14:paraId="03EB5CE3">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（6）承包人违反合同约定进行转包或违法分包的违约责任：按照违反合同约定进行转包和（或）违法分包相应转包和（或）分包合同的合同金额的</w:t>
      </w:r>
      <w:r>
        <w:rPr>
          <w:rFonts w:hint="eastAsia" w:ascii="仿宋_GB2312" w:hAnsi="宋体" w:eastAsia="仿宋_GB2312" w:cs="宋体"/>
          <w:kern w:val="0"/>
          <w:szCs w:val="21"/>
          <w:u w:val="single"/>
        </w:rPr>
        <w:t xml:space="preserve"> （5～10）%</w:t>
      </w:r>
      <w:r>
        <w:rPr>
          <w:rFonts w:hint="eastAsia" w:ascii="仿宋_GB2312" w:hAnsi="宋体" w:eastAsia="仿宋_GB2312" w:cs="宋体"/>
          <w:kern w:val="0"/>
          <w:szCs w:val="21"/>
        </w:rPr>
        <w:t>支付违约金，违法转/分包商应在7天内撤离出场。</w:t>
      </w:r>
    </w:p>
    <w:p w14:paraId="098D4CA7">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（7）承包人违反合同约定采购和使用不合格的材料和工程设备的违约责任：按照违反合同约定采购和使用不合格的材料和（或）工程设备相应合同金额的</w:t>
      </w:r>
      <w:r>
        <w:rPr>
          <w:rFonts w:hint="eastAsia" w:ascii="仿宋_GB2312" w:hAnsi="宋体" w:eastAsia="仿宋_GB2312" w:cs="宋体"/>
          <w:kern w:val="0"/>
          <w:szCs w:val="21"/>
          <w:u w:val="single"/>
        </w:rPr>
        <w:t>（5～10）%</w:t>
      </w:r>
      <w:r>
        <w:rPr>
          <w:rFonts w:hint="eastAsia" w:ascii="仿宋_GB2312" w:hAnsi="宋体" w:eastAsia="仿宋_GB2312" w:cs="宋体"/>
          <w:kern w:val="0"/>
          <w:szCs w:val="21"/>
        </w:rPr>
        <w:t>支付违约金。</w:t>
      </w:r>
    </w:p>
    <w:p w14:paraId="6BF7DBFB">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（8）因承包人原因导致工程质量不符合规定或合同要求的违约责任：承包人退还已支付工程质量不符合合同要求工程的工程款，并按照工程质量不符合合同要求工程相应合同金额的</w:t>
      </w:r>
      <w:r>
        <w:rPr>
          <w:rFonts w:hint="eastAsia" w:ascii="仿宋_GB2312" w:hAnsi="宋体" w:eastAsia="仿宋_GB2312" w:cs="宋体"/>
          <w:kern w:val="0"/>
          <w:szCs w:val="21"/>
          <w:u w:val="single"/>
        </w:rPr>
        <w:t>（5～10）%</w:t>
      </w:r>
      <w:r>
        <w:rPr>
          <w:rFonts w:hint="eastAsia" w:ascii="仿宋_GB2312" w:hAnsi="宋体" w:eastAsia="仿宋_GB2312" w:cs="宋体"/>
          <w:kern w:val="0"/>
          <w:szCs w:val="21"/>
        </w:rPr>
        <w:t>支付违约金。</w:t>
      </w:r>
    </w:p>
    <w:p w14:paraId="0C876BA2">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（9）承包人违反材料与设备的约定，未经批准，擅自将已按照合同约定进入施工现场的材料或设备撤离施工现场的违约责任：按照承包人擅自撤离施工现场材料和（或）设备相应合同金额的</w:t>
      </w:r>
      <w:r>
        <w:rPr>
          <w:rFonts w:hint="eastAsia" w:ascii="仿宋_GB2312" w:hAnsi="宋体" w:eastAsia="仿宋_GB2312" w:cs="宋体"/>
          <w:kern w:val="0"/>
          <w:szCs w:val="21"/>
          <w:u w:val="single"/>
        </w:rPr>
        <w:t>（1～5）%</w:t>
      </w:r>
      <w:r>
        <w:rPr>
          <w:rFonts w:hint="eastAsia" w:ascii="仿宋_GB2312" w:hAnsi="宋体" w:eastAsia="仿宋_GB2312" w:cs="宋体"/>
          <w:kern w:val="0"/>
          <w:szCs w:val="21"/>
        </w:rPr>
        <w:t>支付违约金。</w:t>
      </w:r>
    </w:p>
    <w:p w14:paraId="5988EF83">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（10）因承包人原因造成工期延误的违约承担方式和计算方法：由承包人承担由此增加的费用，由此导致工期延误的，工期不予顺延；逾期交工违约金的计算方法：每延误1天，承包人按</w:t>
      </w:r>
      <w:r>
        <w:rPr>
          <w:rFonts w:hint="eastAsia" w:ascii="仿宋_GB2312" w:hAnsi="宋体" w:eastAsia="仿宋_GB2312" w:cs="宋体"/>
          <w:kern w:val="0"/>
          <w:szCs w:val="21"/>
          <w:u w:val="single"/>
        </w:rPr>
        <w:t xml:space="preserve"> （5000～50000）元/天</w:t>
      </w:r>
      <w:r>
        <w:rPr>
          <w:rFonts w:hint="eastAsia" w:ascii="仿宋_GB2312" w:hAnsi="宋体" w:eastAsia="仿宋_GB2312" w:cs="宋体"/>
          <w:kern w:val="0"/>
          <w:szCs w:val="21"/>
        </w:rPr>
        <w:t>计算逾期交工违约金，累计违约金上限：</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万元（不超过签约合同价的3%）；承包人支付逾期交工违约金后，不免除承包人继续完成工程及修补缺陷的义务。</w:t>
      </w:r>
    </w:p>
    <w:p w14:paraId="5FC2266A">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（11）承包人在缺陷责任期及保修期内，未能在合理期限对工程缺陷进行修复，或拒绝按发包人要求进行修复的违约责任：按照发包人修复缺陷费用的</w:t>
      </w:r>
      <w:r>
        <w:rPr>
          <w:rFonts w:hint="eastAsia" w:ascii="仿宋_GB2312" w:hAnsi="宋体" w:eastAsia="仿宋_GB2312" w:cs="宋体"/>
          <w:kern w:val="0"/>
          <w:szCs w:val="21"/>
          <w:u w:val="single"/>
        </w:rPr>
        <w:t>（0.5～2）%</w:t>
      </w:r>
      <w:r>
        <w:rPr>
          <w:rFonts w:hint="eastAsia" w:ascii="仿宋_GB2312" w:hAnsi="宋体" w:eastAsia="仿宋_GB2312" w:cs="宋体"/>
          <w:kern w:val="0"/>
          <w:szCs w:val="21"/>
        </w:rPr>
        <w:t>支付违约金。</w:t>
      </w:r>
    </w:p>
    <w:p w14:paraId="73960034">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（12）承包人明确表示或者以其行为表明不履行合同主要义务的违约责任：按签约合同价的</w:t>
      </w:r>
      <w:r>
        <w:rPr>
          <w:rFonts w:hint="eastAsia" w:ascii="仿宋_GB2312" w:hAnsi="宋体" w:eastAsia="仿宋_GB2312" w:cs="宋体"/>
          <w:kern w:val="0"/>
          <w:szCs w:val="21"/>
          <w:u w:val="single"/>
        </w:rPr>
        <w:t>（5～10）%</w:t>
      </w:r>
      <w:r>
        <w:rPr>
          <w:rFonts w:hint="eastAsia" w:ascii="仿宋_GB2312" w:hAnsi="宋体" w:eastAsia="仿宋_GB2312" w:cs="宋体"/>
          <w:kern w:val="0"/>
          <w:szCs w:val="21"/>
        </w:rPr>
        <w:t>支付违约金。</w:t>
      </w:r>
    </w:p>
    <w:p w14:paraId="7CDB63D6">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（13）承包人未能按照合同约定履行其他义务的违约责任：按</w:t>
      </w:r>
      <w:r>
        <w:rPr>
          <w:rFonts w:hint="eastAsia" w:ascii="仿宋_GB2312" w:hAnsi="宋体" w:eastAsia="仿宋_GB2312" w:cs="宋体"/>
          <w:kern w:val="0"/>
          <w:szCs w:val="21"/>
          <w:u w:val="single"/>
        </w:rPr>
        <w:t>（500～5000）元/次</w:t>
      </w:r>
      <w:r>
        <w:rPr>
          <w:rFonts w:hint="eastAsia" w:ascii="仿宋_GB2312" w:hAnsi="宋体" w:eastAsia="仿宋_GB2312" w:cs="宋体"/>
          <w:kern w:val="0"/>
          <w:szCs w:val="21"/>
        </w:rPr>
        <w:t>支付违约金。</w:t>
      </w:r>
    </w:p>
    <w:p w14:paraId="44283C7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（14）承包人未能按期开工的违约责任：按合同价</w:t>
      </w:r>
      <w:r>
        <w:rPr>
          <w:rFonts w:hint="eastAsia" w:ascii="仿宋_GB2312" w:hAnsi="宋体" w:eastAsia="仿宋_GB2312" w:cs="宋体"/>
          <w:kern w:val="0"/>
          <w:szCs w:val="21"/>
          <w:u w:val="single"/>
        </w:rPr>
        <w:t>0.2‰</w:t>
      </w:r>
      <w:r>
        <w:rPr>
          <w:rFonts w:hint="eastAsia" w:ascii="仿宋_GB2312" w:hAnsi="宋体" w:eastAsia="仿宋_GB2312" w:cs="宋体"/>
          <w:kern w:val="0"/>
          <w:szCs w:val="21"/>
        </w:rPr>
        <w:t>/天支付违约金，本项违约金累计限额为签约合同价的</w:t>
      </w:r>
      <w:r>
        <w:rPr>
          <w:rFonts w:hint="eastAsia" w:ascii="仿宋_GB2312" w:hAnsi="宋体" w:eastAsia="仿宋_GB2312" w:cs="宋体"/>
          <w:kern w:val="0"/>
          <w:szCs w:val="21"/>
          <w:u w:val="single"/>
        </w:rPr>
        <w:t xml:space="preserve"> 1 %</w:t>
      </w:r>
      <w:r>
        <w:rPr>
          <w:rFonts w:hint="eastAsia" w:ascii="仿宋_GB2312" w:hAnsi="宋体" w:eastAsia="仿宋_GB2312" w:cs="宋体"/>
          <w:kern w:val="0"/>
          <w:szCs w:val="21"/>
        </w:rPr>
        <w:t>。</w:t>
      </w:r>
    </w:p>
    <w:p w14:paraId="171EE44D">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（15）承包人未按经审定的施工组织设计配备或更换关键施工设备的违约责任：按</w:t>
      </w:r>
      <w:r>
        <w:rPr>
          <w:rFonts w:hint="eastAsia" w:ascii="仿宋_GB2312" w:hAnsi="宋体" w:eastAsia="仿宋_GB2312" w:cs="宋体"/>
          <w:kern w:val="0"/>
          <w:szCs w:val="21"/>
          <w:u w:val="single"/>
        </w:rPr>
        <w:t>（5000～50000）元/台·次</w:t>
      </w:r>
      <w:r>
        <w:rPr>
          <w:rFonts w:hint="eastAsia" w:ascii="仿宋_GB2312" w:hAnsi="宋体" w:eastAsia="仿宋_GB2312" w:cs="宋体"/>
          <w:kern w:val="0"/>
          <w:szCs w:val="21"/>
        </w:rPr>
        <w:t>支付违约金。</w:t>
      </w:r>
    </w:p>
    <w:p w14:paraId="039BC529">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（16）承包人有安全问题或有违反规章制度情况的违约责任：根据具体情节，按签约合同价的</w:t>
      </w:r>
      <w:r>
        <w:rPr>
          <w:rFonts w:hint="eastAsia" w:ascii="仿宋_GB2312" w:hAnsi="宋体" w:eastAsia="仿宋_GB2312" w:cs="宋体"/>
          <w:kern w:val="0"/>
          <w:szCs w:val="21"/>
          <w:u w:val="single"/>
        </w:rPr>
        <w:t>0.5‰～4‰/次</w:t>
      </w:r>
      <w:r>
        <w:rPr>
          <w:rFonts w:hint="eastAsia" w:ascii="仿宋_GB2312" w:hAnsi="宋体" w:eastAsia="仿宋_GB2312" w:cs="宋体"/>
          <w:kern w:val="0"/>
          <w:szCs w:val="21"/>
        </w:rPr>
        <w:t>支付违约金（累计不超过签约合同价的1%）。</w:t>
      </w:r>
    </w:p>
    <w:p w14:paraId="2C0FA534">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（17）承包人拖欠其工人或所雇人员工资或报酬，导致其工人或所雇人员向有关部门投诉、控告、检举或以聚集等方式讨要工资或报酬的违约责任：根据具体情节，按违约金额</w:t>
      </w:r>
      <w:r>
        <w:rPr>
          <w:rFonts w:hint="eastAsia" w:ascii="仿宋_GB2312" w:hAnsi="宋体" w:eastAsia="仿宋_GB2312" w:cs="宋体"/>
          <w:kern w:val="0"/>
          <w:szCs w:val="21"/>
          <w:u w:val="single"/>
        </w:rPr>
        <w:t>（50000～200000）元/次</w:t>
      </w:r>
      <w:r>
        <w:rPr>
          <w:rFonts w:hint="eastAsia" w:ascii="仿宋_GB2312" w:hAnsi="宋体" w:eastAsia="仿宋_GB2312" w:cs="宋体"/>
          <w:kern w:val="0"/>
          <w:szCs w:val="21"/>
        </w:rPr>
        <w:t>支付违约金。</w:t>
      </w:r>
    </w:p>
    <w:p w14:paraId="08DCA374">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（18）承包人不配合发包人、监理人及发包人委托的工程造价咨询服务单位结算审核的违约责任：根据具体情节，按</w:t>
      </w:r>
      <w:r>
        <w:rPr>
          <w:rFonts w:hint="eastAsia" w:ascii="仿宋_GB2312" w:hAnsi="宋体" w:eastAsia="仿宋_GB2312" w:cs="宋体"/>
          <w:kern w:val="0"/>
          <w:szCs w:val="21"/>
          <w:u w:val="single"/>
        </w:rPr>
        <w:t>（10000～100000）元/次</w:t>
      </w:r>
      <w:r>
        <w:rPr>
          <w:rFonts w:hint="eastAsia" w:ascii="仿宋_GB2312" w:hAnsi="宋体" w:eastAsia="仿宋_GB2312" w:cs="宋体"/>
          <w:kern w:val="0"/>
          <w:szCs w:val="21"/>
        </w:rPr>
        <w:t>支付违约金；因承包人原因未按约定期限完成工程完工结算的责任：由承包人自行承担由此增加的费用，且每延误一天，按</w:t>
      </w:r>
      <w:r>
        <w:rPr>
          <w:rFonts w:hint="eastAsia" w:ascii="仿宋_GB2312" w:hAnsi="宋体" w:eastAsia="仿宋_GB2312" w:cs="宋体"/>
          <w:kern w:val="0"/>
          <w:szCs w:val="21"/>
          <w:u w:val="single"/>
        </w:rPr>
        <w:t>500</w:t>
      </w:r>
      <w:r>
        <w:rPr>
          <w:rFonts w:hint="eastAsia" w:ascii="仿宋_GB2312" w:hAnsi="宋体" w:eastAsia="仿宋_GB2312" w:cs="宋体"/>
          <w:kern w:val="0"/>
          <w:szCs w:val="21"/>
        </w:rPr>
        <w:t>元/天支付违约金。</w:t>
      </w:r>
    </w:p>
    <w:p w14:paraId="67BE11C1">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（19）承包人未按合同约定移交全部和部分工程的违约责任：由承包人承担工程照管、成品保护、保管等与工程有关的各种费用，并按结算金额或违约部分结算金额的</w:t>
      </w:r>
      <w:r>
        <w:rPr>
          <w:rFonts w:hint="eastAsia" w:ascii="仿宋_GB2312" w:hAnsi="宋体" w:eastAsia="仿宋_GB2312" w:cs="宋体"/>
          <w:kern w:val="0"/>
          <w:szCs w:val="21"/>
          <w:u w:val="single"/>
        </w:rPr>
        <w:t>（0.5～1）‰</w:t>
      </w:r>
      <w:r>
        <w:rPr>
          <w:rFonts w:hint="eastAsia" w:ascii="仿宋_GB2312" w:hAnsi="宋体" w:eastAsia="仿宋_GB2312" w:cs="宋体"/>
          <w:kern w:val="0"/>
          <w:szCs w:val="21"/>
        </w:rPr>
        <w:t>支付违约金。</w:t>
      </w:r>
    </w:p>
    <w:p w14:paraId="12CED10B">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（20）承包人未按合同约定购买保险的违约责任</w:t>
      </w:r>
      <w:r>
        <w:rPr>
          <w:rFonts w:hint="eastAsia" w:ascii="仿宋_GB2312" w:hAnsi="宋体" w:eastAsia="仿宋_GB2312" w:cs="宋体"/>
          <w:szCs w:val="21"/>
        </w:rPr>
        <w:t>：除按20.6.4项约定执行外，</w:t>
      </w:r>
      <w:r>
        <w:rPr>
          <w:rFonts w:hint="eastAsia" w:ascii="仿宋_GB2312" w:hAnsi="宋体" w:eastAsia="仿宋_GB2312" w:cs="宋体"/>
          <w:kern w:val="0"/>
          <w:szCs w:val="21"/>
        </w:rPr>
        <w:t>每延迟1天，按</w:t>
      </w:r>
      <w:r>
        <w:rPr>
          <w:rFonts w:hint="eastAsia" w:ascii="仿宋_GB2312" w:hAnsi="宋体" w:eastAsia="仿宋_GB2312" w:cs="宋体"/>
          <w:kern w:val="0"/>
          <w:szCs w:val="21"/>
          <w:u w:val="single"/>
        </w:rPr>
        <w:t>500</w:t>
      </w:r>
      <w:r>
        <w:rPr>
          <w:rFonts w:hint="eastAsia" w:ascii="仿宋_GB2312" w:hAnsi="宋体" w:eastAsia="仿宋_GB2312" w:cs="宋体"/>
          <w:kern w:val="0"/>
          <w:szCs w:val="21"/>
        </w:rPr>
        <w:t>元/天支付违约金。</w:t>
      </w:r>
    </w:p>
    <w:p w14:paraId="3E0F0BB0">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（21）发生第22.1.1条（17）、22.1.1条（18）、22.1.1条（19）违约情形的违约责任：除承担由此增加的费用和工期延误的责任，承包人应向发包人支付违约金：</w:t>
      </w:r>
    </w:p>
    <w:p w14:paraId="1D60769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1）项目经理违约承担方式和计算方法：对于第22.1.1条（17）的七种情形，每发现一次，根据具体情节，按</w:t>
      </w:r>
      <w:r>
        <w:rPr>
          <w:rFonts w:hint="eastAsia" w:ascii="仿宋_GB2312" w:hAnsi="宋体" w:eastAsia="仿宋_GB2312" w:cs="宋体"/>
          <w:kern w:val="0"/>
          <w:szCs w:val="21"/>
          <w:u w:val="single"/>
        </w:rPr>
        <w:t>（1000～30000）元/天·次</w:t>
      </w:r>
      <w:r>
        <w:rPr>
          <w:rFonts w:hint="eastAsia" w:ascii="仿宋_GB2312" w:hAnsi="宋体" w:eastAsia="仿宋_GB2312" w:cs="宋体"/>
          <w:kern w:val="0"/>
          <w:szCs w:val="21"/>
        </w:rPr>
        <w:t>计算违约金；</w:t>
      </w:r>
      <w:r>
        <w:rPr>
          <w:rFonts w:hint="eastAsia" w:ascii="仿宋_GB2312" w:hAnsi="宋体" w:eastAsia="仿宋_GB2312" w:cs="Microsoft Sans Serif"/>
          <w:kern w:val="0"/>
          <w:szCs w:val="21"/>
        </w:rPr>
        <w:t>项目经理不按承诺到岗的（4.7.1项约定的情形除外），按履约保证金的</w:t>
      </w:r>
      <w:r>
        <w:rPr>
          <w:rFonts w:hint="eastAsia" w:ascii="仿宋_GB2312" w:hAnsi="宋体" w:eastAsia="仿宋_GB2312" w:cs="Microsoft Sans Serif"/>
          <w:kern w:val="0"/>
          <w:szCs w:val="21"/>
          <w:u w:val="single"/>
        </w:rPr>
        <w:t>（50～100）%</w:t>
      </w:r>
      <w:r>
        <w:rPr>
          <w:rFonts w:hint="eastAsia" w:ascii="仿宋_GB2312" w:hAnsi="宋体" w:eastAsia="仿宋_GB2312" w:cs="Microsoft Sans Serif"/>
          <w:kern w:val="0"/>
          <w:szCs w:val="21"/>
        </w:rPr>
        <w:t>支付违约金，并解除合同；</w:t>
      </w:r>
      <w:r>
        <w:rPr>
          <w:rFonts w:hint="eastAsia" w:ascii="仿宋_GB2312" w:hAnsi="宋体" w:eastAsia="仿宋_GB2312" w:cs="宋体"/>
          <w:kern w:val="0"/>
          <w:szCs w:val="21"/>
        </w:rPr>
        <w:t>擅自更换项目经理的，按签约合同价的</w:t>
      </w:r>
      <w:r>
        <w:rPr>
          <w:rFonts w:hint="eastAsia" w:ascii="仿宋_GB2312" w:hAnsi="宋体" w:eastAsia="仿宋_GB2312" w:cs="宋体"/>
          <w:kern w:val="0"/>
          <w:szCs w:val="21"/>
          <w:u w:val="single"/>
        </w:rPr>
        <w:t>（0.5～3）%/人·次</w:t>
      </w:r>
      <w:r>
        <w:rPr>
          <w:rFonts w:hint="eastAsia" w:ascii="仿宋_GB2312" w:hAnsi="宋体" w:eastAsia="仿宋_GB2312" w:cs="宋体"/>
          <w:kern w:val="0"/>
          <w:szCs w:val="21"/>
        </w:rPr>
        <w:t>支付违约金，每次不低于20万，累计不超过200万。</w:t>
      </w:r>
    </w:p>
    <w:p w14:paraId="67933D9C">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主要项目总工违约承担方式和计算方法：对于第22.1.1条（18）的六种情形，每发现一次，根据具体情节，按1000～30000元/天·次计算违约金；擅自更换主要项目总工的，按签约合同价的（0.5～2）%/人·次支付违约金，每次不低于10万，累计不超过100万。</w:t>
      </w:r>
    </w:p>
    <w:p w14:paraId="6859D345">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主要施工管理人违约承担方式和计算方法：对于第22.1.1条（19）的五种情形，每发现一次，根据具体情节，按500～10000元/天·次计算违约金；擅自更换主要项目总工的，按签约合同价的（0.5～1）%/人·次支付违约金，累计不超过50万。</w:t>
      </w:r>
    </w:p>
    <w:p w14:paraId="4C765148">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（22）合同另有约定的，按照其约定。</w:t>
      </w:r>
    </w:p>
    <w:p w14:paraId="42B8F780">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应当由承包人向发包人支付的违约金，发包人可直接提取届时有效的履约保证金相应金额，不足部分由承包人支付；若发包人提取履约保证金相应金额，则承包人应在提取后7日内补足或提交合同约定的履约保证金的金额，否则按专用合同第22.1.2条（1）承担违约责任；并从应付或到期应付给承包人的任何款项中或采用其他方法，扣除该违约金或用于补足履约保证金被提起后的补足金额。</w:t>
      </w:r>
    </w:p>
    <w:p w14:paraId="3AD580F8">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承包人必须及时纠正违约行为，满足合同要求，自行承担纠正违约行为的费用或损失，工期不予顺延，并承担由此给发包人造成的经济损失。</w:t>
      </w:r>
    </w:p>
    <w:p w14:paraId="4B8372CB">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承包人承担承包范围的工程质量、安全、环保责任，因承包人原因引起的质量、安全、环保等事故由承包人承担相应的法律后果。</w:t>
      </w:r>
    </w:p>
    <w:p w14:paraId="34A3639A">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22.1.3 因承包人违约解除合同</w:t>
      </w:r>
    </w:p>
    <w:p w14:paraId="74296191">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本项补充：</w:t>
      </w:r>
    </w:p>
    <w:p w14:paraId="2C61E401">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因承包人违约并致使合同目的不能实现的，发包人有权解除合同：</w:t>
      </w:r>
    </w:p>
    <w:p w14:paraId="22B16805">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（1）未按合同约定延迟提供履约保证金、低价风险担保、质量保证金超过28天的；</w:t>
      </w:r>
    </w:p>
    <w:p w14:paraId="093A86E8">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（2）未按合同约定购买保险且经催告后超过56天的；</w:t>
      </w:r>
    </w:p>
    <w:p w14:paraId="3B7DBBF0">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（3）因承包人原因导致开工时间累计延误超过56天的；</w:t>
      </w:r>
    </w:p>
    <w:p w14:paraId="17B98E90">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（4）因承包人原因导致工期延误超过90天的；</w:t>
      </w:r>
    </w:p>
    <w:p w14:paraId="217FF577">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（5）发生第25.1款〔退出机制〕约定的情形的；</w:t>
      </w:r>
    </w:p>
    <w:p w14:paraId="05E47DCB">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（6）监理人发出整改通知后，承包人在监理人限定的期限内仍不纠正违约行为的；</w:t>
      </w:r>
    </w:p>
    <w:p w14:paraId="3B7A8BEC">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（7）发包人进入清算或者严重资不抵债且无法履行合同的；</w:t>
      </w:r>
    </w:p>
    <w:p w14:paraId="00984295">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（8）违反适用法律而被相关政府部门依法吊销营业执照、责令停业、清算或宣布破产、责令关闭的；</w:t>
      </w:r>
    </w:p>
    <w:p w14:paraId="36B367D0">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（9）承包人未履行合同项下的义务构成对合同的实质性违约，并且在收到发包人要求说明其违约并予以补救的通知后56天内仍未能补救该实质性违约的；</w:t>
      </w:r>
    </w:p>
    <w:p w14:paraId="34106D94">
      <w:pPr>
        <w:pStyle w:val="54"/>
        <w:spacing w:line="360" w:lineRule="auto"/>
        <w:ind w:firstLineChars="0"/>
        <w:jc w:val="left"/>
        <w:rPr>
          <w:rFonts w:hint="eastAsia" w:ascii="仿宋_GB2312" w:hAnsi="宋体" w:eastAsia="仿宋_GB2312" w:cs="宋体"/>
          <w:kern w:val="0"/>
          <w:sz w:val="21"/>
          <w:szCs w:val="21"/>
        </w:rPr>
      </w:pPr>
      <w:r>
        <w:rPr>
          <w:rFonts w:hint="eastAsia" w:ascii="仿宋_GB2312" w:hAnsi="宋体" w:eastAsia="仿宋_GB2312" w:cs="宋体"/>
          <w:kern w:val="0"/>
          <w:sz w:val="21"/>
          <w:szCs w:val="21"/>
        </w:rPr>
        <w:t>（10）合同约定其他情况的，发包人有权解除合同的。</w:t>
      </w:r>
    </w:p>
    <w:p w14:paraId="36801251">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22.1.4</w:t>
      </w:r>
      <w:r>
        <w:rPr>
          <w:rFonts w:hint="eastAsia" w:ascii="仿宋_GB2312" w:hAnsi="宋体" w:eastAsia="仿宋_GB2312"/>
          <w:szCs w:val="21"/>
        </w:rPr>
        <w:t>合同解除后的估价、付款和结清</w:t>
      </w:r>
    </w:p>
    <w:p w14:paraId="306CF3D1">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本项补充：</w:t>
      </w:r>
    </w:p>
    <w:p w14:paraId="02DC79CB">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因承包人违约导致合同解除的，合同当事人应在合同解除后56天内完成估价、付款和清算，并按以下约定执行：</w:t>
      </w:r>
    </w:p>
    <w:p w14:paraId="21B3502A">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（1）合同解除后，按第17.6款结算审定方式确定承包人实际完成工作对应的合同价款，以及承包人已提供的材料、工程设备、施工设备和临时工程等的价值；</w:t>
      </w:r>
    </w:p>
    <w:p w14:paraId="561752B3">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（2）合同解除后，承包人应支付的违约金；</w:t>
      </w:r>
    </w:p>
    <w:p w14:paraId="4DF01F54">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（3）合同解除后，因解除合同给发包人造成的损失；</w:t>
      </w:r>
    </w:p>
    <w:p w14:paraId="7122ADF1">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（4）合同解除后，承包人应按照发包人要求和监理人的指示完成现场的清理和撤离。</w:t>
      </w:r>
    </w:p>
    <w:p w14:paraId="219700FB">
      <w:pPr>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kern w:val="0"/>
          <w:szCs w:val="21"/>
        </w:rPr>
        <w:t>（5）</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715DDD92">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因承包人违约导致解除合同的，发包人有权暂停对承包人的付款，查清各项付款和已扣款项。发包人和承包人未能就合同解除后的清算和款项支付达成一致的，按照第24条〔争议的解决〕的约定处理。</w:t>
      </w:r>
    </w:p>
    <w:p w14:paraId="1873E1ED">
      <w:pPr>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合同解除后，发包人可派员进驻施工现场，另行组织人员或委托其他承包人继续完成合同工程；因继续完成工程的需要，发包人有权使用承包人在施工现场的材料、设备、临时工程、承包人文件和由承包人或以其名义编制的其他文件；发包人继续使用承包人在施工现场的材料、设备、临时工程、承包人文件和由承包人或以其名义编制的其他文件的费用承担方式由双方协商确定；发包人继续使用的行为不免除或减轻承包人应承担的违约责任，也不影响发包人根据合同享有的索赔等权利。</w:t>
      </w:r>
    </w:p>
    <w:p w14:paraId="42423ECE">
      <w:pPr>
        <w:pStyle w:val="6"/>
        <w:spacing w:before="0" w:beforeAutospacing="0" w:after="0" w:afterAutospacing="0" w:line="360" w:lineRule="auto"/>
        <w:rPr>
          <w:rFonts w:hint="eastAsia"/>
        </w:rPr>
      </w:pPr>
      <w:r>
        <w:rPr>
          <w:rFonts w:hint="eastAsia"/>
        </w:rPr>
        <w:t>22.2 发包人违约</w:t>
      </w:r>
    </w:p>
    <w:p w14:paraId="2DFAF87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22.2.1 发包人违约的情形</w:t>
      </w:r>
    </w:p>
    <w:p w14:paraId="2DAE4F38">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本项补充：</w:t>
      </w:r>
    </w:p>
    <w:p w14:paraId="42C7DC1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（5）发包人无正当理由不按时返还履约保证金、质量保证金或农民工工资保证金的；</w:t>
      </w:r>
    </w:p>
    <w:p w14:paraId="5119928D">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（6）根据专用合同条款第11.3款发包人的工期延误；</w:t>
      </w:r>
    </w:p>
    <w:p w14:paraId="3FE1822D">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（7）因发包人原因未能及时办理完毕合同约定的许可、批准或备案的；</w:t>
      </w:r>
    </w:p>
    <w:p w14:paraId="054A0FE7">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（8）因监理人未能按合同约定发出指示、指示延误或发出了错误指示而导致承包人费用增加和（或）工期延误的；</w:t>
      </w:r>
    </w:p>
    <w:p w14:paraId="5C5A89F7">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（9）根据第13.5.3条发包人或监理人要求重新检查的，经检查证明工程质量符合合同要求的，并由此产生增加的费用和（或）延误的工期的；</w:t>
      </w:r>
    </w:p>
    <w:p w14:paraId="74AF8C20">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（10）因发包人原因造成工程质量未达到合同约定标准的；</w:t>
      </w:r>
    </w:p>
    <w:p w14:paraId="047C822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（11）由于发包人原因对承包人造成的人员人身伤亡和财产损失的；</w:t>
      </w:r>
    </w:p>
    <w:p w14:paraId="59E6F97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（12）因发包人原因导致工程无法按期办理竣工验收和竣工结算的；</w:t>
      </w:r>
    </w:p>
    <w:p w14:paraId="7B3476B6">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（13）发包人无正当理由未按约定退还低价风险担保的；</w:t>
      </w:r>
    </w:p>
    <w:p w14:paraId="42792E2E">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（14）发包人不当提取履约保证金、低价风险担保或质量保证金或农民工工资保证金的；</w:t>
      </w:r>
    </w:p>
    <w:p w14:paraId="7AC4407C">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（15）发包人未按合同约定接收全部或部分工作的；</w:t>
      </w:r>
    </w:p>
    <w:p w14:paraId="22A54AD5">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rPr>
        <w:t>（16）发包人未按合同约定办理保险的；</w:t>
      </w:r>
    </w:p>
    <w:p w14:paraId="6B45E695">
      <w:pPr>
        <w:snapToGrid w:val="0"/>
        <w:spacing w:line="360" w:lineRule="auto"/>
        <w:ind w:firstLine="420" w:firstLineChars="200"/>
        <w:jc w:val="left"/>
        <w:rPr>
          <w:rFonts w:hint="eastAsia" w:ascii="仿宋_GB2312" w:hAnsi="宋体" w:eastAsia="仿宋_GB2312" w:cs="宋体"/>
          <w:kern w:val="0"/>
          <w:szCs w:val="21"/>
          <w:u w:val="single"/>
        </w:rPr>
      </w:pPr>
      <w:r>
        <w:rPr>
          <w:rFonts w:hint="eastAsia" w:ascii="仿宋_GB2312" w:hAnsi="宋体" w:eastAsia="仿宋_GB2312" w:cs="宋体"/>
          <w:kern w:val="0"/>
          <w:szCs w:val="21"/>
        </w:rPr>
        <w:t>（17）其他：</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6A211104">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22.2.2 承包人有权暂停施工</w:t>
      </w:r>
    </w:p>
    <w:p w14:paraId="4312634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本项细化为：</w:t>
      </w:r>
    </w:p>
    <w:p w14:paraId="70CB01B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发包人发生除第 22.2.1（4）、（5）目以外的违约情况时，承包人可向发包人发出通知，要求发包人采取有效措施纠正违约行为。发包人收到承包人通知后的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14:paraId="60FD71A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发包人发生第 22.2.1（5）目的违约情况时，承包人可向发包人发出通知，要求发包人采取有效措施纠正违约行为。发包人收到承包人通知后的 28 天内仍不返还履约保证金、质量保证金或农民工工资保证金的，发包人应按专用合同条款的约定向承包人支付逾期返还保证金的违约金。</w:t>
      </w:r>
    </w:p>
    <w:p w14:paraId="7739EDAE">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22.2.4 解除合同后的付款</w:t>
      </w:r>
    </w:p>
    <w:p w14:paraId="21CDD4C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本项（2）目细化为：</w:t>
      </w:r>
    </w:p>
    <w:p w14:paraId="39922160">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（2）承包人为该工程施工订购并已付款的材料、工程设备和其他物品的金额。发包人付款后，该材料、工程设备和其他物品归发包人所有；</w:t>
      </w:r>
    </w:p>
    <w:p w14:paraId="2B6493D3">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本款补充22.2.6项</w:t>
      </w:r>
    </w:p>
    <w:p w14:paraId="53BD3513">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22.2.6其他：</w:t>
      </w:r>
    </w:p>
    <w:p w14:paraId="57F5E098">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（1）因发包人原因未能及时办理完毕前述许可、批准或备案的违约责任：由发包人承担由此增加的费用和（或）顺延工期，并支付合理利润，具体索赔程序按照第23条〔索赔〕约定执行。</w:t>
      </w:r>
    </w:p>
    <w:p w14:paraId="06268E22">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因监理人未能按合同约定发出指示、指示延误或发出了错误指示而导致承包人费用增加和（或）工期延误的，由发包人承担由此增加的费用和（或）顺延工期，并支付合理利润，具体索赔程序按照第23条〔索赔〕约定执行。</w:t>
      </w:r>
    </w:p>
    <w:p w14:paraId="645AD787">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（3）因发包人原因导致工期延误的违约责任：由发包人承担由此增加的费用和（或）顺延工期，并支付合理利润，具体索赔程序按照第23条〔索赔〕约定执行。</w:t>
      </w:r>
    </w:p>
    <w:p w14:paraId="2DD709BB">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（4）因发包人原因未能在计划开工日期前7天内下达开工通知的违约责任：由发包人承担由此增加的费用和（或）顺延工期，并支付合理利润，具体索赔程序按照第23条〔索赔〕约定执行。</w:t>
      </w:r>
    </w:p>
    <w:p w14:paraId="0E0392B3">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（5）根据第13.5.3项发包人或监理人要求重新检查的，经检查证明工程质量符合合同要求的，由发包人承担由此增加的费用和（或）顺延工期，并支付合理利润，具体索赔程序按照第23条〔索赔〕约定执行。</w:t>
      </w:r>
    </w:p>
    <w:p w14:paraId="1663881C">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（6）因发包人原因未按合同约定支付合同价款的违约责任：发包人应向承包人支付违约金，自应当支付之日起28天后开始计算违约金，</w:t>
      </w:r>
      <w:r>
        <w:rPr>
          <w:rFonts w:hint="eastAsia" w:ascii="仿宋_GB2312" w:hAnsi="宋体" w:eastAsia="仿宋_GB2312" w:cs="宋体"/>
          <w:kern w:val="0"/>
          <w:szCs w:val="21"/>
          <w:u w:val="single"/>
        </w:rPr>
        <w:t>计算公式：违约金=应付未付金额×中国人民银行    年  月公布的     年期贷款市场报价利率/360天×逾期天数</w:t>
      </w:r>
      <w:r>
        <w:rPr>
          <w:rFonts w:hint="eastAsia" w:ascii="仿宋_GB2312" w:hAnsi="宋体" w:eastAsia="仿宋_GB2312" w:cs="宋体"/>
          <w:szCs w:val="21"/>
          <w:u w:val="single"/>
        </w:rPr>
        <w:t>（自第29天起计算）</w:t>
      </w:r>
      <w:r>
        <w:rPr>
          <w:rFonts w:hint="eastAsia" w:ascii="仿宋_GB2312" w:hAnsi="宋体" w:eastAsia="仿宋_GB2312" w:cs="宋体"/>
          <w:kern w:val="0"/>
          <w:szCs w:val="21"/>
          <w:u w:val="single"/>
        </w:rPr>
        <w:t>；逾期天数超过56天的，超过部分天数按上述利率的两倍计算并支付违约金。</w:t>
      </w:r>
    </w:p>
    <w:p w14:paraId="75974834">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（7）发包人违反合同约定，自行实施或转由他人实施被取消的合同工作内容的违约责任：由发包人承担由此给承包人造成的实际损失并支付合理利润。</w:t>
      </w:r>
    </w:p>
    <w:p w14:paraId="6B913DC0">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23条〔索赔〕约定执行。</w:t>
      </w:r>
    </w:p>
    <w:p w14:paraId="61184A9F">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（9）因发包人原因造成工程质量未达到合同约定标准的，由发包人承担由此增加的费用和（或）延误的工期，并支付合理利润。</w:t>
      </w:r>
    </w:p>
    <w:p w14:paraId="63EE5A09">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（10）因发包人违反合同约定造成暂停施工的违约责任：由发包人承担由此增加的费用和（或）顺延工期，并支付合理利润，具体索赔程序按照第23条〔索赔〕约定执行。</w:t>
      </w:r>
    </w:p>
    <w:p w14:paraId="7A70134C">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（11）发包人无正当理由没有在约定期限内发出复工指示，导致承包人无法复工的违约责任：由发包人承担由此增加的费用和（或）顺延工期，并支付合理利润，具体索赔程序按照第23条〔索赔〕约定执行。</w:t>
      </w:r>
    </w:p>
    <w:p w14:paraId="0108B55A">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（12）因发包人原因导致工程无法按期办理竣工验收和竣工结算的违约责任：由发包人承担由此增加的费用和（或）顺延工期，并支付合理利润，具体索赔程序按照第23条〔索赔〕约定执行。</w:t>
      </w:r>
    </w:p>
    <w:p w14:paraId="0A607FD6">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szCs w:val="21"/>
        </w:rPr>
        <w:t>（13）</w:t>
      </w:r>
      <w:r>
        <w:rPr>
          <w:rFonts w:hint="eastAsia" w:ascii="仿宋_GB2312" w:hAnsi="宋体" w:eastAsia="仿宋_GB2312" w:cs="宋体"/>
          <w:kern w:val="0"/>
          <w:szCs w:val="21"/>
        </w:rPr>
        <w:t>发包人无正当理由未按约定退还履约保证金、低价风险担保或质量保证金的违约责任：发包人应向承包人支付违约金，自应当退还之日起28天后开始计算违约金，计算公式：违约金=应退未退担保金额×中国人民银行</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年</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月公布的</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年期贷款市场报价利率/360天×逾期天数</w:t>
      </w:r>
      <w:r>
        <w:rPr>
          <w:rFonts w:hint="eastAsia" w:ascii="仿宋_GB2312" w:hAnsi="宋体" w:eastAsia="仿宋_GB2312" w:cs="宋体"/>
          <w:szCs w:val="21"/>
        </w:rPr>
        <w:t>（自第29天起计算）</w:t>
      </w:r>
      <w:r>
        <w:rPr>
          <w:rFonts w:hint="eastAsia" w:ascii="仿宋_GB2312" w:hAnsi="宋体" w:eastAsia="仿宋_GB2312" w:cs="宋体"/>
          <w:kern w:val="0"/>
          <w:szCs w:val="21"/>
        </w:rPr>
        <w:t>。</w:t>
      </w:r>
    </w:p>
    <w:p w14:paraId="599BF846">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14）发包人不当提取履约保证金、低价风险担保或质量保证金的，应及时予以退还，若不当提取超过28天的，应承担违约责任：发包人应向承包人支付违约金，计算公式：违约金=不当提取的担保金额×中国人民银行</w:t>
      </w:r>
      <w:r>
        <w:rPr>
          <w:rFonts w:hint="eastAsia" w:ascii="仿宋_GB2312" w:hAnsi="宋体" w:eastAsia="仿宋_GB2312" w:cs="宋体"/>
          <w:kern w:val="0"/>
          <w:szCs w:val="21"/>
          <w:u w:val="single"/>
        </w:rPr>
        <w:t xml:space="preserve">    </w:t>
      </w:r>
      <w:r>
        <w:rPr>
          <w:rFonts w:hint="eastAsia" w:ascii="仿宋_GB2312" w:hAnsi="宋体" w:eastAsia="仿宋_GB2312" w:cs="宋体"/>
          <w:szCs w:val="21"/>
        </w:rPr>
        <w:t>年</w:t>
      </w:r>
      <w:r>
        <w:rPr>
          <w:rFonts w:hint="eastAsia" w:ascii="仿宋_GB2312" w:hAnsi="宋体" w:eastAsia="仿宋_GB2312" w:cs="宋体"/>
          <w:kern w:val="0"/>
          <w:szCs w:val="21"/>
          <w:u w:val="single"/>
        </w:rPr>
        <w:t xml:space="preserve">    </w:t>
      </w:r>
      <w:r>
        <w:rPr>
          <w:rFonts w:hint="eastAsia" w:ascii="仿宋_GB2312" w:hAnsi="宋体" w:eastAsia="仿宋_GB2312" w:cs="宋体"/>
          <w:szCs w:val="21"/>
        </w:rPr>
        <w:t>月公布的</w:t>
      </w:r>
      <w:r>
        <w:rPr>
          <w:rFonts w:hint="eastAsia" w:ascii="仿宋_GB2312" w:hAnsi="宋体" w:eastAsia="仿宋_GB2312" w:cs="宋体"/>
          <w:kern w:val="0"/>
          <w:szCs w:val="21"/>
          <w:u w:val="single"/>
        </w:rPr>
        <w:t xml:space="preserve">    </w:t>
      </w:r>
      <w:r>
        <w:rPr>
          <w:rFonts w:hint="eastAsia" w:ascii="仿宋_GB2312" w:hAnsi="宋体" w:eastAsia="仿宋_GB2312" w:cs="宋体"/>
          <w:szCs w:val="21"/>
        </w:rPr>
        <w:t>年期贷款市场报价利率/360天×逾期天数（自第29天起计算）。</w:t>
      </w:r>
    </w:p>
    <w:p w14:paraId="45C06D53">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（15）发包人未按合同约定接收全部或部分工作的违约责任：由发包人承担自应当接收工程之日起的工程照管、成品保护、保管等与工程有关的各项费用。</w:t>
      </w:r>
    </w:p>
    <w:p w14:paraId="09F998B2">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（16）由于发包人原因对承包人造成的人员人身伤亡和财产损失的，由发包人负责赔偿，并承担由此增加的费用和（或）延误的工期，并支付合理利润。</w:t>
      </w:r>
    </w:p>
    <w:p w14:paraId="6DC47DAD">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（17）发包人未按合同约定办理保险的违约责任：除按18.6.1项约定执行外，每延迟1天，按500元/天支付违约金。</w:t>
      </w:r>
    </w:p>
    <w:p w14:paraId="641FF078">
      <w:pPr>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（18）其他：</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793202BC">
      <w:pPr>
        <w:snapToGrid w:val="0"/>
        <w:spacing w:line="360" w:lineRule="auto"/>
        <w:ind w:firstLine="420" w:firstLineChars="200"/>
        <w:jc w:val="left"/>
        <w:rPr>
          <w:rFonts w:hint="eastAsia" w:ascii="仿宋_GB2312" w:eastAsia="仿宋_GB2312"/>
          <w:lang w:bidi="ar"/>
        </w:rPr>
      </w:pPr>
      <w:r>
        <w:rPr>
          <w:rFonts w:hint="eastAsia" w:ascii="仿宋_GB2312" w:hAnsi="宋体" w:eastAsia="仿宋_GB2312" w:cs="宋体"/>
          <w:kern w:val="0"/>
          <w:szCs w:val="21"/>
        </w:rPr>
        <w:t>发包人发生除第22.2.1项以外的违约情况时，承包人可向发包人发出通知，要求发包人采取有效措施纠正违约行为。发包人收到承包人通知后的28天内仍不履行合同义务，承包人有权暂停施工，并通知监理人。</w:t>
      </w:r>
    </w:p>
    <w:p w14:paraId="78701483">
      <w:pPr>
        <w:pStyle w:val="5"/>
        <w:spacing w:before="0" w:after="0" w:line="360" w:lineRule="auto"/>
        <w:rPr>
          <w:rFonts w:hint="eastAsia" w:ascii="宋体" w:hAnsi="宋体"/>
        </w:rPr>
      </w:pPr>
      <w:bookmarkStart w:id="663" w:name="_Toc57795987"/>
      <w:bookmarkStart w:id="664" w:name="_Toc10368"/>
      <w:bookmarkStart w:id="665" w:name="_Toc21997"/>
      <w:bookmarkStart w:id="666" w:name="_Toc32630"/>
      <w:r>
        <w:rPr>
          <w:rFonts w:hint="eastAsia" w:ascii="宋体" w:hAnsi="宋体"/>
        </w:rPr>
        <w:t>23、索赔</w:t>
      </w:r>
      <w:bookmarkEnd w:id="663"/>
      <w:bookmarkEnd w:id="664"/>
      <w:bookmarkEnd w:id="665"/>
      <w:bookmarkEnd w:id="666"/>
    </w:p>
    <w:p w14:paraId="3A4C585F">
      <w:pPr>
        <w:pStyle w:val="6"/>
        <w:spacing w:before="0" w:beforeAutospacing="0" w:after="0" w:afterAutospacing="0" w:line="360" w:lineRule="auto"/>
        <w:rPr>
          <w:rFonts w:hint="eastAsia"/>
        </w:rPr>
      </w:pPr>
      <w:r>
        <w:rPr>
          <w:rFonts w:hint="eastAsia"/>
        </w:rPr>
        <w:t>23.1 承包人索赔的提出</w:t>
      </w:r>
    </w:p>
    <w:p w14:paraId="2E06CCC3">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本款第（4）项细化为：</w:t>
      </w:r>
    </w:p>
    <w:p w14:paraId="4CA38D1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（4）在索赔事件影响结束后的 28 天内，承包人应向监理人递交最终索赔通知书，说明最终要求索赔的追加付款金额和（或）延长的工期，并附必要的记录和证明材料。</w:t>
      </w:r>
    </w:p>
    <w:p w14:paraId="31C30E94">
      <w:pPr>
        <w:pStyle w:val="6"/>
        <w:spacing w:before="0" w:beforeAutospacing="0" w:after="0" w:afterAutospacing="0" w:line="360" w:lineRule="auto"/>
        <w:rPr>
          <w:rFonts w:hint="eastAsia"/>
        </w:rPr>
      </w:pPr>
      <w:r>
        <w:rPr>
          <w:rFonts w:hint="eastAsia"/>
        </w:rPr>
        <w:t>23.2 承包人索赔处理程序</w:t>
      </w:r>
    </w:p>
    <w:p w14:paraId="3076C503">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本款第（2）项细化为：</w:t>
      </w:r>
    </w:p>
    <w:p w14:paraId="60285D47">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（2）监理人应按第 3.5 款商定或确定追加的付款和（或）延长的工期，并在收到上述索赔通知书或有关索赔的进一步证明材料后的 42 天内，将索赔处理结果报发包人批准后答复承包人。如果承包人提出的索赔要求未能遵守第 23.1（2）~（4）项的规定，则承包人只限于索赔由监理人按当时记录予以核实的那部分款额和（或）工期延长天数。</w:t>
      </w:r>
    </w:p>
    <w:p w14:paraId="1915D71D">
      <w:pPr>
        <w:pStyle w:val="6"/>
        <w:spacing w:before="0" w:beforeAutospacing="0" w:after="0" w:afterAutospacing="0" w:line="360" w:lineRule="auto"/>
        <w:rPr>
          <w:rFonts w:hint="eastAsia" w:ascii="仿宋_GB2312" w:eastAsia="仿宋_GB2312"/>
        </w:rPr>
      </w:pPr>
      <w:r>
        <w:rPr>
          <w:rFonts w:hint="eastAsia" w:ascii="仿宋_GB2312" w:eastAsia="仿宋_GB2312"/>
        </w:rPr>
        <w:t>23.3 承包人提出索赔的期限</w:t>
      </w:r>
    </w:p>
    <w:p w14:paraId="3A2CA8DF">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本款补充第 23.3.3 项：</w:t>
      </w:r>
    </w:p>
    <w:p w14:paraId="23C9FD5F">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23.3.3除上述23.3.1和23.3.2规定的情形外，任一索赔事件发生后28天内，承包人未向发包人发出索赔意向通知书的，视为其已放弃索赔权，无权再就该索赔事项提出任何索赔。</w:t>
      </w:r>
    </w:p>
    <w:p w14:paraId="5D59AAC3">
      <w:pPr>
        <w:pStyle w:val="6"/>
        <w:spacing w:before="0" w:beforeAutospacing="0" w:after="0" w:afterAutospacing="0" w:line="360" w:lineRule="auto"/>
        <w:rPr>
          <w:rFonts w:hint="eastAsia" w:ascii="仿宋_GB2312" w:eastAsia="仿宋_GB2312"/>
        </w:rPr>
      </w:pPr>
      <w:r>
        <w:rPr>
          <w:rFonts w:hint="eastAsia" w:ascii="仿宋_GB2312" w:eastAsia="仿宋_GB2312"/>
        </w:rPr>
        <w:t>23.4 发包人的索赔</w:t>
      </w:r>
    </w:p>
    <w:p w14:paraId="2784AE70">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本款补充第 23.4.3 项：</w:t>
      </w:r>
    </w:p>
    <w:p w14:paraId="7EED901B">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23.4.3发包人应在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索赔事件具有持续影响的，发包人应在索赔事件影响结束后28天内，通过监理人向承包人正式递交最终索赔报告。</w:t>
      </w:r>
    </w:p>
    <w:p w14:paraId="3F8BE070">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对发包人索赔的处理如下：</w:t>
      </w:r>
    </w:p>
    <w:p w14:paraId="29E76600">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（1）承包人收到发包人提交的索赔报告后，应及时审查索赔报告的内容、查验发包人证明材料；</w:t>
      </w:r>
    </w:p>
    <w:p w14:paraId="407BD2B6">
      <w:pPr>
        <w:autoSpaceDE w:val="0"/>
        <w:autoSpaceDN w:val="0"/>
        <w:adjustRightInd w:val="0"/>
        <w:snapToGrid w:val="0"/>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4BC415A8">
      <w:pPr>
        <w:autoSpaceDE w:val="0"/>
        <w:autoSpaceDN w:val="0"/>
        <w:adjustRightInd w:val="0"/>
        <w:snapToGrid w:val="0"/>
        <w:spacing w:line="360" w:lineRule="auto"/>
        <w:ind w:firstLine="420" w:firstLineChars="200"/>
        <w:jc w:val="left"/>
        <w:rPr>
          <w:rFonts w:hint="eastAsia" w:ascii="宋体" w:hAnsi="宋体" w:cs="宋体"/>
          <w:kern w:val="0"/>
          <w:szCs w:val="21"/>
        </w:rPr>
      </w:pPr>
      <w:r>
        <w:rPr>
          <w:rFonts w:hint="eastAsia" w:ascii="仿宋_GB2312" w:hAnsi="宋体" w:eastAsia="仿宋_GB2312" w:cs="宋体"/>
          <w:kern w:val="0"/>
          <w:szCs w:val="21"/>
        </w:rPr>
        <w:t>（3）承包人接受索赔处理结果的，发包人可从应支付给承包人的合同价款中扣除赔付的金额或延长缺陷责任期；发包人不接受索赔处理结果的，按第24条〔争议的解决〕约定处理。</w:t>
      </w:r>
    </w:p>
    <w:p w14:paraId="73F5FA8D">
      <w:pPr>
        <w:pStyle w:val="5"/>
        <w:spacing w:before="0" w:after="0" w:line="360" w:lineRule="auto"/>
        <w:rPr>
          <w:rFonts w:hint="eastAsia" w:ascii="宋体" w:hAnsi="宋体"/>
        </w:rPr>
      </w:pPr>
      <w:bookmarkStart w:id="667" w:name="_Toc27540"/>
      <w:bookmarkStart w:id="668" w:name="_Toc57795988"/>
      <w:bookmarkStart w:id="669" w:name="_Toc6345"/>
      <w:bookmarkStart w:id="670" w:name="_Toc14394"/>
      <w:r>
        <w:rPr>
          <w:rFonts w:hint="eastAsia" w:ascii="宋体" w:hAnsi="宋体"/>
        </w:rPr>
        <w:t>24、争议的解决</w:t>
      </w:r>
      <w:bookmarkEnd w:id="667"/>
      <w:bookmarkEnd w:id="668"/>
      <w:bookmarkEnd w:id="669"/>
      <w:bookmarkEnd w:id="670"/>
    </w:p>
    <w:p w14:paraId="73340CF7">
      <w:pPr>
        <w:pStyle w:val="6"/>
        <w:spacing w:before="0" w:beforeAutospacing="0" w:after="0" w:afterAutospacing="0" w:line="360" w:lineRule="auto"/>
        <w:rPr>
          <w:rFonts w:hint="eastAsia" w:ascii="仿宋_GB2312" w:eastAsia="仿宋_GB2312"/>
        </w:rPr>
      </w:pPr>
      <w:r>
        <w:rPr>
          <w:rFonts w:hint="eastAsia" w:ascii="仿宋_GB2312" w:eastAsia="仿宋_GB2312"/>
        </w:rPr>
        <w:t>24.1 争议的解决方式</w:t>
      </w:r>
    </w:p>
    <w:p w14:paraId="37FD8F97">
      <w:pPr>
        <w:spacing w:line="360" w:lineRule="auto"/>
        <w:ind w:firstLine="420" w:firstLineChars="200"/>
        <w:rPr>
          <w:rFonts w:hint="eastAsia" w:ascii="仿宋_GB2312" w:hAnsi="宋体" w:eastAsia="仿宋_GB2312" w:cs="宋体"/>
          <w:szCs w:val="21"/>
        </w:rPr>
      </w:pPr>
      <w:r>
        <w:rPr>
          <w:rFonts w:hint="eastAsia" w:ascii="仿宋_GB2312" w:hAnsi="宋体" w:eastAsia="仿宋_GB2312" w:cs="宋体"/>
          <w:szCs w:val="21"/>
        </w:rPr>
        <w:t>本款补充：</w:t>
      </w:r>
    </w:p>
    <w:p w14:paraId="7E23A590">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szCs w:val="21"/>
        </w:rPr>
        <w:t>合同当事人友好协商解决不成、不愿提请争议评审或不接受争议评审组意见的，</w:t>
      </w:r>
      <w:r>
        <w:rPr>
          <w:rFonts w:hint="eastAsia" w:ascii="仿宋_GB2312" w:hAnsi="宋体" w:eastAsia="仿宋_GB2312" w:cs="宋体"/>
          <w:kern w:val="0"/>
          <w:szCs w:val="21"/>
        </w:rPr>
        <w:t>按下列第</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种方式解决：</w:t>
      </w:r>
    </w:p>
    <w:p w14:paraId="3D22F621">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（1）向</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仲裁委员会申请仲裁；</w:t>
      </w:r>
    </w:p>
    <w:p w14:paraId="545AC7E4">
      <w:pPr>
        <w:spacing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（2）向</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人民法院起诉。</w:t>
      </w:r>
    </w:p>
    <w:p w14:paraId="09C2DBB9">
      <w:pPr>
        <w:pStyle w:val="6"/>
        <w:spacing w:before="0" w:beforeAutospacing="0" w:after="0" w:afterAutospacing="0" w:line="360" w:lineRule="auto"/>
        <w:rPr>
          <w:rFonts w:hint="eastAsia"/>
        </w:rPr>
      </w:pPr>
      <w:r>
        <w:rPr>
          <w:rFonts w:hint="eastAsia"/>
        </w:rPr>
        <w:t>24.3 争议评审</w:t>
      </w:r>
    </w:p>
    <w:p w14:paraId="51C7645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第 24.3.1 项补充：</w:t>
      </w:r>
    </w:p>
    <w:p w14:paraId="1082801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争议评审组由 3 人或 5 人组成，专家的聘请方法可由发包人和承包人共同协商确定，亦可请政府主管部门推荐或通过合同争议调解机构聘请，并经双方认同。争议评审组成员应与合同双方均无利害关系。争议评审组的各项费用由发包人和承包人平均分担。</w:t>
      </w:r>
    </w:p>
    <w:p w14:paraId="770A9802">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本条补充第 24.4 款、第 24.5 款（适用于采用仲裁方式最终解决争议的项目）：</w:t>
      </w:r>
    </w:p>
    <w:p w14:paraId="24FAE560">
      <w:pPr>
        <w:pStyle w:val="6"/>
        <w:spacing w:before="0" w:beforeAutospacing="0" w:after="0" w:afterAutospacing="0" w:line="360" w:lineRule="auto"/>
        <w:rPr>
          <w:rFonts w:hint="eastAsia"/>
        </w:rPr>
      </w:pPr>
      <w:r>
        <w:rPr>
          <w:rFonts w:hint="eastAsia"/>
        </w:rPr>
        <w:t>24.4 仲裁</w:t>
      </w:r>
    </w:p>
    <w:p w14:paraId="4F4DB721">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（1）对于未能友好解决或未能通过争议评审解决的争议，发包人或承包人任一方均有权提交给第 24.1 款约定的仲裁委员会仲裁。</w:t>
      </w:r>
    </w:p>
    <w:p w14:paraId="782254F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仲裁可在交工之前或之后进行，但发包人、监理人和承包人各自的义务不得因在工程实施期间进行仲裁而有所改变。如果仲裁是在终止合同的情况下进行，则对合同工程应采取保护措施，措施费由败诉方承担。</w:t>
      </w:r>
    </w:p>
    <w:p w14:paraId="432F4EDA">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（3）仲裁裁决是终局性的并对发包人和承包人双方具有约束力。</w:t>
      </w:r>
    </w:p>
    <w:p w14:paraId="5E0399D5">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（4）全部仲裁费用应由败诉方承担；或按仲裁委员会裁决的比例分担。</w:t>
      </w:r>
    </w:p>
    <w:p w14:paraId="7B825D64">
      <w:pPr>
        <w:pStyle w:val="6"/>
        <w:spacing w:before="0" w:beforeAutospacing="0" w:after="0" w:afterAutospacing="0" w:line="360" w:lineRule="auto"/>
        <w:rPr>
          <w:rFonts w:hint="eastAsia"/>
        </w:rPr>
      </w:pPr>
      <w:r>
        <w:rPr>
          <w:rFonts w:hint="eastAsia"/>
        </w:rPr>
        <w:t>24.5 仲裁的执行</w:t>
      </w:r>
    </w:p>
    <w:p w14:paraId="2040FBDB">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（1）任何一方不履行仲裁机构的裁决的，对方可以向有管辖权的人民法院申请执行。</w:t>
      </w:r>
    </w:p>
    <w:p w14:paraId="741E60BC">
      <w:pPr>
        <w:widowControl/>
        <w:spacing w:line="360" w:lineRule="auto"/>
        <w:ind w:firstLine="420" w:firstLineChars="200"/>
        <w:jc w:val="left"/>
        <w:rPr>
          <w:rFonts w:hint="eastAsia" w:ascii="宋体" w:hAnsi="宋体" w:cs="宋体"/>
          <w:kern w:val="0"/>
          <w:szCs w:val="21"/>
          <w:lang w:bidi="ar"/>
        </w:rPr>
      </w:pPr>
      <w:r>
        <w:rPr>
          <w:rFonts w:hint="eastAsia" w:ascii="宋体" w:hAnsi="宋体" w:cs="宋体"/>
          <w:kern w:val="0"/>
          <w:szCs w:val="21"/>
          <w:lang w:bidi="ar"/>
        </w:rPr>
        <w:t>（2）任何一方提出证据证明裁决有《中华人民共和国仲裁法》第五十八条规定情形之一的，可以向仲裁委员会所在地的中级人民法院申请撤销裁决。人民法院认定执行该裁决违背社会公共利益的，裁定不予执行。仲裁裁决被人民法院裁定不予执行的，当事人可以根据双方达成的书面仲裁协议重新申请仲裁，也可以向人民法院起诉。</w:t>
      </w:r>
    </w:p>
    <w:p w14:paraId="051BDF56">
      <w:pPr>
        <w:pStyle w:val="5"/>
        <w:spacing w:before="0" w:after="0" w:line="360" w:lineRule="auto"/>
        <w:rPr>
          <w:rFonts w:hint="eastAsia" w:ascii="仿宋_GB2312" w:hAnsi="宋体" w:eastAsia="仿宋_GB2312"/>
        </w:rPr>
      </w:pPr>
      <w:bookmarkStart w:id="671" w:name="_Toc7763"/>
      <w:bookmarkStart w:id="672" w:name="_Toc396"/>
      <w:bookmarkStart w:id="673" w:name="_Toc30204"/>
      <w:bookmarkStart w:id="674" w:name="_Toc57795989"/>
      <w:r>
        <w:rPr>
          <w:rFonts w:hint="eastAsia" w:ascii="仿宋_GB2312" w:hAnsi="宋体" w:eastAsia="仿宋_GB2312"/>
        </w:rPr>
        <w:t>25、补充条款</w:t>
      </w:r>
      <w:bookmarkEnd w:id="671"/>
      <w:bookmarkEnd w:id="672"/>
      <w:bookmarkEnd w:id="673"/>
      <w:bookmarkEnd w:id="674"/>
    </w:p>
    <w:p w14:paraId="5968F1B2">
      <w:pPr>
        <w:pStyle w:val="6"/>
        <w:spacing w:before="0" w:beforeAutospacing="0" w:after="0" w:afterAutospacing="0" w:line="360" w:lineRule="auto"/>
        <w:ind w:firstLine="482" w:firstLineChars="200"/>
        <w:rPr>
          <w:rFonts w:hint="eastAsia" w:ascii="仿宋_GB2312" w:eastAsia="仿宋_GB2312"/>
        </w:rPr>
      </w:pPr>
      <w:r>
        <w:rPr>
          <w:rFonts w:hint="eastAsia" w:ascii="仿宋_GB2312" w:eastAsia="仿宋_GB2312"/>
        </w:rPr>
        <w:t>25.1 退出机制</w:t>
      </w:r>
    </w:p>
    <w:p w14:paraId="28139B34">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25.1.1有下列情形之一的，发包人有权解除合同，亦有权兑付履约保证金，并对承包人做清退出场处理：</w:t>
      </w:r>
    </w:p>
    <w:p w14:paraId="53235672">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（1）因承包人原因造成较大及以上等级生产安全事故或工程质量事故的；</w:t>
      </w:r>
    </w:p>
    <w:p w14:paraId="7B0C386E">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（2）因承包人债权债务纠纷或其他纠纷导致工程无法正常施工的。</w:t>
      </w:r>
    </w:p>
    <w:p w14:paraId="56C55C4F">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（3）</w:t>
      </w:r>
      <w:r>
        <w:rPr>
          <w:rFonts w:hint="eastAsia" w:ascii="仿宋_GB2312" w:hAnsi="宋体" w:eastAsia="仿宋_GB2312" w:cs="宋体"/>
          <w:szCs w:val="21"/>
          <w:u w:val="single"/>
        </w:rPr>
        <w:t xml:space="preserve">        </w:t>
      </w:r>
      <w:r>
        <w:rPr>
          <w:rFonts w:hint="eastAsia" w:ascii="仿宋_GB2312" w:hAnsi="宋体" w:eastAsia="仿宋_GB2312" w:cs="宋体"/>
          <w:szCs w:val="21"/>
        </w:rPr>
        <w:t>。</w:t>
      </w:r>
    </w:p>
    <w:p w14:paraId="5BA45987">
      <w:pPr>
        <w:snapToGrid w:val="0"/>
        <w:spacing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25.1.2有下列情形之一的，承包人有权解除合同，并按第22.2.4项约定执行：</w:t>
      </w:r>
    </w:p>
    <w:p w14:paraId="50C3D58C">
      <w:pPr>
        <w:spacing w:line="360" w:lineRule="auto"/>
        <w:ind w:right="105" w:rightChars="50" w:firstLine="420" w:firstLineChars="200"/>
        <w:jc w:val="left"/>
        <w:rPr>
          <w:rFonts w:hint="eastAsia" w:ascii="仿宋_GB2312" w:hAnsi="宋体" w:eastAsia="仿宋_GB2312" w:cs="宋体"/>
          <w:szCs w:val="21"/>
        </w:rPr>
      </w:pPr>
      <w:r>
        <w:rPr>
          <w:rFonts w:hint="eastAsia" w:ascii="仿宋_GB2312" w:hAnsi="宋体" w:eastAsia="仿宋_GB2312" w:cs="宋体"/>
          <w:szCs w:val="21"/>
        </w:rPr>
        <w:t>（1）因发包人征地、拆迁、补偿、审批手续等原因致使本工程延期开工超过90天的。</w:t>
      </w:r>
    </w:p>
    <w:p w14:paraId="6609A121">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（2）</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306AAA84">
      <w:pPr>
        <w:pStyle w:val="2"/>
        <w:spacing w:after="0" w:line="360" w:lineRule="auto"/>
        <w:ind w:firstLine="422" w:firstLineChars="200"/>
        <w:rPr>
          <w:rFonts w:hint="eastAsia" w:ascii="仿宋_GB2312" w:hAnsi="宋体" w:eastAsia="仿宋_GB2312" w:cs="宋体"/>
          <w:kern w:val="0"/>
          <w:szCs w:val="21"/>
        </w:rPr>
      </w:pPr>
      <w:r>
        <w:rPr>
          <w:rFonts w:hint="eastAsia" w:ascii="仿宋_GB2312" w:eastAsia="仿宋_GB2312"/>
          <w:b/>
          <w:bCs/>
        </w:rPr>
        <w:t>25.2</w:t>
      </w:r>
      <w:r>
        <w:rPr>
          <w:rFonts w:hint="eastAsia" w:ascii="仿宋_GB2312" w:hAnsi="宋体" w:eastAsia="仿宋_GB2312" w:cs="宋体"/>
          <w:b/>
          <w:bCs/>
          <w:kern w:val="0"/>
          <w:szCs w:val="21"/>
        </w:rPr>
        <w:t xml:space="preserve"> 低价风险担保</w:t>
      </w:r>
    </w:p>
    <w:p w14:paraId="10A5EA2C">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承包人提供低价风险担保的情形：采用经评审的最低投标价法的项目投标报价低于最高限价85%时。</w:t>
      </w:r>
    </w:p>
    <w:p w14:paraId="0C733C1F">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承包人提供低价风险担保的形式、金额及期限的：</w:t>
      </w:r>
    </w:p>
    <w:p w14:paraId="2B0A2D37">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（1）低价风险担保的形式：</w:t>
      </w:r>
      <w:r>
        <w:rPr>
          <w:rFonts w:hint="eastAsia" w:ascii="仿宋_GB2312" w:eastAsia="仿宋_GB2312"/>
        </w:rPr>
        <w:t>现金或银行保函或现金+银行保函的组合；采用保函形式的，保函必须为不可撤销、不可转让且见索即付的独立保函</w:t>
      </w:r>
      <w:r>
        <w:rPr>
          <w:rFonts w:hint="eastAsia" w:ascii="仿宋_GB2312" w:hAnsi="宋体" w:eastAsia="仿宋_GB2312" w:cs="宋体"/>
          <w:kern w:val="0"/>
          <w:szCs w:val="21"/>
        </w:rPr>
        <w:t>；</w:t>
      </w:r>
    </w:p>
    <w:p w14:paraId="72025B12">
      <w:pPr>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（2）低价风险担保的金额：</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7CCDE354">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（3）低价风险担保的提交时间：</w:t>
      </w:r>
      <w:r>
        <w:rPr>
          <w:rFonts w:hint="eastAsia" w:ascii="仿宋_GB2312" w:eastAsia="仿宋_GB2312"/>
          <w:u w:val="single"/>
        </w:rPr>
        <w:t>从招标人中标通知书送达拟中标人之日起    工作日内</w:t>
      </w:r>
      <w:r>
        <w:rPr>
          <w:rFonts w:hint="eastAsia" w:ascii="仿宋_GB2312" w:hAnsi="宋体" w:eastAsia="仿宋_GB2312" w:cs="宋体"/>
          <w:kern w:val="0"/>
          <w:szCs w:val="21"/>
        </w:rPr>
        <w:t>；</w:t>
      </w:r>
    </w:p>
    <w:p w14:paraId="11A5BE6A">
      <w:pPr>
        <w:tabs>
          <w:tab w:val="left" w:pos="1134"/>
        </w:tabs>
        <w:spacing w:line="360" w:lineRule="auto"/>
        <w:ind w:firstLine="420" w:firstLineChars="200"/>
        <w:jc w:val="left"/>
        <w:rPr>
          <w:rFonts w:hint="eastAsia" w:ascii="仿宋_GB2312" w:hAnsi="宋体" w:eastAsia="仿宋_GB2312" w:cs="宋体"/>
          <w:kern w:val="0"/>
          <w:szCs w:val="21"/>
        </w:rPr>
      </w:pPr>
      <w:r>
        <w:rPr>
          <w:rFonts w:hint="eastAsia" w:ascii="仿宋_GB2312" w:hAnsi="宋体" w:eastAsia="仿宋_GB2312" w:cs="宋体"/>
          <w:kern w:val="0"/>
          <w:szCs w:val="21"/>
        </w:rPr>
        <w:t>（4）低价风险担保的期限：</w:t>
      </w:r>
      <w:r>
        <w:rPr>
          <w:rFonts w:hint="eastAsia" w:ascii="仿宋_GB2312" w:hAnsi="宋体" w:eastAsia="仿宋_GB2312" w:cs="宋体"/>
          <w:kern w:val="0"/>
          <w:szCs w:val="21"/>
          <w:u w:val="single"/>
        </w:rPr>
        <w:t>自低价风险担保生效之日起至工程竣（交）工验收合格之日止</w:t>
      </w:r>
      <w:r>
        <w:rPr>
          <w:rFonts w:hint="eastAsia" w:ascii="仿宋_GB2312" w:hAnsi="宋体" w:eastAsia="仿宋_GB2312" w:cs="宋体"/>
          <w:kern w:val="0"/>
          <w:szCs w:val="21"/>
        </w:rPr>
        <w:t>。</w:t>
      </w:r>
    </w:p>
    <w:p w14:paraId="457FF2AB">
      <w:pPr>
        <w:pStyle w:val="2"/>
        <w:spacing w:after="0" w:line="360" w:lineRule="auto"/>
        <w:ind w:firstLine="420" w:firstLineChars="200"/>
        <w:rPr>
          <w:rFonts w:hint="eastAsia" w:ascii="仿宋_GB2312" w:hAnsi="宋体" w:eastAsia="仿宋_GB2312" w:cs="宋体"/>
          <w:kern w:val="0"/>
          <w:szCs w:val="21"/>
        </w:rPr>
      </w:pPr>
      <w:r>
        <w:rPr>
          <w:rFonts w:hint="eastAsia" w:ascii="仿宋_GB2312" w:hAnsi="宋体" w:eastAsia="仿宋_GB2312" w:cs="宋体"/>
          <w:kern w:val="0"/>
          <w:szCs w:val="21"/>
        </w:rPr>
        <w:t>低价风险担保的退还时间：</w:t>
      </w:r>
      <w:r>
        <w:rPr>
          <w:rFonts w:hint="eastAsia" w:ascii="仿宋_GB2312" w:hAnsi="宋体" w:eastAsia="仿宋_GB2312" w:cs="宋体"/>
          <w:kern w:val="0"/>
          <w:szCs w:val="21"/>
          <w:u w:val="single"/>
        </w:rPr>
        <w:t>采用现金担保的，工程竣（交）工验收合格后14天内退还，合同履行期间允许承包人用符合要求的银行保函进行置换；采用银行保函的，工程竣（交）工验收合格后14天内退还</w:t>
      </w:r>
      <w:r>
        <w:rPr>
          <w:rFonts w:hint="eastAsia" w:ascii="仿宋_GB2312" w:hAnsi="宋体" w:eastAsia="仿宋_GB2312" w:cs="宋体"/>
          <w:kern w:val="0"/>
          <w:szCs w:val="21"/>
        </w:rPr>
        <w:t>。采用分段退还的，低价风险担保的退还时间及方式为：</w:t>
      </w:r>
      <w:r>
        <w:rPr>
          <w:rFonts w:hint="eastAsia" w:ascii="仿宋_GB2312" w:hAnsi="宋体" w:eastAsia="仿宋_GB2312" w:cs="宋体"/>
          <w:kern w:val="0"/>
          <w:szCs w:val="21"/>
          <w:u w:val="single"/>
        </w:rPr>
        <w:t xml:space="preserve">        </w:t>
      </w:r>
      <w:r>
        <w:rPr>
          <w:rFonts w:hint="eastAsia" w:ascii="仿宋_GB2312" w:hAnsi="宋体" w:eastAsia="仿宋_GB2312" w:cs="宋体"/>
          <w:kern w:val="0"/>
          <w:szCs w:val="21"/>
        </w:rPr>
        <w:t>。</w:t>
      </w:r>
    </w:p>
    <w:p w14:paraId="4CE92B27">
      <w:pPr>
        <w:pStyle w:val="2"/>
        <w:spacing w:after="0" w:line="360" w:lineRule="auto"/>
        <w:ind w:firstLine="420" w:firstLineChars="200"/>
        <w:jc w:val="left"/>
        <w:rPr>
          <w:rFonts w:hint="eastAsia" w:ascii="仿宋_GB2312" w:hAnsi="宋体" w:eastAsia="仿宋_GB2312" w:cs="宋体"/>
          <w:szCs w:val="21"/>
        </w:rPr>
      </w:pPr>
      <w:r>
        <w:rPr>
          <w:rFonts w:hint="eastAsia" w:ascii="仿宋_GB2312" w:hAnsi="宋体" w:eastAsia="仿宋_GB2312" w:cs="宋体"/>
          <w:szCs w:val="21"/>
        </w:rPr>
        <w:t>（5）低价风险担保的扣减：</w:t>
      </w:r>
    </w:p>
    <w:p w14:paraId="5C8257FD">
      <w:pPr>
        <w:pStyle w:val="2"/>
        <w:spacing w:after="0" w:line="360" w:lineRule="auto"/>
        <w:ind w:firstLine="420" w:firstLineChars="200"/>
        <w:jc w:val="left"/>
        <w:rPr>
          <w:rFonts w:hint="eastAsia" w:ascii="仿宋_GB2312" w:hAnsi="宋体" w:eastAsia="仿宋_GB2312" w:cs="宋体"/>
          <w:szCs w:val="21"/>
          <w:u w:val="single"/>
        </w:rPr>
      </w:pPr>
      <w:r>
        <w:rPr>
          <w:rFonts w:hint="eastAsia" w:ascii="仿宋_GB2312" w:hAnsi="宋体" w:eastAsia="仿宋_GB2312" w:cs="宋体"/>
          <w:szCs w:val="21"/>
          <w:u w:val="single"/>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    （50～100%）扣减，直至解除合同；</w:t>
      </w:r>
    </w:p>
    <w:p w14:paraId="4A74AD7F">
      <w:pPr>
        <w:pStyle w:val="2"/>
        <w:spacing w:after="0" w:line="360" w:lineRule="auto"/>
        <w:ind w:firstLine="420" w:firstLineChars="200"/>
        <w:jc w:val="left"/>
        <w:rPr>
          <w:rFonts w:hint="eastAsia" w:ascii="仿宋_GB2312" w:hAnsi="宋体" w:eastAsia="仿宋_GB2312" w:cs="宋体"/>
          <w:szCs w:val="21"/>
          <w:u w:val="single"/>
        </w:rPr>
      </w:pPr>
      <w:r>
        <w:rPr>
          <w:rFonts w:hint="eastAsia" w:ascii="仿宋_GB2312" w:hAnsi="宋体" w:eastAsia="仿宋_GB2312" w:cs="宋体"/>
          <w:szCs w:val="21"/>
          <w:u w:val="single"/>
        </w:rPr>
        <w:t>②承包人在工程施工期间或竣工验收时，工程质量不符合国家现行有关施工质量验收规范要求的，按低价风险担保金额的    （50～100%）扣减，直至解除合同；</w:t>
      </w:r>
    </w:p>
    <w:p w14:paraId="2D86DD7D">
      <w:pPr>
        <w:pStyle w:val="2"/>
        <w:spacing w:after="0" w:line="360" w:lineRule="auto"/>
        <w:ind w:firstLine="420" w:firstLineChars="200"/>
        <w:jc w:val="left"/>
        <w:rPr>
          <w:rFonts w:hint="eastAsia" w:ascii="仿宋_GB2312" w:hAnsi="宋体" w:eastAsia="仿宋_GB2312" w:cs="宋体"/>
          <w:szCs w:val="21"/>
          <w:u w:val="single"/>
        </w:rPr>
      </w:pPr>
      <w:r>
        <w:rPr>
          <w:rFonts w:hint="eastAsia" w:ascii="仿宋_GB2312" w:hAnsi="宋体" w:eastAsia="仿宋_GB2312" w:cs="宋体"/>
          <w:szCs w:val="21"/>
          <w:u w:val="single"/>
        </w:rPr>
        <w:t>③承包人因22.1.3项原因被解除合同的，低价风险担保金额将全额扣除；</w:t>
      </w:r>
    </w:p>
    <w:p w14:paraId="66762C95">
      <w:pPr>
        <w:spacing w:line="360" w:lineRule="auto"/>
        <w:ind w:right="105" w:rightChars="50" w:firstLine="420" w:firstLineChars="200"/>
        <w:jc w:val="left"/>
        <w:rPr>
          <w:rFonts w:hint="eastAsia" w:ascii="仿宋_GB2312" w:hAnsi="宋体" w:eastAsia="仿宋_GB2312" w:cs="宋体"/>
          <w:szCs w:val="21"/>
          <w:u w:val="single"/>
        </w:rPr>
      </w:pPr>
      <w:r>
        <w:rPr>
          <w:rFonts w:hint="eastAsia" w:ascii="仿宋_GB2312" w:hAnsi="宋体" w:eastAsia="仿宋_GB2312" w:cs="宋体"/>
          <w:szCs w:val="21"/>
          <w:u w:val="single"/>
        </w:rPr>
        <w:t>④因承包人过错导致的其他情形：        。</w:t>
      </w:r>
    </w:p>
    <w:p w14:paraId="70C8E7CF">
      <w:pPr>
        <w:spacing w:line="360" w:lineRule="auto"/>
        <w:ind w:right="105" w:rightChars="50" w:firstLine="422" w:firstLineChars="200"/>
        <w:jc w:val="left"/>
        <w:rPr>
          <w:rFonts w:hint="eastAsia" w:ascii="仿宋_GB2312" w:hAnsi="宋体" w:eastAsia="仿宋_GB2312" w:cs="宋体"/>
          <w:b/>
          <w:bCs/>
          <w:kern w:val="0"/>
          <w:szCs w:val="21"/>
        </w:rPr>
      </w:pPr>
      <w:r>
        <w:rPr>
          <w:rFonts w:hint="eastAsia" w:ascii="仿宋_GB2312" w:eastAsia="仿宋_GB2312"/>
          <w:b/>
          <w:bCs/>
        </w:rPr>
        <w:t>25.3</w:t>
      </w:r>
      <w:r>
        <w:rPr>
          <w:rFonts w:hint="eastAsia" w:ascii="仿宋_GB2312" w:hAnsi="宋体" w:eastAsia="仿宋_GB2312" w:cs="宋体"/>
          <w:b/>
          <w:bCs/>
          <w:kern w:val="0"/>
          <w:szCs w:val="21"/>
        </w:rPr>
        <w:t xml:space="preserve"> </w:t>
      </w:r>
      <w:r>
        <w:rPr>
          <w:rFonts w:hint="eastAsia"/>
          <w:szCs w:val="21"/>
        </w:rPr>
        <w:t>关于不平衡报价的约定：</w:t>
      </w:r>
      <w:r>
        <w:rPr>
          <w:rFonts w:hint="eastAsia" w:ascii="仿宋_GB2312" w:hAnsi="宋体" w:eastAsia="仿宋_GB2312" w:cs="宋体"/>
          <w:b/>
          <w:bCs/>
          <w:kern w:val="0"/>
          <w:szCs w:val="21"/>
          <w:u w:val="single"/>
        </w:rPr>
        <w:t xml:space="preserve">        </w:t>
      </w:r>
      <w:r>
        <w:rPr>
          <w:rFonts w:hint="eastAsia" w:ascii="仿宋_GB2312" w:hAnsi="宋体" w:eastAsia="仿宋_GB2312" w:cs="宋体"/>
          <w:b/>
          <w:bCs/>
          <w:kern w:val="0"/>
          <w:szCs w:val="21"/>
        </w:rPr>
        <w:t>。</w:t>
      </w:r>
    </w:p>
    <w:p w14:paraId="2582AAF1">
      <w:pPr>
        <w:spacing w:line="360" w:lineRule="auto"/>
        <w:ind w:right="105" w:rightChars="50" w:firstLine="422" w:firstLineChars="200"/>
        <w:jc w:val="left"/>
      </w:pPr>
      <w:r>
        <w:rPr>
          <w:rFonts w:hint="eastAsia" w:ascii="仿宋_GB2312" w:eastAsia="仿宋_GB2312"/>
          <w:b/>
          <w:bCs/>
        </w:rPr>
        <w:t>25.4</w:t>
      </w:r>
      <w:r>
        <w:rPr>
          <w:rFonts w:hint="eastAsia" w:ascii="仿宋_GB2312" w:hAnsi="宋体" w:eastAsia="仿宋_GB2312" w:cs="宋体"/>
          <w:b/>
          <w:bCs/>
          <w:kern w:val="0"/>
          <w:szCs w:val="21"/>
        </w:rPr>
        <w:t xml:space="preserve"> </w:t>
      </w:r>
      <w:r>
        <w:rPr>
          <w:rFonts w:hint="eastAsia" w:ascii="仿宋_GB2312" w:hAnsi="宋体" w:eastAsia="仿宋_GB2312" w:cs="宋体"/>
          <w:b/>
          <w:bCs/>
          <w:kern w:val="0"/>
          <w:szCs w:val="21"/>
          <w:u w:val="single"/>
        </w:rPr>
        <w:t xml:space="preserve">        </w:t>
      </w:r>
      <w:r>
        <w:rPr>
          <w:rFonts w:hint="eastAsia" w:ascii="仿宋_GB2312" w:hAnsi="宋体" w:eastAsia="仿宋_GB2312" w:cs="宋体"/>
          <w:b/>
          <w:bCs/>
          <w:kern w:val="0"/>
          <w:szCs w:val="21"/>
        </w:rPr>
        <w:t>。</w:t>
      </w:r>
    </w:p>
    <w:p w14:paraId="113B9A38">
      <w:pPr>
        <w:spacing w:line="400" w:lineRule="exact"/>
        <w:jc w:val="center"/>
        <w:rPr>
          <w:rFonts w:ascii="宋体" w:hAnsi="宋体"/>
          <w:b/>
          <w:sz w:val="28"/>
          <w:szCs w:val="28"/>
        </w:rPr>
      </w:pPr>
      <w:r>
        <w:rPr>
          <w:rFonts w:ascii="宋体" w:hAnsi="宋体"/>
          <w:b/>
        </w:rPr>
        <w:br w:type="page"/>
      </w:r>
    </w:p>
    <w:p w14:paraId="541DFDFA">
      <w:pPr>
        <w:spacing w:line="400" w:lineRule="exact"/>
        <w:jc w:val="center"/>
        <w:rPr>
          <w:rStyle w:val="38"/>
          <w:rFonts w:ascii="宋体" w:hAnsi="宋体"/>
        </w:rPr>
      </w:pPr>
    </w:p>
    <w:p w14:paraId="260E82B9">
      <w:pPr>
        <w:pStyle w:val="4"/>
        <w:jc w:val="center"/>
        <w:rPr>
          <w:rFonts w:ascii="宋体" w:hAnsi="宋体"/>
        </w:rPr>
      </w:pPr>
      <w:bookmarkStart w:id="675" w:name="_Toc57795990"/>
      <w:bookmarkStart w:id="676" w:name="_Toc30109"/>
      <w:r>
        <w:rPr>
          <w:rFonts w:ascii="宋体" w:hAnsi="宋体"/>
        </w:rPr>
        <w:t xml:space="preserve">第三节 </w:t>
      </w:r>
      <w:r>
        <w:rPr>
          <w:rFonts w:hint="eastAsia" w:ascii="宋体" w:hAnsi="宋体"/>
        </w:rPr>
        <w:t>合同附件格式</w:t>
      </w:r>
      <w:bookmarkEnd w:id="675"/>
      <w:bookmarkEnd w:id="676"/>
    </w:p>
    <w:p w14:paraId="16E77C2A">
      <w:pPr>
        <w:widowControl/>
        <w:jc w:val="center"/>
        <w:rPr>
          <w:rFonts w:ascii="宋体" w:hAnsi="宋体"/>
        </w:rPr>
      </w:pPr>
      <w:r>
        <w:rPr>
          <w:rFonts w:hint="eastAsia" w:ascii="宋体" w:hAnsi="宋体"/>
        </w:rPr>
        <w:t>以下附件是本合同的有效组成部分。</w:t>
      </w:r>
    </w:p>
    <w:p w14:paraId="1735BF4A">
      <w:pPr>
        <w:pStyle w:val="5"/>
        <w:jc w:val="center"/>
        <w:rPr>
          <w:rFonts w:hint="eastAsia" w:ascii="宋体" w:hAnsi="宋体" w:cs="黑体"/>
          <w:b w:val="0"/>
          <w:bCs w:val="0"/>
        </w:rPr>
      </w:pPr>
      <w:bookmarkStart w:id="677" w:name="_Toc534185765"/>
      <w:bookmarkStart w:id="678" w:name="_Toc351203494"/>
      <w:bookmarkStart w:id="679" w:name="_Toc27983310"/>
      <w:bookmarkStart w:id="680" w:name="_Toc509218786"/>
      <w:bookmarkStart w:id="681" w:name="_Toc424558728"/>
      <w:bookmarkStart w:id="682" w:name="_Toc509390696"/>
      <w:bookmarkStart w:id="683" w:name="_Toc152045768"/>
      <w:bookmarkStart w:id="684" w:name="_Toc424558368"/>
      <w:bookmarkStart w:id="685" w:name="_Toc335223531"/>
      <w:bookmarkStart w:id="686" w:name="_Toc467164257"/>
      <w:bookmarkStart w:id="687" w:name="_Toc240180916"/>
      <w:bookmarkStart w:id="688" w:name="_Toc152042547"/>
      <w:bookmarkStart w:id="689" w:name="_Toc144974827"/>
      <w:r>
        <w:rPr>
          <w:rFonts w:hint="eastAsia" w:ascii="宋体" w:hAnsi="宋体" w:cs="黑体"/>
          <w:b w:val="0"/>
          <w:bCs w:val="0"/>
        </w:rPr>
        <w:br w:type="page"/>
      </w:r>
      <w:bookmarkStart w:id="690" w:name="_Toc1311"/>
      <w:bookmarkStart w:id="691" w:name="_Toc57795991"/>
      <w:bookmarkStart w:id="692" w:name="_Toc15568"/>
      <w:r>
        <w:rPr>
          <w:rFonts w:hint="eastAsia" w:ascii="宋体" w:hAnsi="宋体" w:cs="黑体"/>
          <w:b w:val="0"/>
          <w:bCs w:val="0"/>
        </w:rPr>
        <w:t>附件一 合同协议书</w:t>
      </w:r>
      <w:bookmarkEnd w:id="677"/>
      <w:bookmarkEnd w:id="678"/>
      <w:bookmarkEnd w:id="679"/>
      <w:bookmarkEnd w:id="680"/>
      <w:bookmarkEnd w:id="690"/>
      <w:bookmarkEnd w:id="691"/>
      <w:bookmarkEnd w:id="692"/>
    </w:p>
    <w:p w14:paraId="14952598">
      <w:pPr>
        <w:snapToGrid w:val="0"/>
        <w:spacing w:line="360" w:lineRule="auto"/>
        <w:ind w:firstLine="422" w:firstLineChars="200"/>
        <w:rPr>
          <w:rFonts w:hint="eastAsia" w:ascii="宋体" w:hAnsi="宋体"/>
          <w:b/>
          <w:szCs w:val="21"/>
        </w:rPr>
      </w:pPr>
    </w:p>
    <w:p w14:paraId="1761BBFE">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4CAA1236">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0E652B6B">
      <w:pPr>
        <w:spacing w:line="360" w:lineRule="auto"/>
        <w:ind w:firstLine="420" w:firstLineChars="200"/>
        <w:rPr>
          <w:rFonts w:ascii="宋体" w:hAnsi="宋体"/>
          <w:b/>
          <w:szCs w:val="21"/>
          <w:u w:val="single"/>
        </w:rPr>
      </w:pPr>
      <w:r>
        <w:rPr>
          <w:rFonts w:hint="eastAsia" w:ascii="宋体" w:hAnsi="宋体"/>
          <w:szCs w:val="21"/>
        </w:rPr>
        <w:t>根据《中华人民共和国民法典》、《中华人民共和国公路法》、《中华人民共和国建筑法》及有关法律、法规规定，遵循平等、自愿、公平和诚实信用的原则，双方就</w:t>
      </w:r>
      <w:r>
        <w:rPr>
          <w:rFonts w:hint="eastAsia" w:ascii="宋体" w:hAnsi="宋体"/>
          <w:szCs w:val="21"/>
          <w:u w:val="single"/>
        </w:rPr>
        <w:t xml:space="preserve">                           </w:t>
      </w:r>
      <w:r>
        <w:rPr>
          <w:rFonts w:hint="eastAsia" w:ascii="宋体" w:hAnsi="宋体"/>
          <w:szCs w:val="21"/>
        </w:rPr>
        <w:t>工程施工及有关事项协商一致，共同达成如下协议：</w:t>
      </w:r>
    </w:p>
    <w:p w14:paraId="255622AD">
      <w:pPr>
        <w:snapToGrid w:val="0"/>
        <w:spacing w:line="360" w:lineRule="auto"/>
        <w:ind w:firstLine="422" w:firstLineChars="200"/>
        <w:rPr>
          <w:rFonts w:hint="eastAsia" w:ascii="宋体" w:hAnsi="宋体"/>
          <w:b/>
          <w:szCs w:val="21"/>
        </w:rPr>
      </w:pPr>
      <w:r>
        <w:rPr>
          <w:rFonts w:hint="eastAsia" w:ascii="宋体" w:hAnsi="宋体"/>
          <w:b/>
          <w:szCs w:val="21"/>
        </w:rPr>
        <w:t>一、工程概况</w:t>
      </w:r>
    </w:p>
    <w:p w14:paraId="0AD17E2B">
      <w:pPr>
        <w:snapToGrid w:val="0"/>
        <w:spacing w:line="360" w:lineRule="auto"/>
        <w:ind w:firstLine="420" w:firstLineChars="200"/>
        <w:rPr>
          <w:rFonts w:ascii="宋体" w:hAnsi="宋体"/>
          <w:szCs w:val="21"/>
          <w:u w:val="single"/>
        </w:rPr>
      </w:pPr>
      <w:r>
        <w:rPr>
          <w:rFonts w:hint="eastAsia" w:ascii="宋体" w:hAnsi="宋体"/>
          <w:bCs/>
          <w:szCs w:val="21"/>
        </w:rPr>
        <w:t>1.工程名称</w:t>
      </w:r>
      <w:r>
        <w:rPr>
          <w:rFonts w:hint="eastAsia" w:ascii="宋体" w:hAnsi="宋体"/>
          <w:szCs w:val="21"/>
        </w:rPr>
        <w:t>：</w:t>
      </w:r>
      <w:r>
        <w:rPr>
          <w:rFonts w:hint="eastAsia" w:ascii="宋体" w:hAnsi="宋体"/>
          <w:szCs w:val="21"/>
          <w:u w:val="single"/>
        </w:rPr>
        <w:t xml:space="preserve">                                 </w:t>
      </w:r>
      <w:r>
        <w:rPr>
          <w:rFonts w:hint="eastAsia" w:ascii="宋体" w:hAnsi="宋体"/>
          <w:szCs w:val="21"/>
        </w:rPr>
        <w:t>。</w:t>
      </w:r>
    </w:p>
    <w:p w14:paraId="535DD4BC">
      <w:pPr>
        <w:snapToGrid w:val="0"/>
        <w:spacing w:line="360" w:lineRule="auto"/>
        <w:ind w:firstLine="420" w:firstLineChars="200"/>
        <w:rPr>
          <w:rFonts w:ascii="宋体" w:hAnsi="宋体"/>
          <w:bCs/>
          <w:szCs w:val="21"/>
        </w:rPr>
      </w:pPr>
      <w:r>
        <w:rPr>
          <w:rFonts w:hint="eastAsia" w:ascii="宋体" w:hAnsi="宋体"/>
          <w:bCs/>
          <w:szCs w:val="21"/>
        </w:rPr>
        <w:t>2.工程地点：</w:t>
      </w:r>
      <w:r>
        <w:rPr>
          <w:rFonts w:hint="eastAsia" w:ascii="宋体" w:hAnsi="宋体"/>
          <w:szCs w:val="21"/>
          <w:u w:val="single"/>
        </w:rPr>
        <w:t xml:space="preserve">                                 </w:t>
      </w:r>
      <w:r>
        <w:rPr>
          <w:rFonts w:hint="eastAsia" w:ascii="宋体" w:hAnsi="宋体"/>
          <w:szCs w:val="21"/>
        </w:rPr>
        <w:t>。</w:t>
      </w:r>
    </w:p>
    <w:p w14:paraId="53C47F90">
      <w:pPr>
        <w:snapToGrid w:val="0"/>
        <w:spacing w:line="360" w:lineRule="auto"/>
        <w:ind w:firstLine="420" w:firstLineChars="200"/>
        <w:rPr>
          <w:rFonts w:ascii="宋体" w:hAnsi="宋体"/>
          <w:bCs/>
          <w:szCs w:val="21"/>
        </w:rPr>
      </w:pPr>
      <w:r>
        <w:rPr>
          <w:rFonts w:hint="eastAsia" w:ascii="宋体" w:hAnsi="宋体"/>
          <w:bCs/>
          <w:szCs w:val="21"/>
        </w:rPr>
        <w:t>3.工程立项批准文号：</w:t>
      </w:r>
      <w:r>
        <w:rPr>
          <w:rFonts w:hint="eastAsia" w:ascii="宋体" w:hAnsi="宋体"/>
          <w:szCs w:val="21"/>
          <w:u w:val="single"/>
        </w:rPr>
        <w:t xml:space="preserve">                        </w:t>
      </w:r>
      <w:r>
        <w:rPr>
          <w:rFonts w:hint="eastAsia" w:ascii="宋体" w:hAnsi="宋体"/>
          <w:bCs/>
          <w:szCs w:val="21"/>
        </w:rPr>
        <w:t>。</w:t>
      </w:r>
    </w:p>
    <w:p w14:paraId="38040912">
      <w:pPr>
        <w:snapToGrid w:val="0"/>
        <w:spacing w:line="360" w:lineRule="auto"/>
        <w:ind w:firstLine="420" w:firstLineChars="200"/>
        <w:rPr>
          <w:rFonts w:ascii="宋体" w:hAnsi="宋体"/>
          <w:bCs/>
          <w:szCs w:val="21"/>
        </w:rPr>
      </w:pPr>
      <w:r>
        <w:rPr>
          <w:rFonts w:hint="eastAsia" w:ascii="宋体" w:hAnsi="宋体"/>
          <w:bCs/>
          <w:szCs w:val="21"/>
        </w:rPr>
        <w:t>4.资金来源：</w:t>
      </w:r>
      <w:r>
        <w:rPr>
          <w:rFonts w:hint="eastAsia" w:ascii="宋体" w:hAnsi="宋体"/>
          <w:szCs w:val="21"/>
          <w:u w:val="single"/>
        </w:rPr>
        <w:t xml:space="preserve">                                 </w:t>
      </w:r>
      <w:r>
        <w:rPr>
          <w:rFonts w:hint="eastAsia" w:ascii="宋体" w:hAnsi="宋体"/>
          <w:szCs w:val="21"/>
        </w:rPr>
        <w:t>。</w:t>
      </w:r>
    </w:p>
    <w:p w14:paraId="212AB838">
      <w:pPr>
        <w:snapToGrid w:val="0"/>
        <w:spacing w:line="360" w:lineRule="auto"/>
        <w:ind w:firstLine="420" w:firstLineChars="200"/>
        <w:rPr>
          <w:rFonts w:ascii="宋体" w:hAnsi="宋体"/>
          <w:bCs/>
          <w:szCs w:val="21"/>
        </w:rPr>
      </w:pPr>
      <w:r>
        <w:rPr>
          <w:rFonts w:hint="eastAsia" w:ascii="宋体" w:hAnsi="宋体"/>
          <w:bCs/>
          <w:szCs w:val="21"/>
        </w:rPr>
        <w:t>5.工程内容：</w:t>
      </w:r>
      <w:r>
        <w:rPr>
          <w:rFonts w:hint="eastAsia" w:ascii="宋体" w:hAnsi="宋体"/>
          <w:szCs w:val="21"/>
          <w:u w:val="single"/>
        </w:rPr>
        <w:t xml:space="preserve">                                 </w:t>
      </w:r>
      <w:r>
        <w:rPr>
          <w:rFonts w:hint="eastAsia" w:ascii="宋体" w:hAnsi="宋体"/>
          <w:szCs w:val="21"/>
        </w:rPr>
        <w:t>。</w:t>
      </w:r>
    </w:p>
    <w:p w14:paraId="575E1DF4">
      <w:pPr>
        <w:snapToGrid w:val="0"/>
        <w:spacing w:line="360" w:lineRule="auto"/>
        <w:ind w:firstLine="420" w:firstLineChars="200"/>
        <w:jc w:val="left"/>
        <w:rPr>
          <w:rFonts w:ascii="宋体" w:hAnsi="宋体"/>
          <w:bCs/>
          <w:szCs w:val="21"/>
        </w:rPr>
      </w:pPr>
      <w:r>
        <w:rPr>
          <w:rFonts w:hint="eastAsia" w:ascii="宋体" w:hAnsi="宋体"/>
          <w:bCs/>
          <w:szCs w:val="21"/>
        </w:rPr>
        <w:t>6.工程承包范围：</w:t>
      </w:r>
      <w:r>
        <w:rPr>
          <w:rFonts w:hint="eastAsia" w:ascii="宋体" w:hAnsi="宋体"/>
          <w:szCs w:val="21"/>
          <w:u w:val="single"/>
        </w:rPr>
        <w:t xml:space="preserve">                     </w:t>
      </w:r>
      <w:r>
        <w:rPr>
          <w:rFonts w:hint="eastAsia" w:ascii="宋体" w:hAnsi="宋体"/>
          <w:szCs w:val="21"/>
        </w:rPr>
        <w:t>。</w:t>
      </w:r>
    </w:p>
    <w:p w14:paraId="279B677C">
      <w:pPr>
        <w:snapToGrid w:val="0"/>
        <w:spacing w:line="360" w:lineRule="auto"/>
        <w:ind w:firstLine="422" w:firstLineChars="200"/>
        <w:rPr>
          <w:rFonts w:hint="eastAsia" w:ascii="宋体" w:hAnsi="宋体"/>
          <w:b/>
          <w:szCs w:val="21"/>
        </w:rPr>
      </w:pPr>
      <w:bookmarkStart w:id="693" w:name="_Toc351203482"/>
      <w:bookmarkStart w:id="694" w:name="_Toc532375574"/>
      <w:bookmarkStart w:id="695" w:name="_Toc532377167"/>
      <w:r>
        <w:rPr>
          <w:rFonts w:hint="eastAsia" w:ascii="宋体" w:hAnsi="宋体"/>
          <w:b/>
          <w:szCs w:val="21"/>
        </w:rPr>
        <w:t>二、合同工期</w:t>
      </w:r>
      <w:bookmarkEnd w:id="693"/>
      <w:bookmarkEnd w:id="694"/>
      <w:bookmarkEnd w:id="695"/>
    </w:p>
    <w:p w14:paraId="5919628A">
      <w:pPr>
        <w:spacing w:line="360" w:lineRule="auto"/>
        <w:ind w:firstLine="420" w:firstLineChars="200"/>
        <w:rPr>
          <w:rFonts w:hint="eastAsia" w:ascii="宋体" w:hAnsi="宋体"/>
          <w:bCs/>
          <w:szCs w:val="21"/>
        </w:rPr>
      </w:pPr>
      <w:r>
        <w:rPr>
          <w:rFonts w:hint="eastAsia" w:ascii="宋体" w:hAnsi="宋体"/>
          <w:bCs/>
          <w:szCs w:val="21"/>
        </w:rPr>
        <w:t>承包人投标函中承诺的工期：</w:t>
      </w:r>
      <w:r>
        <w:rPr>
          <w:rFonts w:hint="eastAsia" w:ascii="宋体" w:hAnsi="宋体"/>
          <w:bCs/>
          <w:szCs w:val="21"/>
          <w:u w:val="single"/>
        </w:rPr>
        <w:t>日历</w:t>
      </w:r>
      <w:r>
        <w:rPr>
          <w:rFonts w:hint="eastAsia" w:ascii="宋体" w:hAnsi="宋体"/>
          <w:bCs/>
          <w:szCs w:val="21"/>
        </w:rPr>
        <w:t>天。</w:t>
      </w:r>
    </w:p>
    <w:p w14:paraId="331367FB">
      <w:pPr>
        <w:spacing w:line="360" w:lineRule="auto"/>
        <w:ind w:firstLine="420" w:firstLineChars="200"/>
        <w:rPr>
          <w:rFonts w:ascii="宋体" w:hAnsi="宋体"/>
          <w:bCs/>
          <w:szCs w:val="21"/>
        </w:rPr>
      </w:pPr>
      <w:r>
        <w:rPr>
          <w:rFonts w:hint="eastAsia" w:ascii="宋体" w:hAnsi="宋体"/>
          <w:bCs/>
          <w:szCs w:val="21"/>
        </w:rPr>
        <w:t>计划开工日期：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日，实际开工日期以监理工程师签发的工程开工通知明确的开工日期为准。</w:t>
      </w:r>
    </w:p>
    <w:p w14:paraId="318C5E48">
      <w:pPr>
        <w:spacing w:line="360" w:lineRule="auto"/>
        <w:ind w:firstLine="420" w:firstLineChars="200"/>
        <w:rPr>
          <w:rFonts w:hint="eastAsia" w:ascii="宋体" w:hAnsi="宋体"/>
          <w:bCs/>
          <w:szCs w:val="21"/>
        </w:rPr>
      </w:pPr>
      <w:r>
        <w:rPr>
          <w:rFonts w:hint="eastAsia" w:ascii="宋体" w:hAnsi="宋体"/>
          <w:bCs/>
          <w:szCs w:val="21"/>
        </w:rPr>
        <w:t>计划交工日期：</w:t>
      </w:r>
      <w:r>
        <w:rPr>
          <w:rFonts w:hint="eastAsia" w:ascii="宋体" w:hAnsi="宋体"/>
          <w:bCs/>
          <w:szCs w:val="21"/>
          <w:u w:val="single"/>
        </w:rPr>
        <w:t></w:t>
      </w:r>
      <w:r>
        <w:rPr>
          <w:rFonts w:hint="eastAsia" w:ascii="宋体" w:hAnsi="宋体"/>
          <w:bCs/>
          <w:szCs w:val="21"/>
        </w:rPr>
        <w:t>年</w:t>
      </w:r>
      <w:r>
        <w:rPr>
          <w:rFonts w:hint="eastAsia" w:ascii="宋体" w:hAnsi="宋体"/>
          <w:bCs/>
          <w:szCs w:val="21"/>
          <w:u w:val="single"/>
        </w:rPr>
        <w:t></w:t>
      </w:r>
      <w:r>
        <w:rPr>
          <w:rFonts w:hint="eastAsia" w:ascii="宋体" w:hAnsi="宋体"/>
          <w:bCs/>
          <w:szCs w:val="21"/>
        </w:rPr>
        <w:t>月</w:t>
      </w:r>
      <w:r>
        <w:rPr>
          <w:rFonts w:hint="eastAsia" w:ascii="宋体" w:hAnsi="宋体"/>
          <w:bCs/>
          <w:szCs w:val="21"/>
          <w:u w:val="single"/>
        </w:rPr>
        <w:t></w:t>
      </w:r>
      <w:r>
        <w:rPr>
          <w:rFonts w:hint="eastAsia" w:ascii="宋体" w:hAnsi="宋体"/>
          <w:bCs/>
          <w:szCs w:val="21"/>
        </w:rPr>
        <w:t>日，实际交工日期以工程交工验收合格之日为准。</w:t>
      </w:r>
    </w:p>
    <w:p w14:paraId="3ED869E0">
      <w:pPr>
        <w:spacing w:line="360" w:lineRule="auto"/>
        <w:ind w:firstLine="420" w:firstLineChars="200"/>
        <w:rPr>
          <w:rFonts w:ascii="宋体" w:hAnsi="宋体"/>
          <w:szCs w:val="21"/>
        </w:rPr>
      </w:pPr>
      <w:r>
        <w:rPr>
          <w:rFonts w:hint="eastAsia" w:ascii="宋体" w:hAnsi="宋体"/>
          <w:bCs/>
          <w:szCs w:val="21"/>
        </w:rPr>
        <w:t>工期总日历天数</w:t>
      </w:r>
      <w:r>
        <w:rPr>
          <w:rFonts w:hint="eastAsia" w:ascii="宋体" w:hAnsi="宋体"/>
          <w:bCs/>
          <w:szCs w:val="21"/>
          <w:u w:val="single"/>
        </w:rPr>
        <w:t></w:t>
      </w:r>
      <w:r>
        <w:rPr>
          <w:rFonts w:hint="eastAsia" w:ascii="宋体" w:hAnsi="宋体"/>
          <w:bCs/>
          <w:szCs w:val="21"/>
        </w:rPr>
        <w:t>天。工期总日历天数与根据前述计划开交工日期计算的工期天数不一</w:t>
      </w:r>
      <w:r>
        <w:rPr>
          <w:rFonts w:hint="eastAsia" w:ascii="宋体" w:hAnsi="宋体"/>
          <w:szCs w:val="21"/>
        </w:rPr>
        <w:t>致的，以工期总日历天数为准。</w:t>
      </w:r>
    </w:p>
    <w:p w14:paraId="102C6736">
      <w:pPr>
        <w:snapToGrid w:val="0"/>
        <w:spacing w:line="360" w:lineRule="auto"/>
        <w:ind w:firstLine="422" w:firstLineChars="200"/>
        <w:rPr>
          <w:rFonts w:hint="eastAsia" w:ascii="宋体" w:hAnsi="宋体"/>
          <w:b/>
          <w:szCs w:val="21"/>
        </w:rPr>
      </w:pPr>
      <w:bookmarkStart w:id="696" w:name="_Toc532375575"/>
      <w:bookmarkStart w:id="697" w:name="_Toc351203483"/>
      <w:bookmarkStart w:id="698" w:name="_Toc532377168"/>
      <w:r>
        <w:rPr>
          <w:rFonts w:hint="eastAsia" w:ascii="宋体" w:hAnsi="宋体"/>
          <w:b/>
          <w:szCs w:val="21"/>
        </w:rPr>
        <w:t>三、质量标准</w:t>
      </w:r>
      <w:bookmarkEnd w:id="696"/>
      <w:bookmarkEnd w:id="697"/>
      <w:bookmarkEnd w:id="698"/>
    </w:p>
    <w:p w14:paraId="56D93AF7">
      <w:pPr>
        <w:spacing w:line="360" w:lineRule="auto"/>
        <w:ind w:firstLine="420" w:firstLineChars="200"/>
        <w:rPr>
          <w:rFonts w:hint="eastAsia" w:ascii="宋体" w:hAnsi="宋体"/>
          <w:bCs/>
          <w:szCs w:val="21"/>
        </w:rPr>
      </w:pPr>
      <w:r>
        <w:rPr>
          <w:rFonts w:hint="eastAsia" w:ascii="宋体" w:hAnsi="宋体"/>
          <w:bCs/>
          <w:szCs w:val="21"/>
        </w:rPr>
        <w:t>工程质量符合</w:t>
      </w:r>
      <w:r>
        <w:rPr>
          <w:rFonts w:hint="eastAsia" w:ascii="宋体" w:hAnsi="宋体"/>
          <w:bCs/>
          <w:szCs w:val="21"/>
          <w:u w:val="single"/>
        </w:rPr>
        <w:t></w:t>
      </w:r>
      <w:r>
        <w:rPr>
          <w:rFonts w:hint="eastAsia" w:ascii="宋体" w:hAnsi="宋体"/>
          <w:bCs/>
          <w:szCs w:val="21"/>
        </w:rPr>
        <w:t>标准。工程安全目标：</w:t>
      </w:r>
      <w:r>
        <w:rPr>
          <w:rFonts w:hint="eastAsia" w:ascii="宋体" w:hAnsi="宋体"/>
          <w:bCs/>
          <w:szCs w:val="21"/>
          <w:u w:val="single"/>
        </w:rPr>
        <w:t></w:t>
      </w:r>
      <w:r>
        <w:rPr>
          <w:rFonts w:hint="eastAsia" w:ascii="宋体" w:hAnsi="宋体"/>
          <w:bCs/>
          <w:szCs w:val="21"/>
        </w:rPr>
        <w:t xml:space="preserve">。 </w:t>
      </w:r>
    </w:p>
    <w:p w14:paraId="312D7B76">
      <w:pPr>
        <w:snapToGrid w:val="0"/>
        <w:spacing w:line="360" w:lineRule="auto"/>
        <w:ind w:firstLine="422" w:firstLineChars="200"/>
        <w:rPr>
          <w:rFonts w:hint="eastAsia" w:ascii="宋体" w:hAnsi="宋体"/>
          <w:b/>
          <w:szCs w:val="21"/>
        </w:rPr>
      </w:pPr>
      <w:bookmarkStart w:id="699" w:name="_Toc532375576"/>
      <w:bookmarkStart w:id="700" w:name="_Toc532377169"/>
      <w:bookmarkStart w:id="701" w:name="_Toc351203484"/>
      <w:r>
        <w:rPr>
          <w:rFonts w:hint="eastAsia" w:ascii="宋体" w:hAnsi="宋体"/>
          <w:b/>
          <w:szCs w:val="21"/>
        </w:rPr>
        <w:t>四、签约合同价与合同价格形式</w:t>
      </w:r>
      <w:bookmarkEnd w:id="699"/>
      <w:bookmarkEnd w:id="700"/>
      <w:bookmarkEnd w:id="701"/>
    </w:p>
    <w:p w14:paraId="64FBEF93">
      <w:pPr>
        <w:spacing w:line="360" w:lineRule="auto"/>
        <w:ind w:firstLine="420" w:firstLineChars="200"/>
        <w:rPr>
          <w:rFonts w:hint="eastAsia" w:ascii="宋体" w:hAnsi="宋体"/>
          <w:szCs w:val="21"/>
        </w:rPr>
      </w:pPr>
      <w:r>
        <w:rPr>
          <w:rFonts w:hint="eastAsia" w:ascii="宋体" w:hAnsi="宋体"/>
          <w:szCs w:val="21"/>
        </w:rPr>
        <w:t>1.承包人投标函中承诺的中标价为：</w:t>
      </w:r>
    </w:p>
    <w:p w14:paraId="22315D93">
      <w:pPr>
        <w:spacing w:line="360" w:lineRule="auto"/>
        <w:ind w:firstLine="420" w:firstLineChars="200"/>
        <w:rPr>
          <w:rFonts w:hint="eastAsia" w:ascii="宋体" w:hAnsi="宋体"/>
          <w:szCs w:val="21"/>
        </w:rPr>
      </w:pPr>
      <w:r>
        <w:rPr>
          <w:rFonts w:hint="eastAsia" w:ascii="宋体" w:hAnsi="宋体"/>
          <w:szCs w:val="21"/>
        </w:rPr>
        <w:t>人民币（大写）</w:t>
      </w:r>
      <w:r>
        <w:rPr>
          <w:rFonts w:hint="eastAsia" w:ascii="宋体" w:hAnsi="宋体"/>
          <w:szCs w:val="21"/>
          <w:u w:val="single"/>
        </w:rPr>
        <w:t xml:space="preserve">                  </w:t>
      </w:r>
      <w:r>
        <w:rPr>
          <w:rFonts w:hint="eastAsia" w:ascii="宋体" w:hAnsi="宋体"/>
          <w:szCs w:val="21"/>
        </w:rPr>
        <w:t>（¥</w:t>
      </w:r>
      <w:r>
        <w:rPr>
          <w:rFonts w:hint="eastAsia" w:ascii="宋体" w:hAnsi="宋体"/>
          <w:szCs w:val="21"/>
          <w:u w:val="single"/>
        </w:rPr>
        <w:t xml:space="preserve">            </w:t>
      </w:r>
      <w:r>
        <w:rPr>
          <w:rFonts w:hint="eastAsia" w:ascii="宋体" w:hAnsi="宋体"/>
          <w:szCs w:val="21"/>
        </w:rPr>
        <w:t>元）；</w:t>
      </w:r>
    </w:p>
    <w:p w14:paraId="5C952F0C">
      <w:pPr>
        <w:spacing w:line="360" w:lineRule="auto"/>
        <w:ind w:firstLine="420" w:firstLineChars="200"/>
        <w:rPr>
          <w:rFonts w:ascii="宋体" w:hAnsi="宋体"/>
          <w:szCs w:val="21"/>
        </w:rPr>
      </w:pPr>
      <w:r>
        <w:rPr>
          <w:rFonts w:hint="eastAsia" w:ascii="宋体" w:hAnsi="宋体"/>
          <w:szCs w:val="21"/>
        </w:rPr>
        <w:t>2.签约合同价为：</w:t>
      </w:r>
    </w:p>
    <w:p w14:paraId="0D9171B8">
      <w:pPr>
        <w:snapToGrid w:val="0"/>
        <w:spacing w:line="360" w:lineRule="auto"/>
        <w:ind w:firstLine="420" w:firstLineChars="200"/>
        <w:rPr>
          <w:rFonts w:ascii="宋体" w:hAnsi="宋体"/>
          <w:szCs w:val="21"/>
        </w:rPr>
      </w:pPr>
      <w:r>
        <w:rPr>
          <w:rFonts w:hint="eastAsia" w:ascii="宋体" w:hAnsi="宋体"/>
          <w:szCs w:val="21"/>
        </w:rPr>
        <w:t>人民币（大写）</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w:t>
      </w:r>
      <w:r>
        <w:rPr>
          <w:rFonts w:ascii="宋体" w:hAnsi="宋体"/>
          <w:szCs w:val="21"/>
          <w:u w:val="single"/>
        </w:rPr>
        <w:t xml:space="preserve">            </w:t>
      </w:r>
      <w:r>
        <w:rPr>
          <w:rFonts w:ascii="宋体" w:hAnsi="宋体"/>
          <w:szCs w:val="21"/>
        </w:rPr>
        <w:t>元）</w:t>
      </w:r>
      <w:r>
        <w:rPr>
          <w:rFonts w:hint="eastAsia" w:ascii="宋体" w:hAnsi="宋体"/>
          <w:szCs w:val="21"/>
        </w:rPr>
        <w:t>；</w:t>
      </w:r>
    </w:p>
    <w:p w14:paraId="5DB98FC5">
      <w:pPr>
        <w:spacing w:line="360" w:lineRule="auto"/>
        <w:ind w:firstLine="420" w:firstLineChars="200"/>
        <w:rPr>
          <w:rFonts w:ascii="宋体" w:hAnsi="宋体"/>
          <w:szCs w:val="21"/>
        </w:rPr>
      </w:pPr>
      <w:r>
        <w:rPr>
          <w:rFonts w:hint="eastAsia" w:ascii="宋体" w:hAnsi="宋体"/>
          <w:szCs w:val="21"/>
        </w:rPr>
        <w:t>3.合同价格形式：</w:t>
      </w:r>
      <w:r>
        <w:rPr>
          <w:rFonts w:ascii="宋体" w:hAnsi="宋体"/>
          <w:szCs w:val="21"/>
          <w:u w:val="single"/>
        </w:rPr>
        <w:t xml:space="preserve">              </w:t>
      </w:r>
      <w:r>
        <w:rPr>
          <w:rFonts w:hint="eastAsia" w:ascii="宋体" w:hAnsi="宋体"/>
          <w:szCs w:val="21"/>
        </w:rPr>
        <w:t>。</w:t>
      </w:r>
    </w:p>
    <w:p w14:paraId="6A9556D7">
      <w:pPr>
        <w:snapToGrid w:val="0"/>
        <w:spacing w:line="360" w:lineRule="auto"/>
        <w:ind w:firstLine="422" w:firstLineChars="200"/>
        <w:rPr>
          <w:rFonts w:hint="eastAsia" w:ascii="宋体" w:hAnsi="宋体"/>
          <w:b/>
          <w:szCs w:val="21"/>
        </w:rPr>
      </w:pPr>
      <w:bookmarkStart w:id="702" w:name="_Toc351203485"/>
      <w:bookmarkStart w:id="703" w:name="_Toc532375577"/>
      <w:bookmarkStart w:id="704" w:name="_Toc532377170"/>
      <w:r>
        <w:rPr>
          <w:rFonts w:hint="eastAsia" w:ascii="宋体" w:hAnsi="宋体"/>
          <w:b/>
          <w:szCs w:val="21"/>
        </w:rPr>
        <w:t>五、</w:t>
      </w:r>
      <w:bookmarkEnd w:id="702"/>
      <w:r>
        <w:rPr>
          <w:rFonts w:hint="eastAsia" w:ascii="宋体" w:hAnsi="宋体"/>
          <w:b/>
          <w:szCs w:val="21"/>
        </w:rPr>
        <w:t>项目经理及项目总工</w:t>
      </w:r>
      <w:bookmarkEnd w:id="703"/>
      <w:bookmarkEnd w:id="704"/>
    </w:p>
    <w:p w14:paraId="1EAE93CF">
      <w:pPr>
        <w:spacing w:line="360" w:lineRule="auto"/>
        <w:ind w:firstLine="420" w:firstLineChars="200"/>
        <w:rPr>
          <w:rFonts w:ascii="宋体" w:hAnsi="宋体"/>
          <w:szCs w:val="21"/>
        </w:rPr>
      </w:pPr>
      <w:r>
        <w:rPr>
          <w:rFonts w:hint="eastAsia" w:ascii="宋体" w:hAnsi="宋体"/>
          <w:szCs w:val="21"/>
        </w:rPr>
        <w:t>承包人投标文件中承诺的项目经理：</w:t>
      </w:r>
    </w:p>
    <w:p w14:paraId="44B95B0C">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6AB92C96">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25492743">
      <w:pPr>
        <w:spacing w:line="360" w:lineRule="auto"/>
        <w:ind w:firstLine="420" w:firstLineChars="200"/>
        <w:rPr>
          <w:rFonts w:ascii="宋体" w:hAnsi="宋体"/>
          <w:szCs w:val="21"/>
        </w:rPr>
      </w:pPr>
      <w:r>
        <w:rPr>
          <w:rFonts w:hint="eastAsia" w:ascii="宋体" w:hAnsi="宋体"/>
          <w:szCs w:val="21"/>
        </w:rPr>
        <w:t>建造师</w:t>
      </w:r>
      <w:r>
        <w:rPr>
          <w:rFonts w:ascii="宋体" w:hAnsi="宋体"/>
          <w:szCs w:val="21"/>
        </w:rPr>
        <w:t>注册证书号</w:t>
      </w:r>
      <w:r>
        <w:rPr>
          <w:rFonts w:hint="eastAsia" w:ascii="宋体" w:hAnsi="宋体"/>
          <w:szCs w:val="21"/>
        </w:rPr>
        <w:t>：</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32E63212">
      <w:pPr>
        <w:spacing w:line="360" w:lineRule="auto"/>
        <w:ind w:firstLine="420" w:firstLineChars="200"/>
        <w:rPr>
          <w:rFonts w:ascii="宋体" w:hAnsi="宋体"/>
          <w:szCs w:val="21"/>
        </w:rPr>
      </w:pPr>
      <w:r>
        <w:rPr>
          <w:rFonts w:hint="eastAsia" w:ascii="宋体" w:hAnsi="宋体"/>
          <w:szCs w:val="21"/>
        </w:rPr>
        <w:t>承包人投标文件中承诺的项目总工：</w:t>
      </w:r>
    </w:p>
    <w:p w14:paraId="50AF40F2">
      <w:pPr>
        <w:spacing w:line="360" w:lineRule="auto"/>
        <w:ind w:firstLine="420" w:firstLineChars="200"/>
        <w:rPr>
          <w:rFonts w:ascii="宋体" w:hAnsi="宋体"/>
          <w:szCs w:val="21"/>
        </w:rPr>
      </w:pPr>
      <w:r>
        <w:rPr>
          <w:rFonts w:hint="eastAsia" w:ascii="宋体" w:hAnsi="宋体"/>
          <w:szCs w:val="21"/>
        </w:rPr>
        <w:t>姓名：</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181F42F3">
      <w:pPr>
        <w:spacing w:line="360" w:lineRule="auto"/>
        <w:ind w:firstLine="420" w:firstLineChars="200"/>
        <w:rPr>
          <w:rFonts w:ascii="宋体" w:hAnsi="宋体"/>
          <w:szCs w:val="21"/>
        </w:rPr>
      </w:pPr>
      <w:r>
        <w:rPr>
          <w:rFonts w:hint="eastAsia" w:ascii="宋体" w:hAnsi="宋体"/>
          <w:szCs w:val="21"/>
        </w:rPr>
        <w:t>身份证号码：</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rPr>
        <w:t>。</w:t>
      </w:r>
    </w:p>
    <w:p w14:paraId="7BB7BC84">
      <w:pPr>
        <w:pStyle w:val="2"/>
        <w:spacing w:line="360" w:lineRule="auto"/>
        <w:rPr>
          <w:rFonts w:ascii="宋体" w:hAnsi="宋体"/>
          <w:szCs w:val="21"/>
        </w:rPr>
      </w:pPr>
      <w:r>
        <w:rPr>
          <w:rFonts w:hint="eastAsia" w:ascii="宋体" w:hAnsi="宋体"/>
          <w:szCs w:val="21"/>
        </w:rPr>
        <w:t xml:space="preserve">    证书名称</w:t>
      </w:r>
      <w:r>
        <w:rPr>
          <w:rFonts w:ascii="宋体" w:hAnsi="宋体"/>
          <w:szCs w:val="21"/>
        </w:rPr>
        <w:t>及号码：</w:t>
      </w:r>
      <w:r>
        <w:rPr>
          <w:rFonts w:ascii="宋体" w:hAnsi="宋体"/>
          <w:szCs w:val="21"/>
          <w:u w:val="single"/>
        </w:rPr>
        <w:t xml:space="preserve">                 </w:t>
      </w:r>
      <w:r>
        <w:rPr>
          <w:rFonts w:hint="eastAsia" w:ascii="宋体" w:hAnsi="宋体"/>
          <w:szCs w:val="21"/>
          <w:u w:val="single"/>
        </w:rPr>
        <w:t xml:space="preserve">                  </w:t>
      </w:r>
      <w:r>
        <w:rPr>
          <w:rFonts w:hint="eastAsia" w:ascii="宋体" w:hAnsi="宋体"/>
          <w:szCs w:val="21"/>
        </w:rPr>
        <w:t>。</w:t>
      </w:r>
    </w:p>
    <w:p w14:paraId="28B2FF42">
      <w:pPr>
        <w:snapToGrid w:val="0"/>
        <w:spacing w:line="360" w:lineRule="auto"/>
        <w:ind w:firstLine="422" w:firstLineChars="200"/>
        <w:rPr>
          <w:rFonts w:hint="eastAsia" w:ascii="宋体" w:hAnsi="宋体"/>
          <w:b/>
          <w:szCs w:val="21"/>
        </w:rPr>
      </w:pPr>
      <w:bookmarkStart w:id="705" w:name="_Toc532375578"/>
      <w:bookmarkStart w:id="706" w:name="_Toc351203486"/>
      <w:bookmarkStart w:id="707" w:name="_Toc532377171"/>
      <w:r>
        <w:rPr>
          <w:rFonts w:hint="eastAsia" w:ascii="宋体" w:hAnsi="宋体"/>
          <w:b/>
          <w:szCs w:val="21"/>
        </w:rPr>
        <w:t>六、合同文件构成</w:t>
      </w:r>
      <w:bookmarkEnd w:id="705"/>
      <w:bookmarkEnd w:id="706"/>
      <w:bookmarkEnd w:id="707"/>
    </w:p>
    <w:p w14:paraId="43EB86C0">
      <w:pPr>
        <w:spacing w:line="360" w:lineRule="auto"/>
        <w:ind w:firstLine="420" w:firstLineChars="200"/>
        <w:rPr>
          <w:rFonts w:ascii="宋体" w:hAnsi="宋体"/>
          <w:bCs/>
          <w:szCs w:val="21"/>
        </w:rPr>
      </w:pPr>
      <w:r>
        <w:rPr>
          <w:rFonts w:hint="eastAsia" w:ascii="宋体" w:hAnsi="宋体"/>
          <w:bCs/>
          <w:szCs w:val="21"/>
        </w:rPr>
        <w:t>合同由以下文件构成：</w:t>
      </w:r>
    </w:p>
    <w:p w14:paraId="321EBC2F">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1</w:t>
      </w:r>
      <w:r>
        <w:rPr>
          <w:rFonts w:hint="eastAsia" w:ascii="宋体" w:hAnsi="宋体"/>
          <w:bCs/>
          <w:szCs w:val="21"/>
        </w:rPr>
        <w:t xml:space="preserve">）本协议书及各种合同附件（含评标期间和合同谈判过程中的澄清文件和补充资料）； </w:t>
      </w:r>
    </w:p>
    <w:p w14:paraId="54E54C9A">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2</w:t>
      </w:r>
      <w:r>
        <w:rPr>
          <w:rFonts w:hint="eastAsia" w:ascii="宋体" w:hAnsi="宋体"/>
          <w:bCs/>
          <w:szCs w:val="21"/>
        </w:rPr>
        <w:t xml:space="preserve">）中标通知书； </w:t>
      </w:r>
    </w:p>
    <w:p w14:paraId="21C85DA9">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3</w:t>
      </w:r>
      <w:r>
        <w:rPr>
          <w:rFonts w:hint="eastAsia" w:ascii="宋体" w:hAnsi="宋体"/>
          <w:bCs/>
          <w:szCs w:val="21"/>
        </w:rPr>
        <w:t xml:space="preserve">）投标函及投标函附录； </w:t>
      </w:r>
    </w:p>
    <w:p w14:paraId="0548B8C8">
      <w:pPr>
        <w:spacing w:line="360" w:lineRule="auto"/>
        <w:ind w:firstLine="420" w:firstLineChars="200"/>
        <w:rPr>
          <w:rFonts w:hint="eastAsia" w:ascii="宋体" w:hAnsi="宋体"/>
          <w:bCs/>
          <w:szCs w:val="21"/>
        </w:rPr>
      </w:pPr>
      <w:r>
        <w:rPr>
          <w:rFonts w:hint="eastAsia" w:ascii="宋体" w:hAnsi="宋体"/>
          <w:bCs/>
          <w:szCs w:val="21"/>
        </w:rPr>
        <w:t>（</w:t>
      </w:r>
      <w:r>
        <w:rPr>
          <w:rFonts w:ascii="宋体" w:hAnsi="宋体"/>
          <w:bCs/>
          <w:szCs w:val="21"/>
        </w:rPr>
        <w:t>4</w:t>
      </w:r>
      <w:r>
        <w:rPr>
          <w:rFonts w:hint="eastAsia" w:ascii="宋体" w:hAnsi="宋体"/>
          <w:bCs/>
          <w:szCs w:val="21"/>
        </w:rPr>
        <w:t xml:space="preserve">）专用合同条款； </w:t>
      </w:r>
    </w:p>
    <w:p w14:paraId="48EDA3E7">
      <w:pPr>
        <w:spacing w:line="360" w:lineRule="auto"/>
        <w:ind w:firstLine="420" w:firstLineChars="200"/>
        <w:rPr>
          <w:rFonts w:hint="eastAsia" w:ascii="宋体" w:hAnsi="宋体"/>
          <w:bCs/>
          <w:szCs w:val="21"/>
        </w:rPr>
      </w:pPr>
      <w:r>
        <w:rPr>
          <w:rFonts w:hint="eastAsia" w:ascii="宋体" w:hAnsi="宋体"/>
          <w:bCs/>
          <w:szCs w:val="21"/>
        </w:rPr>
        <w:t xml:space="preserve">（5）通用合同条款； </w:t>
      </w:r>
    </w:p>
    <w:p w14:paraId="1B325C82">
      <w:pPr>
        <w:spacing w:line="360" w:lineRule="auto"/>
        <w:ind w:firstLine="420" w:firstLineChars="200"/>
        <w:rPr>
          <w:rFonts w:hint="eastAsia" w:ascii="宋体" w:hAnsi="宋体"/>
          <w:bCs/>
          <w:szCs w:val="21"/>
        </w:rPr>
      </w:pPr>
      <w:r>
        <w:rPr>
          <w:rFonts w:hint="eastAsia" w:ascii="宋体" w:hAnsi="宋体"/>
          <w:bCs/>
          <w:szCs w:val="21"/>
        </w:rPr>
        <w:t xml:space="preserve">（6）工程量清单计量规则； </w:t>
      </w:r>
    </w:p>
    <w:p w14:paraId="4E9AE967">
      <w:pPr>
        <w:spacing w:line="360" w:lineRule="auto"/>
        <w:ind w:firstLine="420" w:firstLineChars="200"/>
        <w:rPr>
          <w:rFonts w:hint="eastAsia" w:ascii="宋体" w:hAnsi="宋体"/>
          <w:bCs/>
          <w:szCs w:val="21"/>
        </w:rPr>
      </w:pPr>
      <w:r>
        <w:rPr>
          <w:rFonts w:hint="eastAsia" w:ascii="宋体" w:hAnsi="宋体"/>
          <w:bCs/>
          <w:szCs w:val="21"/>
        </w:rPr>
        <w:t xml:space="preserve">（7）技术规范； </w:t>
      </w:r>
    </w:p>
    <w:p w14:paraId="2F7ACBCF">
      <w:pPr>
        <w:spacing w:line="360" w:lineRule="auto"/>
        <w:ind w:firstLine="420" w:firstLineChars="200"/>
        <w:rPr>
          <w:rFonts w:hint="eastAsia" w:ascii="宋体" w:hAnsi="宋体"/>
          <w:bCs/>
          <w:szCs w:val="21"/>
        </w:rPr>
      </w:pPr>
      <w:r>
        <w:rPr>
          <w:rFonts w:hint="eastAsia" w:ascii="宋体" w:hAnsi="宋体"/>
          <w:bCs/>
          <w:szCs w:val="21"/>
        </w:rPr>
        <w:t xml:space="preserve">（8）图纸； </w:t>
      </w:r>
    </w:p>
    <w:p w14:paraId="1B2AB3C1">
      <w:pPr>
        <w:spacing w:line="360" w:lineRule="auto"/>
        <w:ind w:firstLine="420" w:firstLineChars="200"/>
        <w:rPr>
          <w:rFonts w:hint="eastAsia" w:ascii="宋体" w:hAnsi="宋体"/>
          <w:bCs/>
          <w:szCs w:val="21"/>
        </w:rPr>
      </w:pPr>
      <w:r>
        <w:rPr>
          <w:rFonts w:hint="eastAsia" w:ascii="宋体" w:hAnsi="宋体"/>
          <w:bCs/>
          <w:szCs w:val="21"/>
        </w:rPr>
        <w:t xml:space="preserve">（9）已标价工程量清单； </w:t>
      </w:r>
    </w:p>
    <w:p w14:paraId="7A99E0A3">
      <w:pPr>
        <w:spacing w:line="360" w:lineRule="auto"/>
        <w:ind w:firstLine="420" w:firstLineChars="200"/>
        <w:rPr>
          <w:rFonts w:hint="eastAsia" w:ascii="宋体" w:hAnsi="宋体"/>
          <w:bCs/>
          <w:szCs w:val="21"/>
        </w:rPr>
      </w:pPr>
      <w:r>
        <w:rPr>
          <w:rFonts w:hint="eastAsia" w:ascii="宋体" w:hAnsi="宋体"/>
          <w:bCs/>
          <w:szCs w:val="21"/>
        </w:rPr>
        <w:t xml:space="preserve">（10）承包人有关人员、设备投入的承诺及投标文件中的施工组织设计； </w:t>
      </w:r>
    </w:p>
    <w:p w14:paraId="2BD61A70">
      <w:pPr>
        <w:spacing w:line="360" w:lineRule="auto"/>
        <w:ind w:firstLine="420" w:firstLineChars="200"/>
        <w:rPr>
          <w:rFonts w:ascii="宋体" w:hAnsi="宋体"/>
          <w:szCs w:val="21"/>
        </w:rPr>
      </w:pPr>
      <w:r>
        <w:rPr>
          <w:rFonts w:hint="eastAsia" w:ascii="宋体" w:hAnsi="宋体"/>
          <w:bCs/>
          <w:szCs w:val="21"/>
        </w:rPr>
        <w:t>（11）其他合同文件</w:t>
      </w:r>
    </w:p>
    <w:p w14:paraId="08DDC82D">
      <w:pPr>
        <w:spacing w:line="360" w:lineRule="auto"/>
        <w:ind w:firstLine="420" w:firstLineChars="200"/>
        <w:rPr>
          <w:rFonts w:ascii="宋体" w:hAnsi="宋体"/>
          <w:szCs w:val="21"/>
        </w:rPr>
      </w:pPr>
      <w:r>
        <w:rPr>
          <w:rFonts w:hint="eastAsia" w:ascii="宋体" w:hAnsi="宋体"/>
          <w:szCs w:val="21"/>
        </w:rPr>
        <w:t>在合同订立、履行过程中形成的与合同有关的书面形式的文件均构成合同文件组成部分。</w:t>
      </w:r>
    </w:p>
    <w:p w14:paraId="140F8CC6">
      <w:pPr>
        <w:spacing w:line="360" w:lineRule="auto"/>
        <w:ind w:firstLine="420" w:firstLineChars="200"/>
        <w:rPr>
          <w:rFonts w:ascii="宋体" w:hAnsi="宋体"/>
          <w:szCs w:val="21"/>
        </w:rPr>
      </w:pPr>
      <w:r>
        <w:rPr>
          <w:rFonts w:hint="eastAsia" w:ascii="宋体" w:hAnsi="宋体"/>
          <w:szCs w:val="21"/>
        </w:rPr>
        <w:t>上述各项合同文件包括合同当事人就该项合同文件所作出的补充和修改，属于同一类内容的文件，应以最新签署的为准。专用合同条款及其附件须经合同当事人签名或盖章。</w:t>
      </w:r>
    </w:p>
    <w:p w14:paraId="4DC54CB8">
      <w:pPr>
        <w:snapToGrid w:val="0"/>
        <w:spacing w:line="360" w:lineRule="auto"/>
        <w:ind w:firstLine="422" w:firstLineChars="200"/>
        <w:rPr>
          <w:rFonts w:hint="eastAsia" w:ascii="宋体" w:hAnsi="宋体"/>
          <w:b/>
          <w:szCs w:val="21"/>
        </w:rPr>
      </w:pPr>
      <w:bookmarkStart w:id="708" w:name="_Toc532377172"/>
      <w:bookmarkStart w:id="709" w:name="_Toc532375579"/>
      <w:bookmarkStart w:id="710" w:name="_Toc351203487"/>
      <w:r>
        <w:rPr>
          <w:rFonts w:hint="eastAsia" w:ascii="宋体" w:hAnsi="宋体"/>
          <w:b/>
          <w:szCs w:val="21"/>
        </w:rPr>
        <w:t>七、承诺</w:t>
      </w:r>
      <w:bookmarkEnd w:id="708"/>
      <w:bookmarkEnd w:id="709"/>
      <w:bookmarkEnd w:id="710"/>
    </w:p>
    <w:p w14:paraId="3315D5C3">
      <w:pPr>
        <w:spacing w:line="360" w:lineRule="auto"/>
        <w:ind w:firstLine="420" w:firstLineChars="200"/>
        <w:rPr>
          <w:rFonts w:ascii="宋体" w:hAnsi="宋体"/>
          <w:bCs/>
          <w:szCs w:val="21"/>
        </w:rPr>
      </w:pPr>
      <w:r>
        <w:rPr>
          <w:rFonts w:hint="eastAsia" w:ascii="宋体" w:hAnsi="宋体"/>
          <w:bCs/>
          <w:szCs w:val="21"/>
        </w:rPr>
        <w:t>1.发包人承诺按照法律规定履行项目审批手续、筹集工程建设资金并按照合同约定的期限和方式支付合同价款。</w:t>
      </w:r>
    </w:p>
    <w:p w14:paraId="4DE954FE">
      <w:pPr>
        <w:spacing w:line="360" w:lineRule="auto"/>
        <w:ind w:firstLine="420" w:firstLineChars="200"/>
        <w:rPr>
          <w:rFonts w:ascii="宋体" w:hAnsi="宋体"/>
          <w:bCs/>
          <w:szCs w:val="21"/>
        </w:rPr>
      </w:pPr>
      <w:r>
        <w:rPr>
          <w:rFonts w:hint="eastAsia" w:ascii="宋体" w:hAnsi="宋体"/>
          <w:bCs/>
          <w:szCs w:val="21"/>
        </w:rPr>
        <w:t>2.</w:t>
      </w:r>
      <w:r>
        <w:rPr>
          <w:rFonts w:hint="eastAsia" w:ascii="宋体" w:hAnsi="宋体"/>
          <w:szCs w:val="21"/>
        </w:rPr>
        <w:t>承包人承诺按照法律规定及合同约定组织完成工程施工，确保工程质量和安全，不进行转包及违法分包，并在缺陷责任期及保修期内承担相应的工程维修责任</w:t>
      </w:r>
      <w:r>
        <w:rPr>
          <w:rFonts w:hint="eastAsia" w:ascii="宋体" w:hAnsi="宋体"/>
          <w:bCs/>
          <w:szCs w:val="21"/>
        </w:rPr>
        <w:t>。</w:t>
      </w:r>
    </w:p>
    <w:p w14:paraId="750FA915">
      <w:pPr>
        <w:spacing w:line="360" w:lineRule="auto"/>
        <w:ind w:firstLine="420" w:firstLineChars="200"/>
        <w:rPr>
          <w:rFonts w:ascii="宋体" w:hAnsi="宋体"/>
          <w:bCs/>
          <w:szCs w:val="21"/>
        </w:rPr>
      </w:pPr>
      <w:r>
        <w:rPr>
          <w:rFonts w:hint="eastAsia" w:ascii="宋体" w:hAnsi="宋体"/>
          <w:bCs/>
          <w:szCs w:val="21"/>
        </w:rPr>
        <w:t>3.发包人和承包人通过招投标形式签订合同的，双方理解并承诺不再就同一工程另行签订与合同实质性内容相背离的协议。</w:t>
      </w:r>
    </w:p>
    <w:p w14:paraId="6DC9ED85">
      <w:pPr>
        <w:snapToGrid w:val="0"/>
        <w:spacing w:line="360" w:lineRule="auto"/>
        <w:ind w:firstLine="422" w:firstLineChars="200"/>
        <w:rPr>
          <w:rFonts w:hint="eastAsia" w:ascii="宋体" w:hAnsi="宋体"/>
          <w:b/>
          <w:szCs w:val="21"/>
        </w:rPr>
      </w:pPr>
      <w:bookmarkStart w:id="711" w:name="_Toc532375580"/>
      <w:bookmarkStart w:id="712" w:name="_Toc351203488"/>
      <w:bookmarkStart w:id="713" w:name="_Toc532377173"/>
      <w:r>
        <w:rPr>
          <w:rFonts w:hint="eastAsia" w:ascii="宋体" w:hAnsi="宋体"/>
          <w:b/>
          <w:szCs w:val="21"/>
        </w:rPr>
        <w:t>八、词语含义</w:t>
      </w:r>
      <w:bookmarkEnd w:id="711"/>
      <w:bookmarkEnd w:id="712"/>
      <w:bookmarkEnd w:id="713"/>
    </w:p>
    <w:p w14:paraId="458B2343">
      <w:pPr>
        <w:spacing w:line="360" w:lineRule="auto"/>
        <w:ind w:firstLine="420" w:firstLineChars="200"/>
        <w:rPr>
          <w:rFonts w:ascii="宋体" w:hAnsi="宋体"/>
          <w:bCs/>
          <w:szCs w:val="21"/>
        </w:rPr>
      </w:pPr>
      <w:r>
        <w:rPr>
          <w:rFonts w:hint="eastAsia" w:ascii="宋体" w:hAnsi="宋体"/>
          <w:bCs/>
          <w:szCs w:val="21"/>
        </w:rPr>
        <w:t>本协议书中词语含义与专用合同条款及通用合同条款中赋予的含义相同。</w:t>
      </w:r>
    </w:p>
    <w:p w14:paraId="328BC0AA">
      <w:pPr>
        <w:snapToGrid w:val="0"/>
        <w:spacing w:line="360" w:lineRule="auto"/>
        <w:ind w:firstLine="422" w:firstLineChars="200"/>
        <w:rPr>
          <w:rFonts w:hint="eastAsia" w:ascii="宋体" w:hAnsi="宋体"/>
          <w:b/>
          <w:szCs w:val="21"/>
        </w:rPr>
      </w:pPr>
      <w:bookmarkStart w:id="714" w:name="_Toc532375581"/>
      <w:bookmarkStart w:id="715" w:name="_Toc532377174"/>
      <w:r>
        <w:rPr>
          <w:rFonts w:hint="eastAsia" w:ascii="宋体" w:hAnsi="宋体"/>
          <w:b/>
          <w:szCs w:val="21"/>
        </w:rPr>
        <w:t>九、签订时间</w:t>
      </w:r>
      <w:bookmarkEnd w:id="714"/>
      <w:bookmarkEnd w:id="715"/>
    </w:p>
    <w:p w14:paraId="4C6B8C0D">
      <w:pPr>
        <w:spacing w:line="360" w:lineRule="auto"/>
        <w:ind w:firstLine="420" w:firstLineChars="200"/>
        <w:rPr>
          <w:rFonts w:ascii="宋体" w:hAnsi="宋体"/>
          <w:szCs w:val="21"/>
        </w:rPr>
      </w:pPr>
      <w:r>
        <w:rPr>
          <w:rFonts w:hint="eastAsia" w:ascii="宋体" w:hAnsi="宋体"/>
          <w:bCs/>
          <w:szCs w:val="21"/>
        </w:rPr>
        <w:t>合同于</w:t>
      </w:r>
      <w:r>
        <w:rPr>
          <w:rFonts w:hint="eastAsia" w:ascii="宋体" w:hAnsi="宋体"/>
          <w:szCs w:val="21"/>
          <w:u w:val="single"/>
        </w:rPr>
        <w:t xml:space="preserve">        </w:t>
      </w:r>
      <w:r>
        <w:rPr>
          <w:rFonts w:hint="eastAsia" w:ascii="宋体" w:hAnsi="宋体"/>
          <w:bCs/>
          <w:szCs w:val="21"/>
        </w:rPr>
        <w:t>年</w:t>
      </w:r>
      <w:r>
        <w:rPr>
          <w:rFonts w:hint="eastAsia" w:ascii="宋体" w:hAnsi="宋体"/>
          <w:szCs w:val="21"/>
          <w:u w:val="single"/>
        </w:rPr>
        <w:t xml:space="preserve">        </w:t>
      </w:r>
      <w:r>
        <w:rPr>
          <w:rFonts w:hint="eastAsia" w:ascii="宋体" w:hAnsi="宋体"/>
          <w:bCs/>
          <w:szCs w:val="21"/>
        </w:rPr>
        <w:t>月</w:t>
      </w:r>
      <w:r>
        <w:rPr>
          <w:rFonts w:hint="eastAsia" w:ascii="宋体" w:hAnsi="宋体"/>
          <w:szCs w:val="21"/>
          <w:u w:val="single"/>
        </w:rPr>
        <w:t xml:space="preserve">        </w:t>
      </w:r>
      <w:r>
        <w:rPr>
          <w:rFonts w:hint="eastAsia" w:ascii="宋体" w:hAnsi="宋体"/>
          <w:bCs/>
          <w:szCs w:val="21"/>
        </w:rPr>
        <w:t>日签订</w:t>
      </w:r>
    </w:p>
    <w:p w14:paraId="53C2E4DB">
      <w:pPr>
        <w:snapToGrid w:val="0"/>
        <w:spacing w:line="360" w:lineRule="auto"/>
        <w:ind w:firstLine="422" w:firstLineChars="200"/>
        <w:rPr>
          <w:rFonts w:hint="eastAsia" w:ascii="宋体" w:hAnsi="宋体"/>
          <w:b/>
          <w:szCs w:val="21"/>
        </w:rPr>
      </w:pPr>
      <w:bookmarkStart w:id="716" w:name="_Toc351203489"/>
      <w:bookmarkStart w:id="717" w:name="_Toc532377175"/>
      <w:bookmarkStart w:id="718" w:name="_Toc532375582"/>
      <w:r>
        <w:rPr>
          <w:rFonts w:hint="eastAsia" w:ascii="宋体" w:hAnsi="宋体"/>
          <w:b/>
          <w:szCs w:val="21"/>
        </w:rPr>
        <w:t>十、</w:t>
      </w:r>
      <w:bookmarkEnd w:id="716"/>
      <w:bookmarkStart w:id="719" w:name="_Toc351203490"/>
      <w:r>
        <w:rPr>
          <w:rFonts w:hint="eastAsia" w:ascii="宋体" w:hAnsi="宋体"/>
          <w:b/>
          <w:szCs w:val="21"/>
        </w:rPr>
        <w:t>签订地点</w:t>
      </w:r>
      <w:bookmarkEnd w:id="717"/>
      <w:bookmarkEnd w:id="718"/>
      <w:bookmarkEnd w:id="719"/>
    </w:p>
    <w:p w14:paraId="66AB03C7">
      <w:pPr>
        <w:spacing w:line="360" w:lineRule="auto"/>
        <w:ind w:firstLine="420" w:firstLineChars="200"/>
        <w:rPr>
          <w:rFonts w:ascii="宋体" w:hAnsi="宋体"/>
          <w:bCs/>
          <w:szCs w:val="21"/>
        </w:rPr>
      </w:pPr>
      <w:r>
        <w:rPr>
          <w:rFonts w:hint="eastAsia" w:ascii="宋体" w:hAnsi="宋体"/>
          <w:bCs/>
          <w:szCs w:val="21"/>
        </w:rPr>
        <w:t>合同在</w:t>
      </w:r>
      <w:r>
        <w:rPr>
          <w:rFonts w:hint="eastAsia" w:ascii="宋体" w:hAnsi="宋体"/>
          <w:szCs w:val="21"/>
          <w:u w:val="single"/>
        </w:rPr>
        <w:t xml:space="preserve">        </w:t>
      </w:r>
      <w:r>
        <w:rPr>
          <w:rFonts w:hint="eastAsia" w:ascii="宋体" w:hAnsi="宋体"/>
          <w:bCs/>
          <w:szCs w:val="21"/>
        </w:rPr>
        <w:t>签订。</w:t>
      </w:r>
    </w:p>
    <w:p w14:paraId="7768E5A7">
      <w:pPr>
        <w:snapToGrid w:val="0"/>
        <w:spacing w:line="360" w:lineRule="auto"/>
        <w:ind w:firstLine="422" w:firstLineChars="200"/>
        <w:rPr>
          <w:rFonts w:hint="eastAsia" w:ascii="宋体" w:hAnsi="宋体"/>
          <w:b/>
          <w:szCs w:val="21"/>
        </w:rPr>
      </w:pPr>
      <w:bookmarkStart w:id="720" w:name="_Toc351203491"/>
      <w:bookmarkStart w:id="721" w:name="_Toc532377176"/>
      <w:bookmarkStart w:id="722" w:name="_Toc532375583"/>
      <w:r>
        <w:rPr>
          <w:rFonts w:hint="eastAsia" w:ascii="宋体" w:hAnsi="宋体"/>
          <w:b/>
          <w:szCs w:val="21"/>
        </w:rPr>
        <w:t>十一、补充协议</w:t>
      </w:r>
      <w:bookmarkEnd w:id="720"/>
      <w:bookmarkEnd w:id="721"/>
      <w:bookmarkEnd w:id="722"/>
    </w:p>
    <w:p w14:paraId="633AA973">
      <w:pPr>
        <w:spacing w:line="360" w:lineRule="auto"/>
        <w:ind w:firstLine="420" w:firstLineChars="200"/>
        <w:rPr>
          <w:rFonts w:ascii="宋体" w:hAnsi="宋体"/>
          <w:b/>
          <w:bCs/>
          <w:szCs w:val="21"/>
        </w:rPr>
      </w:pPr>
      <w:r>
        <w:rPr>
          <w:rFonts w:hint="eastAsia" w:ascii="宋体" w:hAnsi="宋体"/>
          <w:bCs/>
          <w:szCs w:val="21"/>
        </w:rPr>
        <w:t>合同未尽事宜，合同当事人另行签订补充协议，补充协议是合同的组成部分。</w:t>
      </w:r>
    </w:p>
    <w:p w14:paraId="05265B98">
      <w:pPr>
        <w:snapToGrid w:val="0"/>
        <w:spacing w:line="360" w:lineRule="auto"/>
        <w:ind w:firstLine="422" w:firstLineChars="200"/>
        <w:rPr>
          <w:rFonts w:hint="eastAsia" w:ascii="宋体" w:hAnsi="宋体"/>
          <w:b/>
          <w:szCs w:val="21"/>
        </w:rPr>
      </w:pPr>
      <w:bookmarkStart w:id="723" w:name="_Toc532377177"/>
      <w:bookmarkStart w:id="724" w:name="_Toc532375584"/>
      <w:bookmarkStart w:id="725" w:name="_Toc351203492"/>
      <w:r>
        <w:rPr>
          <w:rFonts w:hint="eastAsia" w:ascii="宋体" w:hAnsi="宋体"/>
          <w:b/>
          <w:szCs w:val="21"/>
        </w:rPr>
        <w:t>十二、合同生效</w:t>
      </w:r>
      <w:bookmarkEnd w:id="723"/>
      <w:bookmarkEnd w:id="724"/>
      <w:bookmarkEnd w:id="725"/>
    </w:p>
    <w:p w14:paraId="3E50978E">
      <w:pPr>
        <w:spacing w:line="360" w:lineRule="auto"/>
        <w:ind w:firstLine="420" w:firstLineChars="200"/>
        <w:rPr>
          <w:rFonts w:ascii="宋体" w:hAnsi="宋体"/>
          <w:bCs/>
          <w:szCs w:val="21"/>
        </w:rPr>
      </w:pPr>
      <w:r>
        <w:rPr>
          <w:rFonts w:hint="eastAsia" w:ascii="宋体" w:hAnsi="宋体"/>
          <w:bCs/>
          <w:szCs w:val="21"/>
        </w:rPr>
        <w:t>合同在以下条件全部满足之后生效：</w:t>
      </w:r>
    </w:p>
    <w:p w14:paraId="25322A12">
      <w:pPr>
        <w:spacing w:line="360" w:lineRule="auto"/>
        <w:ind w:firstLine="420" w:firstLineChars="200"/>
        <w:rPr>
          <w:rFonts w:hint="eastAsia" w:ascii="宋体" w:hAnsi="宋体"/>
          <w:szCs w:val="21"/>
        </w:rPr>
      </w:pPr>
      <w:r>
        <w:rPr>
          <w:rFonts w:hint="eastAsia" w:ascii="宋体" w:hAnsi="宋体"/>
          <w:bCs/>
          <w:szCs w:val="21"/>
        </w:rPr>
        <w:t>1.合同</w:t>
      </w:r>
      <w:r>
        <w:rPr>
          <w:rFonts w:hint="eastAsia" w:ascii="宋体" w:hAnsi="宋体"/>
          <w:szCs w:val="21"/>
        </w:rPr>
        <w:t>经双方法定代表人或其委托代理人签名并加盖</w:t>
      </w:r>
      <w:r>
        <w:rPr>
          <w:rFonts w:hint="eastAsia" w:ascii="宋体" w:hAnsi="宋体"/>
          <w:snapToGrid w:val="0"/>
          <w:kern w:val="0"/>
          <w:szCs w:val="21"/>
        </w:rPr>
        <w:t>公章或合同专用章</w:t>
      </w:r>
      <w:r>
        <w:rPr>
          <w:rFonts w:hint="eastAsia" w:ascii="宋体" w:hAnsi="宋体"/>
          <w:szCs w:val="21"/>
        </w:rPr>
        <w:t>；</w:t>
      </w:r>
    </w:p>
    <w:p w14:paraId="09161377">
      <w:pPr>
        <w:spacing w:line="360" w:lineRule="auto"/>
        <w:ind w:firstLine="420" w:firstLineChars="200"/>
        <w:rPr>
          <w:rFonts w:hint="eastAsia" w:ascii="宋体" w:hAnsi="宋体"/>
          <w:szCs w:val="21"/>
        </w:rPr>
      </w:pPr>
      <w:r>
        <w:rPr>
          <w:rFonts w:hint="eastAsia" w:ascii="宋体" w:hAnsi="宋体"/>
          <w:szCs w:val="21"/>
        </w:rPr>
        <w:t>2.采用保函形式递交履约保证金的，承包人按合同约定向发包人提交履约保证金后；</w:t>
      </w:r>
    </w:p>
    <w:p w14:paraId="3C9F3040">
      <w:pPr>
        <w:spacing w:line="360" w:lineRule="auto"/>
        <w:ind w:firstLine="420" w:firstLineChars="200"/>
        <w:rPr>
          <w:rFonts w:ascii="宋体" w:hAnsi="宋体"/>
          <w:bCs/>
          <w:szCs w:val="21"/>
        </w:rPr>
      </w:pPr>
      <w:r>
        <w:rPr>
          <w:rFonts w:hint="eastAsia" w:ascii="宋体" w:hAnsi="宋体"/>
          <w:bCs/>
          <w:szCs w:val="21"/>
        </w:rPr>
        <w:t>3.</w:t>
      </w:r>
      <w:r>
        <w:rPr>
          <w:rFonts w:hint="eastAsia" w:ascii="宋体" w:hAnsi="宋体"/>
          <w:szCs w:val="21"/>
          <w:u w:val="single"/>
        </w:rPr>
        <w:t xml:space="preserve">        </w:t>
      </w:r>
      <w:r>
        <w:rPr>
          <w:rFonts w:hint="eastAsia" w:ascii="宋体" w:hAnsi="宋体"/>
          <w:szCs w:val="21"/>
        </w:rPr>
        <w:t>。</w:t>
      </w:r>
    </w:p>
    <w:p w14:paraId="0A6BD7E0">
      <w:pPr>
        <w:snapToGrid w:val="0"/>
        <w:spacing w:line="360" w:lineRule="auto"/>
        <w:ind w:firstLine="422" w:firstLineChars="200"/>
        <w:rPr>
          <w:rFonts w:hint="eastAsia" w:ascii="宋体" w:hAnsi="宋体"/>
          <w:b/>
          <w:szCs w:val="21"/>
        </w:rPr>
      </w:pPr>
      <w:bookmarkStart w:id="726" w:name="_Toc532377178"/>
      <w:bookmarkStart w:id="727" w:name="_Toc532375585"/>
      <w:bookmarkStart w:id="728" w:name="_Toc351203493"/>
      <w:r>
        <w:rPr>
          <w:rFonts w:hint="eastAsia" w:ascii="宋体" w:hAnsi="宋体"/>
          <w:b/>
          <w:szCs w:val="21"/>
        </w:rPr>
        <w:t>十三、合同份数</w:t>
      </w:r>
      <w:bookmarkEnd w:id="726"/>
      <w:bookmarkEnd w:id="727"/>
      <w:bookmarkEnd w:id="728"/>
    </w:p>
    <w:p w14:paraId="5B9873A5">
      <w:pPr>
        <w:spacing w:line="360" w:lineRule="auto"/>
        <w:ind w:firstLine="420" w:firstLineChars="200"/>
        <w:rPr>
          <w:rFonts w:ascii="宋体" w:hAnsi="宋体"/>
          <w:bCs/>
          <w:szCs w:val="21"/>
        </w:rPr>
      </w:pPr>
      <w:r>
        <w:rPr>
          <w:rFonts w:hint="eastAsia" w:ascii="宋体" w:hAnsi="宋体" w:cs="Microsoft Sans Serif"/>
          <w:bCs/>
          <w:szCs w:val="21"/>
        </w:rPr>
        <w:t>合同一式</w:t>
      </w:r>
      <w:r>
        <w:rPr>
          <w:rFonts w:hint="eastAsia" w:ascii="宋体" w:hAnsi="宋体" w:cs="Microsoft Sans Serif"/>
          <w:bCs/>
          <w:szCs w:val="21"/>
          <w:u w:val="single"/>
        </w:rPr>
        <w:t xml:space="preserve">     </w:t>
      </w:r>
      <w:r>
        <w:rPr>
          <w:rFonts w:hint="eastAsia" w:ascii="宋体" w:hAnsi="宋体" w:cs="Microsoft Sans Serif"/>
          <w:bCs/>
          <w:szCs w:val="21"/>
        </w:rPr>
        <w:t>份，其中正本</w:t>
      </w:r>
      <w:r>
        <w:rPr>
          <w:rFonts w:hint="eastAsia" w:ascii="宋体" w:hAnsi="宋体" w:cs="Microsoft Sans Serif"/>
          <w:bCs/>
          <w:szCs w:val="21"/>
          <w:u w:val="single"/>
        </w:rPr>
        <w:t xml:space="preserve">    </w:t>
      </w:r>
      <w:r>
        <w:rPr>
          <w:rFonts w:hint="eastAsia" w:ascii="宋体" w:hAnsi="宋体" w:cs="Microsoft Sans Serif"/>
          <w:bCs/>
          <w:szCs w:val="21"/>
        </w:rPr>
        <w:t>份，双方各持</w:t>
      </w:r>
      <w:r>
        <w:rPr>
          <w:rFonts w:hint="eastAsia" w:ascii="宋体" w:hAnsi="宋体" w:cs="Microsoft Sans Serif"/>
          <w:bCs/>
          <w:szCs w:val="21"/>
          <w:u w:val="single"/>
        </w:rPr>
        <w:t xml:space="preserve">    </w:t>
      </w:r>
      <w:r>
        <w:rPr>
          <w:rFonts w:hint="eastAsia" w:ascii="宋体" w:hAnsi="宋体" w:cs="Microsoft Sans Serif"/>
          <w:bCs/>
          <w:szCs w:val="21"/>
        </w:rPr>
        <w:t>份，副本</w:t>
      </w:r>
      <w:r>
        <w:rPr>
          <w:rFonts w:hint="eastAsia" w:ascii="宋体" w:hAnsi="宋体" w:cs="Microsoft Sans Serif"/>
          <w:bCs/>
          <w:szCs w:val="21"/>
          <w:u w:val="single"/>
        </w:rPr>
        <w:t xml:space="preserve">    </w:t>
      </w:r>
      <w:r>
        <w:rPr>
          <w:rFonts w:hint="eastAsia" w:ascii="宋体" w:hAnsi="宋体" w:cs="Microsoft Sans Serif"/>
          <w:bCs/>
          <w:szCs w:val="21"/>
        </w:rPr>
        <w:t>份，双方各执</w:t>
      </w:r>
      <w:r>
        <w:rPr>
          <w:rFonts w:hint="eastAsia" w:ascii="宋体" w:hAnsi="宋体" w:cs="Microsoft Sans Serif"/>
          <w:bCs/>
          <w:szCs w:val="21"/>
          <w:u w:val="single"/>
        </w:rPr>
        <w:t xml:space="preserve">    </w:t>
      </w:r>
      <w:r>
        <w:rPr>
          <w:rFonts w:hint="eastAsia" w:ascii="宋体" w:hAnsi="宋体" w:cs="Microsoft Sans Serif"/>
          <w:bCs/>
          <w:szCs w:val="21"/>
        </w:rPr>
        <w:t>份。副本与正本不一致时，以正本为准</w:t>
      </w:r>
      <w:r>
        <w:rPr>
          <w:rFonts w:hint="eastAsia" w:ascii="宋体" w:hAnsi="宋体"/>
          <w:bCs/>
          <w:szCs w:val="21"/>
        </w:rPr>
        <w:t>。</w:t>
      </w:r>
    </w:p>
    <w:p w14:paraId="674A7ECD">
      <w:pPr>
        <w:adjustRightInd w:val="0"/>
        <w:spacing w:line="360" w:lineRule="auto"/>
        <w:ind w:firstLine="420" w:firstLineChars="200"/>
        <w:rPr>
          <w:rFonts w:ascii="宋体" w:hAnsi="宋体"/>
          <w:snapToGrid w:val="0"/>
          <w:kern w:val="0"/>
          <w:szCs w:val="21"/>
        </w:rPr>
      </w:pPr>
      <w:bookmarkStart w:id="729" w:name="_Toc467689623"/>
    </w:p>
    <w:p w14:paraId="3A612488">
      <w:pPr>
        <w:adjustRightInd w:val="0"/>
        <w:spacing w:line="360" w:lineRule="auto"/>
        <w:ind w:firstLine="420" w:firstLineChars="200"/>
        <w:rPr>
          <w:rFonts w:ascii="宋体" w:hAnsi="宋体"/>
          <w:snapToGrid w:val="0"/>
          <w:kern w:val="0"/>
          <w:szCs w:val="21"/>
        </w:rPr>
      </w:pPr>
      <w:r>
        <w:rPr>
          <w:rFonts w:ascii="宋体" w:hAnsi="宋体"/>
          <w:snapToGrid w:val="0"/>
          <w:kern w:val="0"/>
          <w:szCs w:val="21"/>
        </w:rPr>
        <w:t>发包人：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14:paraId="36578DBA">
      <w:pPr>
        <w:adjustRightInd w:val="0"/>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606EBA6D">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057F9FAC">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02405597">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48B99721">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5516424B">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18D299DA">
      <w:pPr>
        <w:spacing w:line="360" w:lineRule="auto"/>
        <w:ind w:firstLine="420" w:firstLineChars="200"/>
        <w:rPr>
          <w:rFonts w:ascii="宋体" w:hAnsi="宋体"/>
          <w:szCs w:val="21"/>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48CCEEC">
      <w:pPr>
        <w:spacing w:line="360" w:lineRule="auto"/>
        <w:rPr>
          <w:rFonts w:ascii="宋体" w:hAnsi="宋体"/>
          <w:snapToGrid w:val="0"/>
          <w:kern w:val="0"/>
          <w:szCs w:val="21"/>
        </w:rPr>
      </w:pPr>
    </w:p>
    <w:p w14:paraId="69A9469F">
      <w:pPr>
        <w:spacing w:line="360" w:lineRule="auto"/>
        <w:ind w:firstLine="420" w:firstLineChars="200"/>
        <w:rPr>
          <w:rFonts w:ascii="宋体" w:hAnsi="宋体"/>
          <w:szCs w:val="21"/>
        </w:rPr>
      </w:pPr>
      <w:r>
        <w:rPr>
          <w:rFonts w:ascii="宋体" w:hAnsi="宋体"/>
          <w:snapToGrid w:val="0"/>
          <w:kern w:val="0"/>
          <w:szCs w:val="21"/>
        </w:rPr>
        <w:t>承包人：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（公章</w:t>
      </w:r>
      <w:r>
        <w:rPr>
          <w:rFonts w:hint="eastAsia" w:ascii="宋体" w:hAnsi="宋体"/>
          <w:snapToGrid w:val="0"/>
          <w:kern w:val="0"/>
          <w:szCs w:val="21"/>
        </w:rPr>
        <w:t>或合同专用章</w:t>
      </w:r>
      <w:r>
        <w:rPr>
          <w:rFonts w:ascii="宋体" w:hAnsi="宋体"/>
          <w:snapToGrid w:val="0"/>
          <w:kern w:val="0"/>
          <w:szCs w:val="21"/>
        </w:rPr>
        <w:t>）</w:t>
      </w:r>
    </w:p>
    <w:p w14:paraId="3EE6A2D2">
      <w:pPr>
        <w:spacing w:line="360" w:lineRule="auto"/>
        <w:ind w:firstLine="420" w:firstLineChars="200"/>
        <w:rPr>
          <w:rFonts w:ascii="宋体" w:hAnsi="宋体"/>
          <w:snapToGrid w:val="0"/>
          <w:kern w:val="0"/>
          <w:szCs w:val="21"/>
        </w:rPr>
      </w:pPr>
      <w:r>
        <w:rPr>
          <w:rFonts w:ascii="宋体" w:hAnsi="宋体"/>
          <w:snapToGrid w:val="0"/>
          <w:kern w:val="0"/>
          <w:szCs w:val="21"/>
        </w:rPr>
        <w:t>法定代表人或其委托代理人：</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w:t>
      </w:r>
    </w:p>
    <w:p w14:paraId="29E03CD6">
      <w:pPr>
        <w:spacing w:line="360" w:lineRule="auto"/>
        <w:ind w:firstLine="420" w:firstLineChars="200"/>
        <w:rPr>
          <w:rFonts w:ascii="宋体" w:hAnsi="宋体"/>
          <w:snapToGrid w:val="0"/>
          <w:kern w:val="0"/>
          <w:szCs w:val="21"/>
        </w:rPr>
      </w:pPr>
      <w:r>
        <w:rPr>
          <w:rFonts w:hint="eastAsia" w:ascii="宋体" w:hAnsi="宋体"/>
          <w:snapToGrid w:val="0"/>
          <w:kern w:val="0"/>
          <w:szCs w:val="21"/>
        </w:rPr>
        <w:t>统一社会信用代码：</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3353657F">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纳税人识别号：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549F0BE">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地    址：</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2446B80">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电    话：</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D462EE0">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开户银行：</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61543EE3">
      <w:pPr>
        <w:spacing w:line="360" w:lineRule="auto"/>
        <w:ind w:firstLine="420" w:firstLineChars="200"/>
        <w:rPr>
          <w:rFonts w:ascii="宋体" w:hAnsi="宋体"/>
          <w:snapToGrid w:val="0"/>
          <w:kern w:val="0"/>
          <w:szCs w:val="21"/>
          <w:u w:val="single"/>
        </w:rPr>
      </w:pPr>
      <w:r>
        <w:rPr>
          <w:rFonts w:hint="eastAsia" w:ascii="宋体" w:hAnsi="宋体"/>
          <w:snapToGrid w:val="0"/>
          <w:kern w:val="0"/>
          <w:szCs w:val="21"/>
        </w:rPr>
        <w:t>账    号：</w:t>
      </w:r>
      <w:r>
        <w:rPr>
          <w:rFonts w:ascii="宋体" w:hAnsi="宋体"/>
          <w:snapToGrid w:val="0"/>
          <w:w w:val="20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2F15FFF7">
      <w:pPr>
        <w:spacing w:line="360" w:lineRule="auto"/>
        <w:ind w:right="210"/>
        <w:jc w:val="right"/>
        <w:rPr>
          <w:rFonts w:hint="eastAsia" w:ascii="宋体" w:hAnsi="宋体"/>
          <w:snapToGrid w:val="0"/>
          <w:kern w:val="0"/>
          <w:szCs w:val="21"/>
        </w:rPr>
      </w:pPr>
    </w:p>
    <w:p w14:paraId="28F4F7E5">
      <w:pPr>
        <w:spacing w:line="360" w:lineRule="auto"/>
        <w:jc w:val="right"/>
        <w:rPr>
          <w:rFonts w:hint="eastAsia" w:ascii="宋体" w:hAnsi="宋体"/>
          <w:snapToGrid w:val="0"/>
          <w:kern w:val="0"/>
          <w:szCs w:val="21"/>
        </w:rPr>
      </w:pPr>
      <w:r>
        <w:rPr>
          <w:rFonts w:hint="eastAsia" w:ascii="宋体" w:hAnsi="宋体"/>
          <w:snapToGrid w:val="0"/>
          <w:kern w:val="0"/>
          <w:szCs w:val="21"/>
        </w:rPr>
        <w:t>签约时间：</w:t>
      </w:r>
      <w:r>
        <w:rPr>
          <w:rFonts w:hint="eastAsia" w:ascii="宋体" w:hAnsi="宋体"/>
          <w:snapToGrid w:val="0"/>
          <w:kern w:val="0"/>
          <w:szCs w:val="21"/>
          <w:u w:val="single"/>
        </w:rPr>
        <w:t xml:space="preserve">     </w:t>
      </w:r>
      <w:r>
        <w:rPr>
          <w:rFonts w:hint="eastAsia" w:ascii="宋体" w:hAnsi="宋体"/>
          <w:snapToGrid w:val="0"/>
          <w:kern w:val="0"/>
          <w:szCs w:val="21"/>
        </w:rPr>
        <w:t>年</w:t>
      </w:r>
      <w:r>
        <w:rPr>
          <w:rFonts w:hint="eastAsia" w:ascii="宋体" w:hAnsi="宋体"/>
          <w:snapToGrid w:val="0"/>
          <w:kern w:val="0"/>
          <w:szCs w:val="21"/>
          <w:u w:val="single"/>
        </w:rPr>
        <w:t xml:space="preserve">     </w:t>
      </w:r>
      <w:r>
        <w:rPr>
          <w:rFonts w:hint="eastAsia" w:ascii="宋体" w:hAnsi="宋体"/>
          <w:snapToGrid w:val="0"/>
          <w:kern w:val="0"/>
          <w:szCs w:val="21"/>
        </w:rPr>
        <w:t>月</w:t>
      </w:r>
      <w:r>
        <w:rPr>
          <w:rFonts w:hint="eastAsia" w:ascii="宋体" w:hAnsi="宋体"/>
          <w:snapToGrid w:val="0"/>
          <w:kern w:val="0"/>
          <w:szCs w:val="21"/>
          <w:u w:val="single"/>
        </w:rPr>
        <w:t xml:space="preserve">     </w:t>
      </w:r>
      <w:r>
        <w:rPr>
          <w:rFonts w:hint="eastAsia" w:ascii="宋体" w:hAnsi="宋体"/>
          <w:snapToGrid w:val="0"/>
          <w:kern w:val="0"/>
          <w:szCs w:val="21"/>
        </w:rPr>
        <w:t>日</w:t>
      </w:r>
      <w:bookmarkEnd w:id="729"/>
      <w:bookmarkStart w:id="730" w:name="_Toc467164258"/>
      <w:bookmarkStart w:id="731" w:name="_Toc509390697"/>
      <w:bookmarkStart w:id="732" w:name="_Toc240180917"/>
      <w:bookmarkStart w:id="733" w:name="_Toc424558369"/>
      <w:bookmarkStart w:id="734" w:name="_Toc335223532"/>
      <w:bookmarkStart w:id="735" w:name="_Toc424558729"/>
    </w:p>
    <w:p w14:paraId="1DEB1676">
      <w:pPr>
        <w:spacing w:line="360" w:lineRule="auto"/>
        <w:jc w:val="right"/>
        <w:rPr>
          <w:rFonts w:hint="eastAsia" w:ascii="宋体" w:hAnsi="宋体" w:cs="黑体"/>
          <w:sz w:val="32"/>
          <w:szCs w:val="32"/>
        </w:rPr>
      </w:pPr>
      <w:r>
        <w:rPr>
          <w:rFonts w:hint="eastAsia" w:ascii="宋体" w:hAnsi="宋体"/>
          <w:snapToGrid w:val="0"/>
          <w:kern w:val="0"/>
          <w:szCs w:val="21"/>
        </w:rPr>
        <w:br w:type="page"/>
      </w:r>
    </w:p>
    <w:p w14:paraId="64CEAAF5">
      <w:pPr>
        <w:pStyle w:val="5"/>
        <w:jc w:val="center"/>
        <w:rPr>
          <w:rFonts w:hint="eastAsia" w:ascii="宋体" w:hAnsi="宋体" w:cs="黑体"/>
          <w:b w:val="0"/>
          <w:bCs w:val="0"/>
        </w:rPr>
      </w:pPr>
      <w:bookmarkStart w:id="736" w:name="_Toc10734"/>
      <w:bookmarkStart w:id="737" w:name="_Toc57795992"/>
      <w:bookmarkStart w:id="738" w:name="_Toc12727"/>
      <w:r>
        <w:rPr>
          <w:rFonts w:hint="eastAsia" w:ascii="宋体" w:hAnsi="宋体" w:cs="黑体"/>
          <w:b w:val="0"/>
          <w:bCs w:val="0"/>
        </w:rPr>
        <w:t>附件二 廉政合同</w:t>
      </w:r>
      <w:bookmarkEnd w:id="730"/>
      <w:bookmarkEnd w:id="731"/>
      <w:bookmarkEnd w:id="732"/>
      <w:bookmarkEnd w:id="733"/>
      <w:bookmarkEnd w:id="734"/>
      <w:bookmarkEnd w:id="735"/>
      <w:bookmarkEnd w:id="736"/>
      <w:bookmarkEnd w:id="737"/>
      <w:bookmarkEnd w:id="738"/>
    </w:p>
    <w:p w14:paraId="52D5207B">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023EAE22">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73359EDB">
      <w:pPr>
        <w:spacing w:line="360" w:lineRule="auto"/>
        <w:ind w:firstLine="420" w:firstLineChars="200"/>
        <w:rPr>
          <w:rFonts w:hint="eastAsia" w:ascii="宋体" w:hAnsi="宋体" w:cs="宋体"/>
        </w:rPr>
      </w:pPr>
      <w:r>
        <w:rPr>
          <w:rFonts w:hint="eastAsia" w:ascii="宋体" w:hAnsi="宋体" w:cs="宋体"/>
          <w:lang w:bidi="ar"/>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cs="宋体"/>
          <w:szCs w:val="21"/>
          <w:u w:val="single"/>
          <w:lang w:bidi="ar"/>
        </w:rPr>
        <w:t>（项目名称）</w:t>
      </w:r>
      <w:r>
        <w:rPr>
          <w:rFonts w:hint="eastAsia" w:ascii="宋体" w:hAnsi="宋体" w:cs="宋体"/>
          <w:lang w:bidi="ar"/>
        </w:rPr>
        <w:t>发包人</w:t>
      </w:r>
      <w:r>
        <w:rPr>
          <w:rFonts w:hint="eastAsia" w:ascii="宋体" w:hAnsi="宋体" w:cs="宋体"/>
          <w:u w:val="single"/>
          <w:lang w:bidi="ar"/>
        </w:rPr>
        <w:t xml:space="preserve">（全称） </w:t>
      </w:r>
      <w:r>
        <w:rPr>
          <w:rFonts w:hint="eastAsia" w:ascii="宋体" w:hAnsi="宋体" w:cs="宋体"/>
          <w:lang w:bidi="ar"/>
        </w:rPr>
        <w:t>与该项目</w:t>
      </w:r>
      <w:r>
        <w:rPr>
          <w:rFonts w:hint="eastAsia" w:ascii="宋体" w:hAnsi="宋体" w:cs="宋体"/>
          <w:u w:val="single"/>
          <w:lang w:bidi="ar"/>
        </w:rPr>
        <w:t xml:space="preserve">      </w:t>
      </w:r>
      <w:r>
        <w:rPr>
          <w:rFonts w:hint="eastAsia" w:ascii="宋体" w:hAnsi="宋体" w:cs="宋体"/>
          <w:lang w:bidi="ar"/>
        </w:rPr>
        <w:t>标段施工单位</w:t>
      </w:r>
      <w:r>
        <w:rPr>
          <w:rFonts w:hint="eastAsia" w:ascii="宋体" w:hAnsi="宋体" w:cs="宋体"/>
          <w:u w:val="single"/>
          <w:lang w:bidi="ar"/>
        </w:rPr>
        <w:t xml:space="preserve"> （全称）</w:t>
      </w:r>
      <w:r>
        <w:rPr>
          <w:rFonts w:hint="eastAsia" w:ascii="宋体" w:hAnsi="宋体" w:cs="宋体"/>
          <w:lang w:bidi="ar"/>
        </w:rPr>
        <w:t>（以下称承包人），特订立如下合同。</w:t>
      </w:r>
    </w:p>
    <w:p w14:paraId="6BD73C59">
      <w:pPr>
        <w:spacing w:line="360" w:lineRule="auto"/>
        <w:ind w:firstLine="420" w:firstLineChars="200"/>
        <w:rPr>
          <w:rFonts w:hint="eastAsia" w:ascii="宋体" w:hAnsi="宋体" w:cs="宋体"/>
        </w:rPr>
      </w:pPr>
      <w:r>
        <w:rPr>
          <w:rFonts w:hint="eastAsia" w:ascii="宋体" w:hAnsi="宋体" w:cs="宋体"/>
          <w:lang w:bidi="ar"/>
        </w:rPr>
        <w:t>1. 发包人和承包人双方的权利和义务</w:t>
      </w:r>
    </w:p>
    <w:p w14:paraId="56B16BBC">
      <w:pPr>
        <w:spacing w:line="360" w:lineRule="auto"/>
        <w:ind w:firstLine="420" w:firstLineChars="200"/>
        <w:rPr>
          <w:rFonts w:hint="eastAsia" w:ascii="宋体" w:hAnsi="宋体" w:cs="宋体"/>
        </w:rPr>
      </w:pPr>
      <w:r>
        <w:rPr>
          <w:rFonts w:hint="eastAsia" w:ascii="宋体" w:hAnsi="宋体" w:cs="宋体"/>
          <w:lang w:bidi="ar"/>
        </w:rPr>
        <w:t>（1）严格遵守党的政策规定和国家有关法律法规及交通运输部的有关规定。</w:t>
      </w:r>
    </w:p>
    <w:p w14:paraId="36597F32">
      <w:pPr>
        <w:spacing w:line="360" w:lineRule="auto"/>
        <w:ind w:firstLine="420" w:firstLineChars="200"/>
        <w:rPr>
          <w:rFonts w:hint="eastAsia" w:ascii="宋体" w:hAnsi="宋体" w:cs="宋体"/>
        </w:rPr>
      </w:pPr>
      <w:r>
        <w:rPr>
          <w:rFonts w:hint="eastAsia" w:ascii="宋体" w:hAnsi="宋体" w:cs="宋体"/>
          <w:lang w:bidi="ar"/>
        </w:rPr>
        <w:t>（2）严格执行</w:t>
      </w:r>
      <w:r>
        <w:rPr>
          <w:rFonts w:hint="eastAsia" w:ascii="宋体" w:hAnsi="宋体" w:cs="宋体"/>
          <w:szCs w:val="21"/>
          <w:u w:val="single"/>
          <w:lang w:bidi="ar"/>
        </w:rPr>
        <w:t>（项目名称）（标段名称）</w:t>
      </w:r>
      <w:r>
        <w:rPr>
          <w:rFonts w:hint="eastAsia" w:ascii="宋体" w:hAnsi="宋体" w:cs="宋体"/>
          <w:lang w:bidi="ar"/>
        </w:rPr>
        <w:t>的施工合同文件，自觉按合同办事。</w:t>
      </w:r>
    </w:p>
    <w:p w14:paraId="58DFA97F">
      <w:pPr>
        <w:spacing w:line="360" w:lineRule="auto"/>
        <w:ind w:firstLine="420" w:firstLineChars="200"/>
        <w:rPr>
          <w:rFonts w:hint="eastAsia" w:ascii="宋体" w:hAnsi="宋体" w:cs="宋体"/>
        </w:rPr>
      </w:pPr>
      <w:r>
        <w:rPr>
          <w:rFonts w:hint="eastAsia" w:ascii="宋体" w:hAnsi="宋体" w:cs="宋体"/>
          <w:lang w:bidi="ar"/>
        </w:rPr>
        <w:t>（3）双方的业务活动坚持公开、公正、诚信、透明的原则（法律认定的商业秘密和合同文件另有规定除外），不得损害国家和集体利益，违反工程建设管理规章制度。</w:t>
      </w:r>
    </w:p>
    <w:p w14:paraId="4A2C6ED5">
      <w:pPr>
        <w:spacing w:line="360" w:lineRule="auto"/>
        <w:ind w:firstLine="420" w:firstLineChars="200"/>
        <w:rPr>
          <w:rFonts w:hint="eastAsia" w:ascii="宋体" w:hAnsi="宋体" w:cs="宋体"/>
        </w:rPr>
      </w:pPr>
      <w:r>
        <w:rPr>
          <w:rFonts w:hint="eastAsia" w:ascii="宋体" w:hAnsi="宋体" w:cs="宋体"/>
          <w:lang w:bidi="ar"/>
        </w:rPr>
        <w:t>（4）建立健全廉政制度，开展廉政教育，设立廉政告示牌，公布举报电话，监督并认真查处违法违纪行为。</w:t>
      </w:r>
    </w:p>
    <w:p w14:paraId="1AA2C4E6">
      <w:pPr>
        <w:spacing w:line="360" w:lineRule="auto"/>
        <w:ind w:firstLine="420" w:firstLineChars="200"/>
        <w:rPr>
          <w:rFonts w:hint="eastAsia" w:ascii="宋体" w:hAnsi="宋体" w:cs="宋体"/>
        </w:rPr>
      </w:pPr>
      <w:r>
        <w:rPr>
          <w:rFonts w:hint="eastAsia" w:ascii="宋体" w:hAnsi="宋体" w:cs="宋体"/>
          <w:lang w:bidi="ar"/>
        </w:rPr>
        <w:t>（5）发现对方在业务活动中有违反廉政规定的行为，有及时提醒对方纠正的权利和义务。</w:t>
      </w:r>
    </w:p>
    <w:p w14:paraId="1E82E919">
      <w:pPr>
        <w:spacing w:line="360" w:lineRule="auto"/>
        <w:ind w:firstLine="420" w:firstLineChars="200"/>
        <w:rPr>
          <w:rFonts w:hint="eastAsia" w:ascii="宋体" w:hAnsi="宋体" w:cs="宋体"/>
        </w:rPr>
      </w:pPr>
      <w:r>
        <w:rPr>
          <w:rFonts w:hint="eastAsia" w:ascii="宋体" w:hAnsi="宋体" w:cs="宋体"/>
          <w:lang w:bidi="ar"/>
        </w:rPr>
        <w:t>（6）发现对方严重违反本合同义务条款的行为，有向其上级有关部门举报、建议给予处理并要求告知处理结果的权利。</w:t>
      </w:r>
    </w:p>
    <w:p w14:paraId="7FE0B479">
      <w:pPr>
        <w:spacing w:line="360" w:lineRule="auto"/>
        <w:ind w:firstLine="420" w:firstLineChars="200"/>
        <w:rPr>
          <w:rFonts w:hint="eastAsia" w:ascii="宋体" w:hAnsi="宋体" w:cs="宋体"/>
        </w:rPr>
      </w:pPr>
      <w:r>
        <w:rPr>
          <w:rFonts w:hint="eastAsia" w:ascii="宋体" w:hAnsi="宋体" w:cs="宋体"/>
          <w:lang w:bidi="ar"/>
        </w:rPr>
        <w:t>2. 发包人的义务</w:t>
      </w:r>
    </w:p>
    <w:p w14:paraId="47CD8962">
      <w:pPr>
        <w:spacing w:line="360" w:lineRule="auto"/>
        <w:ind w:firstLine="420" w:firstLineChars="200"/>
        <w:rPr>
          <w:rFonts w:hint="eastAsia" w:ascii="宋体" w:hAnsi="宋体" w:cs="宋体"/>
        </w:rPr>
      </w:pPr>
      <w:r>
        <w:rPr>
          <w:rFonts w:hint="eastAsia" w:ascii="宋体" w:hAnsi="宋体" w:cs="宋体"/>
          <w:lang w:bidi="ar"/>
        </w:rPr>
        <w:t>（1）发包人及其工作人员不得索要或接受承包人的礼金、有价证券和贵重物品，不得让承包人报销任何应由发包人或发包人工作人员支付的费用等。</w:t>
      </w:r>
    </w:p>
    <w:p w14:paraId="739DA8E9">
      <w:pPr>
        <w:spacing w:line="360" w:lineRule="auto"/>
        <w:ind w:firstLine="420" w:firstLineChars="200"/>
        <w:rPr>
          <w:rFonts w:hint="eastAsia" w:ascii="宋体" w:hAnsi="宋体" w:cs="宋体"/>
        </w:rPr>
      </w:pPr>
      <w:r>
        <w:rPr>
          <w:rFonts w:hint="eastAsia" w:ascii="宋体" w:hAnsi="宋体" w:cs="宋体"/>
          <w:lang w:bidi="ar"/>
        </w:rPr>
        <w:t>（2）发包人工作人员不得参加承包人安排的娱乐活动和超标准的接待；不得接受承包人提供的通讯工具、交通工具和高档办公用品等。</w:t>
      </w:r>
    </w:p>
    <w:p w14:paraId="654F3FDD">
      <w:pPr>
        <w:spacing w:line="360" w:lineRule="auto"/>
        <w:ind w:firstLine="420" w:firstLineChars="200"/>
        <w:rPr>
          <w:rFonts w:hint="eastAsia" w:ascii="宋体" w:hAnsi="宋体" w:cs="宋体"/>
        </w:rPr>
      </w:pPr>
      <w:r>
        <w:rPr>
          <w:rFonts w:hint="eastAsia" w:ascii="宋体" w:hAnsi="宋体" w:cs="宋体"/>
          <w:lang w:bidi="ar"/>
        </w:rPr>
        <w:t>（3）发包人及其工作人员不得要求或接受承包人为其住房装修、婚丧嫁娶活动、配偶子女的工作安排以及出国出境、旅游等提供方便等。</w:t>
      </w:r>
    </w:p>
    <w:p w14:paraId="0BB419AA">
      <w:pPr>
        <w:spacing w:line="360" w:lineRule="auto"/>
        <w:ind w:firstLine="420" w:firstLineChars="200"/>
        <w:rPr>
          <w:rFonts w:hint="eastAsia" w:ascii="宋体" w:hAnsi="宋体" w:cs="宋体"/>
        </w:rPr>
      </w:pPr>
      <w:r>
        <w:rPr>
          <w:rFonts w:hint="eastAsia" w:ascii="宋体" w:hAnsi="宋体" w:cs="宋体"/>
          <w:lang w:bidi="ar"/>
        </w:rPr>
        <w:t>（4）发包人工作人员及其配偶、子女不得参与从事与发包人工程有关的材料设备供应、工程分包、劳务等经济活动。</w:t>
      </w:r>
    </w:p>
    <w:p w14:paraId="72C14DF5">
      <w:pPr>
        <w:spacing w:line="360" w:lineRule="auto"/>
        <w:ind w:firstLine="420" w:firstLineChars="200"/>
        <w:rPr>
          <w:rFonts w:hint="eastAsia" w:ascii="宋体" w:hAnsi="宋体" w:cs="宋体"/>
        </w:rPr>
      </w:pPr>
      <w:r>
        <w:rPr>
          <w:rFonts w:hint="eastAsia" w:ascii="宋体" w:hAnsi="宋体" w:cs="宋体"/>
          <w:lang w:bidi="ar"/>
        </w:rPr>
        <w:t>（5）发包人及其工作人员不得以任何理由向承包人推荐分包单位或推销材料，不得要求承包人购买合同规定外的材料和设备。</w:t>
      </w:r>
    </w:p>
    <w:p w14:paraId="071A6EB6">
      <w:pPr>
        <w:spacing w:line="360" w:lineRule="auto"/>
        <w:ind w:firstLine="420" w:firstLineChars="200"/>
        <w:rPr>
          <w:rFonts w:hint="eastAsia" w:ascii="宋体" w:hAnsi="宋体" w:cs="宋体"/>
        </w:rPr>
      </w:pPr>
      <w:r>
        <w:rPr>
          <w:rFonts w:hint="eastAsia" w:ascii="宋体" w:hAnsi="宋体" w:cs="宋体"/>
          <w:lang w:bidi="ar"/>
        </w:rPr>
        <w:t>（6）发包人工作人员要秉公办事，不准营私舞弊，不准利用职权从事各种个人有偿中介活动和安排个人施工队伍。</w:t>
      </w:r>
    </w:p>
    <w:p w14:paraId="5DE6FC26">
      <w:pPr>
        <w:spacing w:line="360" w:lineRule="auto"/>
        <w:ind w:firstLine="420" w:firstLineChars="200"/>
        <w:rPr>
          <w:rFonts w:hint="eastAsia" w:ascii="宋体" w:hAnsi="宋体" w:cs="宋体"/>
        </w:rPr>
      </w:pPr>
      <w:r>
        <w:rPr>
          <w:rFonts w:hint="eastAsia" w:ascii="宋体" w:hAnsi="宋体" w:cs="宋体"/>
          <w:lang w:bidi="ar"/>
        </w:rPr>
        <w:t>3. 承包人义务</w:t>
      </w:r>
    </w:p>
    <w:p w14:paraId="049C6679">
      <w:pPr>
        <w:spacing w:line="360" w:lineRule="auto"/>
        <w:ind w:firstLine="420" w:firstLineChars="200"/>
        <w:rPr>
          <w:rFonts w:hint="eastAsia" w:ascii="宋体" w:hAnsi="宋体" w:cs="宋体"/>
        </w:rPr>
      </w:pPr>
      <w:r>
        <w:rPr>
          <w:rFonts w:hint="eastAsia" w:ascii="宋体" w:hAnsi="宋体" w:cs="宋体"/>
          <w:lang w:bidi="ar"/>
        </w:rPr>
        <w:t>（1）承包人不得以任何理由向发包人及其工作人员行贿或赠礼金、有价证券、贵重礼品。</w:t>
      </w:r>
    </w:p>
    <w:p w14:paraId="7BFF7CA3">
      <w:pPr>
        <w:spacing w:line="360" w:lineRule="auto"/>
        <w:ind w:firstLine="420" w:firstLineChars="200"/>
        <w:rPr>
          <w:rFonts w:hint="eastAsia" w:ascii="宋体" w:hAnsi="宋体" w:cs="宋体"/>
        </w:rPr>
      </w:pPr>
      <w:r>
        <w:rPr>
          <w:rFonts w:hint="eastAsia" w:ascii="宋体" w:hAnsi="宋体" w:cs="宋体"/>
          <w:lang w:bidi="ar"/>
        </w:rPr>
        <w:t>（2）承包人不得以任何名义为发包人及其工作人员报销应由发包人单位或个人支付的任何费用。</w:t>
      </w:r>
    </w:p>
    <w:p w14:paraId="493E920C">
      <w:pPr>
        <w:spacing w:line="360" w:lineRule="auto"/>
        <w:ind w:firstLine="420" w:firstLineChars="200"/>
        <w:rPr>
          <w:rFonts w:hint="eastAsia" w:ascii="宋体" w:hAnsi="宋体" w:cs="宋体"/>
        </w:rPr>
      </w:pPr>
      <w:r>
        <w:rPr>
          <w:rFonts w:hint="eastAsia" w:ascii="宋体" w:hAnsi="宋体" w:cs="宋体"/>
          <w:lang w:bidi="ar"/>
        </w:rPr>
        <w:t>（3）承包人不得以任何理由安排发包人工作人员参加超标准宴请及娱乐活动。</w:t>
      </w:r>
    </w:p>
    <w:p w14:paraId="623B948F">
      <w:pPr>
        <w:spacing w:line="360" w:lineRule="auto"/>
        <w:ind w:firstLine="420" w:firstLineChars="200"/>
        <w:rPr>
          <w:rFonts w:hint="eastAsia" w:ascii="宋体" w:hAnsi="宋体" w:cs="宋体"/>
        </w:rPr>
      </w:pPr>
      <w:r>
        <w:rPr>
          <w:rFonts w:hint="eastAsia" w:ascii="宋体" w:hAnsi="宋体" w:cs="宋体"/>
          <w:lang w:bidi="ar"/>
        </w:rPr>
        <w:t>（4）承包人不得为发包人和个人购置或提供通讯工具、交通工具和高档办公用品等。</w:t>
      </w:r>
    </w:p>
    <w:p w14:paraId="7B4C7B1C">
      <w:pPr>
        <w:spacing w:line="360" w:lineRule="auto"/>
        <w:ind w:firstLine="420" w:firstLineChars="200"/>
        <w:rPr>
          <w:rFonts w:hint="eastAsia" w:ascii="宋体" w:hAnsi="宋体" w:cs="宋体"/>
        </w:rPr>
      </w:pPr>
      <w:r>
        <w:rPr>
          <w:rFonts w:hint="eastAsia" w:ascii="宋体" w:hAnsi="宋体" w:cs="宋体"/>
          <w:lang w:bidi="ar"/>
        </w:rPr>
        <w:t>4. 违约责任</w:t>
      </w:r>
    </w:p>
    <w:p w14:paraId="493D5483">
      <w:pPr>
        <w:spacing w:line="360" w:lineRule="auto"/>
        <w:ind w:firstLine="420" w:firstLineChars="200"/>
        <w:rPr>
          <w:rFonts w:hint="eastAsia" w:ascii="宋体" w:hAnsi="宋体" w:cs="宋体"/>
        </w:rPr>
      </w:pPr>
      <w:r>
        <w:rPr>
          <w:rFonts w:hint="eastAsia" w:ascii="宋体" w:hAnsi="宋体" w:cs="宋体"/>
          <w:lang w:bidi="ar"/>
        </w:rPr>
        <w:t>（1）发包人及其工作人员违反本合同第1、2条，按管理权限，依据有关规定给予党纪、政纪或组织处理，涉嫌犯罪的，移交司法机关追究刑事责任；给承包人造成经济损失的，应予以赔偿。</w:t>
      </w:r>
    </w:p>
    <w:p w14:paraId="6FBC003B">
      <w:pPr>
        <w:spacing w:line="360" w:lineRule="auto"/>
        <w:ind w:firstLine="420" w:firstLineChars="200"/>
        <w:rPr>
          <w:rFonts w:hint="eastAsia" w:ascii="宋体" w:hAnsi="宋体" w:cs="宋体"/>
        </w:rPr>
      </w:pPr>
      <w:r>
        <w:rPr>
          <w:rFonts w:hint="eastAsia" w:ascii="宋体" w:hAnsi="宋体" w:cs="宋体"/>
          <w:lang w:bidi="ar"/>
        </w:rPr>
        <w:t>（2）承包人及其工作人员违反本合同第1、3条，按管理权限，依据有关规定给予党纪、政纪或组织处理；给发包人单位造成损失的，应予以赔偿；情节严重的，发包人将上报交通工程建设主管部门。</w:t>
      </w:r>
    </w:p>
    <w:p w14:paraId="3997D9D1">
      <w:pPr>
        <w:spacing w:line="360" w:lineRule="auto"/>
        <w:ind w:firstLine="420" w:firstLineChars="200"/>
        <w:rPr>
          <w:rFonts w:hint="eastAsia" w:ascii="宋体" w:hAnsi="宋体" w:cs="宋体"/>
        </w:rPr>
      </w:pPr>
      <w:r>
        <w:rPr>
          <w:rFonts w:hint="eastAsia" w:ascii="宋体" w:hAnsi="宋体" w:cs="宋体"/>
          <w:lang w:bidi="ar"/>
        </w:rPr>
        <w:t>5. 双方约定：本合同由双方或双方上级单位的纪检监察机关负责监督执行。由发包人或发包人上级单位的纪检监察机关约请承包人或承包人上级单位纪检监察机关对本合同执行情况进行检查；提出在本合同规定范围内的裁定意见。</w:t>
      </w:r>
    </w:p>
    <w:p w14:paraId="25B9E673">
      <w:pPr>
        <w:spacing w:line="360" w:lineRule="auto"/>
        <w:ind w:firstLine="420" w:firstLineChars="200"/>
        <w:rPr>
          <w:rFonts w:hint="eastAsia" w:ascii="宋体" w:hAnsi="宋体" w:cs="宋体"/>
        </w:rPr>
      </w:pPr>
      <w:r>
        <w:rPr>
          <w:rFonts w:hint="eastAsia" w:ascii="宋体" w:hAnsi="宋体" w:cs="宋体"/>
          <w:lang w:bidi="ar"/>
        </w:rPr>
        <w:t>6. 本合同有效期为发包人和承包人签署之日起至该工程项目竣工验收后止。</w:t>
      </w:r>
    </w:p>
    <w:p w14:paraId="2A01EA82">
      <w:pPr>
        <w:spacing w:line="360" w:lineRule="auto"/>
        <w:ind w:firstLine="420" w:firstLineChars="200"/>
        <w:rPr>
          <w:rFonts w:hint="eastAsia" w:ascii="宋体" w:hAnsi="宋体" w:cs="宋体"/>
        </w:rPr>
      </w:pPr>
      <w:r>
        <w:rPr>
          <w:rFonts w:hint="eastAsia" w:ascii="宋体" w:hAnsi="宋体" w:cs="宋体"/>
          <w:lang w:bidi="ar"/>
        </w:rPr>
        <w:t>7. 本合同作为</w:t>
      </w:r>
      <w:r>
        <w:rPr>
          <w:rFonts w:hint="eastAsia" w:ascii="宋体" w:hAnsi="宋体" w:cs="宋体"/>
          <w:u w:val="single"/>
          <w:lang w:bidi="ar"/>
        </w:rPr>
        <w:t>　　</w:t>
      </w:r>
      <w:r>
        <w:rPr>
          <w:rFonts w:hint="eastAsia" w:ascii="宋体" w:hAnsi="宋体" w:cs="宋体"/>
          <w:szCs w:val="21"/>
          <w:u w:val="single"/>
          <w:lang w:bidi="ar"/>
        </w:rPr>
        <w:t>（项目名称）　　</w:t>
      </w:r>
      <w:r>
        <w:rPr>
          <w:rFonts w:hint="eastAsia" w:ascii="宋体" w:hAnsi="宋体" w:cs="宋体"/>
          <w:szCs w:val="21"/>
          <w:lang w:bidi="ar"/>
        </w:rPr>
        <w:t>标段施工</w:t>
      </w:r>
      <w:r>
        <w:rPr>
          <w:rFonts w:hint="eastAsia" w:ascii="宋体" w:hAnsi="宋体" w:cs="宋体"/>
          <w:lang w:bidi="ar"/>
        </w:rPr>
        <w:t>合同的附件，与工程施工合同具有同等的法律效力，经合同双方签署立即生效。</w:t>
      </w:r>
    </w:p>
    <w:p w14:paraId="1AB56BD0">
      <w:pPr>
        <w:spacing w:line="360" w:lineRule="auto"/>
        <w:ind w:firstLine="420" w:firstLineChars="200"/>
        <w:rPr>
          <w:rFonts w:hint="eastAsia" w:ascii="宋体" w:hAnsi="宋体" w:cs="宋体"/>
        </w:rPr>
      </w:pPr>
      <w:r>
        <w:rPr>
          <w:rFonts w:hint="eastAsia" w:ascii="宋体" w:hAnsi="宋体" w:cs="宋体"/>
          <w:lang w:bidi="ar"/>
        </w:rPr>
        <w:t>8. 本合同一式四份，由发包人和承包人各执一份，送交发包人和承包人的监督单位各一份。</w:t>
      </w:r>
    </w:p>
    <w:p w14:paraId="31627574">
      <w:pPr>
        <w:spacing w:line="360" w:lineRule="auto"/>
        <w:rPr>
          <w:rFonts w:hint="eastAsia" w:ascii="宋体" w:hAnsi="宋体" w:cs="宋体"/>
        </w:rPr>
      </w:pPr>
    </w:p>
    <w:p w14:paraId="5A115265">
      <w:pPr>
        <w:spacing w:line="360" w:lineRule="auto"/>
        <w:rPr>
          <w:rFonts w:hint="eastAsia" w:ascii="宋体" w:hAnsi="宋体" w:cs="宋体"/>
        </w:rPr>
      </w:pPr>
      <w:r>
        <w:rPr>
          <w:rFonts w:hint="eastAsia" w:ascii="宋体" w:hAnsi="宋体" w:cs="宋体"/>
          <w:lang w:bidi="ar"/>
        </w:rPr>
        <w:t>发包人：</w:t>
      </w:r>
      <w:r>
        <w:rPr>
          <w:rFonts w:hint="eastAsia" w:ascii="宋体" w:hAnsi="宋体" w:cs="宋体"/>
          <w:u w:val="single"/>
          <w:lang w:bidi="ar"/>
        </w:rPr>
        <w:t xml:space="preserve"> （单位全称）   （盖章） </w:t>
      </w:r>
      <w:r>
        <w:rPr>
          <w:rFonts w:hint="eastAsia" w:ascii="宋体" w:hAnsi="宋体" w:cs="宋体"/>
          <w:lang w:bidi="ar"/>
        </w:rPr>
        <w:t xml:space="preserve">               承包人： </w:t>
      </w:r>
      <w:r>
        <w:rPr>
          <w:rFonts w:hint="eastAsia" w:ascii="宋体" w:hAnsi="宋体" w:cs="宋体"/>
          <w:u w:val="single"/>
          <w:lang w:bidi="ar"/>
        </w:rPr>
        <w:t xml:space="preserve"> （单位全称）  （盖章）</w:t>
      </w:r>
    </w:p>
    <w:p w14:paraId="6ACEEB00">
      <w:pPr>
        <w:spacing w:line="360" w:lineRule="auto"/>
        <w:ind w:left="2205" w:hanging="2205" w:hangingChars="1050"/>
        <w:rPr>
          <w:rFonts w:hint="eastAsia" w:ascii="宋体" w:hAnsi="宋体" w:cs="宋体"/>
        </w:rPr>
      </w:pPr>
      <w:r>
        <w:rPr>
          <w:rFonts w:hint="eastAsia" w:ascii="宋体" w:hAnsi="宋体" w:cs="宋体"/>
          <w:lang w:bidi="ar"/>
        </w:rPr>
        <w:t>法定代表人或其授权的代理人：</w:t>
      </w:r>
      <w:r>
        <w:rPr>
          <w:rFonts w:hint="eastAsia" w:ascii="宋体" w:hAnsi="宋体" w:cs="宋体"/>
          <w:u w:val="single"/>
          <w:lang w:bidi="ar"/>
        </w:rPr>
        <w:t xml:space="preserve">（签名） </w:t>
      </w:r>
      <w:r>
        <w:rPr>
          <w:rFonts w:hint="eastAsia" w:ascii="宋体" w:hAnsi="宋体" w:cs="宋体"/>
          <w:lang w:bidi="ar"/>
        </w:rPr>
        <w:t xml:space="preserve">    法定代表人或其授权的代理人：</w:t>
      </w:r>
      <w:r>
        <w:rPr>
          <w:rFonts w:hint="eastAsia" w:ascii="宋体" w:hAnsi="宋体" w:cs="宋体"/>
          <w:u w:val="single"/>
          <w:lang w:bidi="ar"/>
        </w:rPr>
        <w:t>（签名）</w:t>
      </w:r>
      <w:r>
        <w:rPr>
          <w:rFonts w:hint="eastAsia" w:ascii="宋体" w:hAnsi="宋体" w:cs="宋体"/>
          <w:lang w:bidi="ar"/>
        </w:rPr>
        <w:t xml:space="preserve">                        </w:t>
      </w:r>
      <w:r>
        <w:rPr>
          <w:rFonts w:hint="eastAsia" w:ascii="宋体" w:hAnsi="宋体" w:cs="宋体"/>
          <w:u w:val="single"/>
          <w:lang w:bidi="ar"/>
        </w:rPr>
        <w:t xml:space="preserve">   </w:t>
      </w:r>
      <w:r>
        <w:rPr>
          <w:rFonts w:hint="eastAsia" w:ascii="宋体" w:hAnsi="宋体" w:cs="宋体"/>
          <w:lang w:bidi="ar"/>
        </w:rPr>
        <w:t xml:space="preserve"> </w:t>
      </w:r>
      <w:r>
        <w:rPr>
          <w:rFonts w:hint="eastAsia" w:ascii="宋体" w:hAnsi="宋体" w:cs="宋体"/>
          <w:u w:val="single"/>
          <w:lang w:bidi="ar"/>
        </w:rPr>
        <w:t xml:space="preserve">        </w:t>
      </w:r>
      <w:r>
        <w:rPr>
          <w:rFonts w:hint="eastAsia" w:ascii="宋体" w:hAnsi="宋体" w:cs="宋体"/>
          <w:lang w:bidi="ar"/>
        </w:rPr>
        <w:t xml:space="preserve">   </w:t>
      </w:r>
      <w:r>
        <w:rPr>
          <w:rFonts w:hint="eastAsia" w:ascii="宋体" w:hAnsi="宋体" w:cs="宋体"/>
          <w:u w:val="single"/>
          <w:lang w:bidi="ar"/>
        </w:rPr>
        <w:t xml:space="preserve">        </w:t>
      </w:r>
      <w:r>
        <w:rPr>
          <w:rFonts w:hint="eastAsia" w:ascii="宋体" w:hAnsi="宋体" w:cs="宋体"/>
          <w:lang w:bidi="ar"/>
        </w:rPr>
        <w:t xml:space="preserve">   年</w:t>
      </w:r>
      <w:r>
        <w:rPr>
          <w:rFonts w:hint="eastAsia" w:ascii="宋体" w:hAnsi="宋体" w:cs="宋体"/>
          <w:u w:val="single"/>
          <w:lang w:bidi="ar"/>
        </w:rPr>
        <w:t xml:space="preserve">     </w:t>
      </w:r>
      <w:r>
        <w:rPr>
          <w:rFonts w:hint="eastAsia" w:ascii="宋体" w:hAnsi="宋体" w:cs="宋体"/>
          <w:lang w:bidi="ar"/>
        </w:rPr>
        <w:t>月</w:t>
      </w:r>
      <w:r>
        <w:rPr>
          <w:rFonts w:hint="eastAsia" w:ascii="宋体" w:hAnsi="宋体" w:cs="宋体"/>
          <w:u w:val="single"/>
          <w:lang w:bidi="ar"/>
        </w:rPr>
        <w:t xml:space="preserve">     </w:t>
      </w:r>
      <w:r>
        <w:rPr>
          <w:rFonts w:hint="eastAsia" w:ascii="宋体" w:hAnsi="宋体" w:cs="宋体"/>
          <w:lang w:bidi="ar"/>
        </w:rPr>
        <w:t>日                 年</w:t>
      </w:r>
      <w:r>
        <w:rPr>
          <w:rFonts w:hint="eastAsia" w:ascii="宋体" w:hAnsi="宋体" w:cs="宋体"/>
          <w:u w:val="single"/>
          <w:lang w:bidi="ar"/>
        </w:rPr>
        <w:t xml:space="preserve">     </w:t>
      </w:r>
      <w:r>
        <w:rPr>
          <w:rFonts w:hint="eastAsia" w:ascii="宋体" w:hAnsi="宋体" w:cs="宋体"/>
          <w:lang w:bidi="ar"/>
        </w:rPr>
        <w:t>月</w:t>
      </w:r>
      <w:r>
        <w:rPr>
          <w:rFonts w:hint="eastAsia" w:ascii="宋体" w:hAnsi="宋体" w:cs="宋体"/>
          <w:u w:val="single"/>
          <w:lang w:bidi="ar"/>
        </w:rPr>
        <w:t xml:space="preserve">     </w:t>
      </w:r>
      <w:r>
        <w:rPr>
          <w:rFonts w:hint="eastAsia" w:ascii="宋体" w:hAnsi="宋体" w:cs="宋体"/>
          <w:lang w:bidi="ar"/>
        </w:rPr>
        <w:t>日</w:t>
      </w:r>
    </w:p>
    <w:p w14:paraId="6A4970C4">
      <w:pPr>
        <w:spacing w:line="360" w:lineRule="auto"/>
        <w:rPr>
          <w:rFonts w:hint="eastAsia" w:ascii="宋体" w:hAnsi="宋体" w:cs="宋体"/>
        </w:rPr>
      </w:pPr>
    </w:p>
    <w:p w14:paraId="6A19ED17">
      <w:pPr>
        <w:spacing w:line="360" w:lineRule="auto"/>
        <w:rPr>
          <w:rFonts w:hint="eastAsia" w:ascii="宋体" w:hAnsi="宋体" w:cs="宋体"/>
          <w:u w:val="single"/>
        </w:rPr>
      </w:pPr>
      <w:r>
        <w:rPr>
          <w:rFonts w:hint="eastAsia" w:ascii="宋体" w:hAnsi="宋体" w:cs="宋体"/>
          <w:lang w:bidi="ar"/>
        </w:rPr>
        <w:t>发包人监督单位：</w:t>
      </w:r>
      <w:r>
        <w:rPr>
          <w:rFonts w:hint="eastAsia" w:ascii="宋体" w:hAnsi="宋体" w:cs="宋体"/>
          <w:u w:val="single"/>
          <w:lang w:bidi="ar"/>
        </w:rPr>
        <w:t xml:space="preserve">（全称） （盖章） </w:t>
      </w:r>
      <w:r>
        <w:rPr>
          <w:rFonts w:hint="eastAsia" w:ascii="宋体" w:hAnsi="宋体" w:cs="宋体"/>
          <w:lang w:bidi="ar"/>
        </w:rPr>
        <w:t xml:space="preserve">             承包人监督单位：</w:t>
      </w:r>
      <w:r>
        <w:rPr>
          <w:rFonts w:hint="eastAsia" w:ascii="宋体" w:hAnsi="宋体" w:cs="宋体"/>
          <w:u w:val="single"/>
          <w:lang w:bidi="ar"/>
        </w:rPr>
        <w:t xml:space="preserve">（全称） （盖章） </w:t>
      </w:r>
    </w:p>
    <w:p w14:paraId="4B6A08C0">
      <w:pPr>
        <w:spacing w:line="360" w:lineRule="auto"/>
        <w:jc w:val="right"/>
        <w:rPr>
          <w:rFonts w:hint="eastAsia" w:ascii="宋体" w:hAnsi="宋体"/>
          <w:snapToGrid w:val="0"/>
          <w:kern w:val="0"/>
          <w:szCs w:val="21"/>
        </w:rPr>
      </w:pPr>
    </w:p>
    <w:bookmarkEnd w:id="681"/>
    <w:bookmarkEnd w:id="682"/>
    <w:bookmarkEnd w:id="683"/>
    <w:bookmarkEnd w:id="684"/>
    <w:bookmarkEnd w:id="685"/>
    <w:bookmarkEnd w:id="686"/>
    <w:bookmarkEnd w:id="687"/>
    <w:bookmarkEnd w:id="688"/>
    <w:bookmarkEnd w:id="689"/>
    <w:p w14:paraId="2A5E5155">
      <w:pPr>
        <w:pStyle w:val="29"/>
        <w:keepNext/>
        <w:keepLines/>
        <w:tabs>
          <w:tab w:val="left" w:pos="420"/>
        </w:tabs>
        <w:spacing w:line="400" w:lineRule="exact"/>
        <w:jc w:val="center"/>
        <w:outlineLvl w:val="2"/>
        <w:rPr>
          <w:rFonts w:ascii="宋体" w:hAnsi="宋体"/>
          <w:sz w:val="32"/>
          <w:szCs w:val="32"/>
        </w:rPr>
      </w:pPr>
      <w:bookmarkStart w:id="739" w:name="_Toc467164259"/>
      <w:bookmarkStart w:id="740" w:name="_Toc509390698"/>
      <w:bookmarkStart w:id="741" w:name="_Toc424558730"/>
      <w:bookmarkStart w:id="742" w:name="_Toc240180918"/>
      <w:bookmarkStart w:id="743" w:name="_Toc424558370"/>
      <w:bookmarkStart w:id="744" w:name="_Toc335223533"/>
      <w:bookmarkStart w:id="745" w:name="_Toc183589134"/>
      <w:bookmarkStart w:id="746" w:name="_Toc223335459"/>
      <w:bookmarkStart w:id="747" w:name="_Toc182293837"/>
      <w:r>
        <w:rPr>
          <w:rFonts w:ascii="宋体" w:hAnsi="宋体"/>
          <w:sz w:val="21"/>
        </w:rPr>
        <w:br w:type="page"/>
      </w:r>
      <w:bookmarkStart w:id="748" w:name="_Toc57795993"/>
      <w:bookmarkStart w:id="749" w:name="_Toc5489"/>
      <w:bookmarkStart w:id="750" w:name="_Toc16152"/>
      <w:r>
        <w:rPr>
          <w:rFonts w:hint="eastAsia" w:ascii="宋体" w:hAnsi="宋体" w:cs="黑体"/>
          <w:sz w:val="32"/>
          <w:szCs w:val="32"/>
          <w:lang w:bidi="ar"/>
        </w:rPr>
        <w:t>附件三 安全生产合同</w:t>
      </w:r>
      <w:bookmarkEnd w:id="739"/>
      <w:bookmarkEnd w:id="740"/>
      <w:bookmarkEnd w:id="741"/>
      <w:bookmarkEnd w:id="742"/>
      <w:bookmarkEnd w:id="743"/>
      <w:bookmarkEnd w:id="744"/>
      <w:bookmarkEnd w:id="748"/>
      <w:bookmarkEnd w:id="749"/>
      <w:bookmarkEnd w:id="750"/>
    </w:p>
    <w:bookmarkEnd w:id="745"/>
    <w:bookmarkEnd w:id="746"/>
    <w:bookmarkEnd w:id="747"/>
    <w:p w14:paraId="32D3E020">
      <w:pPr>
        <w:jc w:val="center"/>
        <w:rPr>
          <w:rFonts w:hint="eastAsia" w:ascii="宋体" w:hAnsi="宋体" w:cs="宋体"/>
          <w:b/>
          <w:sz w:val="32"/>
          <w:szCs w:val="32"/>
        </w:rPr>
      </w:pPr>
    </w:p>
    <w:p w14:paraId="5D4DF743">
      <w:pPr>
        <w:snapToGrid w:val="0"/>
        <w:spacing w:line="360" w:lineRule="auto"/>
        <w:ind w:firstLine="422" w:firstLineChars="200"/>
        <w:rPr>
          <w:rFonts w:ascii="宋体" w:hAnsi="宋体"/>
          <w:b/>
          <w:szCs w:val="21"/>
          <w:u w:val="single"/>
        </w:rPr>
      </w:pPr>
      <w:r>
        <w:rPr>
          <w:rFonts w:hint="eastAsia" w:ascii="宋体" w:hAnsi="宋体"/>
          <w:b/>
          <w:szCs w:val="21"/>
        </w:rPr>
        <w:t>发包人（全称）：</w:t>
      </w:r>
      <w:r>
        <w:rPr>
          <w:rFonts w:hint="eastAsia" w:ascii="宋体" w:hAnsi="宋体"/>
          <w:szCs w:val="21"/>
          <w:u w:val="single"/>
        </w:rPr>
        <w:t xml:space="preserve">                             </w:t>
      </w:r>
    </w:p>
    <w:p w14:paraId="1E554737">
      <w:pPr>
        <w:snapToGrid w:val="0"/>
        <w:spacing w:line="360" w:lineRule="auto"/>
        <w:ind w:firstLine="422" w:firstLineChars="200"/>
        <w:rPr>
          <w:rFonts w:ascii="宋体" w:hAnsi="宋体"/>
          <w:b/>
          <w:szCs w:val="21"/>
          <w:u w:val="single"/>
        </w:rPr>
      </w:pPr>
      <w:r>
        <w:rPr>
          <w:rFonts w:hint="eastAsia" w:ascii="宋体" w:hAnsi="宋体"/>
          <w:b/>
          <w:szCs w:val="21"/>
        </w:rPr>
        <w:t>承包人（全称）：</w:t>
      </w:r>
      <w:r>
        <w:rPr>
          <w:rFonts w:hint="eastAsia" w:ascii="宋体" w:hAnsi="宋体"/>
          <w:szCs w:val="21"/>
          <w:u w:val="single"/>
        </w:rPr>
        <w:t xml:space="preserve">                             </w:t>
      </w:r>
    </w:p>
    <w:p w14:paraId="4E7BB840">
      <w:pPr>
        <w:spacing w:line="360" w:lineRule="auto"/>
        <w:ind w:firstLine="420" w:firstLineChars="200"/>
        <w:rPr>
          <w:rFonts w:hint="eastAsia" w:ascii="宋体" w:hAnsi="宋体" w:cs="宋体"/>
        </w:rPr>
      </w:pPr>
      <w:r>
        <w:rPr>
          <w:rFonts w:hint="eastAsia" w:ascii="宋体" w:hAnsi="宋体" w:cs="宋体"/>
          <w:lang w:bidi="ar"/>
        </w:rPr>
        <w:t>为在</w:t>
      </w:r>
      <w:r>
        <w:rPr>
          <w:rFonts w:hint="eastAsia" w:ascii="宋体" w:hAnsi="宋体" w:cs="宋体"/>
          <w:u w:val="single"/>
          <w:lang w:bidi="ar"/>
        </w:rPr>
        <w:t xml:space="preserve">         （项目名称）      </w:t>
      </w:r>
      <w:r>
        <w:rPr>
          <w:rFonts w:hint="eastAsia" w:ascii="宋体" w:hAnsi="宋体" w:cs="宋体"/>
          <w:szCs w:val="21"/>
          <w:u w:val="single"/>
          <w:lang w:bidi="ar"/>
        </w:rPr>
        <w:t xml:space="preserve">    标段</w:t>
      </w:r>
      <w:r>
        <w:rPr>
          <w:rFonts w:hint="eastAsia" w:ascii="宋体" w:hAnsi="宋体" w:cs="宋体"/>
          <w:lang w:bidi="ar"/>
        </w:rPr>
        <w:t>合同的实施过程中创造安全、高效的施工环境，切实搞好本项目的管理工作，本项目发包人</w:t>
      </w:r>
      <w:r>
        <w:rPr>
          <w:rFonts w:hint="eastAsia" w:ascii="宋体" w:hAnsi="宋体" w:cs="宋体"/>
          <w:u w:val="single"/>
          <w:lang w:bidi="ar"/>
        </w:rPr>
        <w:t xml:space="preserve">      （全称）       </w:t>
      </w:r>
      <w:r>
        <w:rPr>
          <w:rFonts w:hint="eastAsia" w:ascii="宋体" w:hAnsi="宋体" w:cs="宋体"/>
          <w:lang w:bidi="ar"/>
        </w:rPr>
        <w:t>（以下简称“发包人”）与承包人_</w:t>
      </w:r>
      <w:r>
        <w:rPr>
          <w:rFonts w:hint="eastAsia" w:ascii="宋体" w:hAnsi="宋体" w:cs="宋体"/>
          <w:u w:val="single"/>
          <w:lang w:bidi="ar"/>
        </w:rPr>
        <w:t xml:space="preserve">   （全称）   </w:t>
      </w:r>
      <w:r>
        <w:rPr>
          <w:rFonts w:hint="eastAsia" w:ascii="宋体" w:hAnsi="宋体" w:cs="宋体"/>
          <w:lang w:bidi="ar"/>
        </w:rPr>
        <w:t xml:space="preserve"> （以下简称“承包人”）特此签订安全生产合同。</w:t>
      </w:r>
    </w:p>
    <w:p w14:paraId="2FEFA624">
      <w:pPr>
        <w:numPr>
          <w:ilvl w:val="0"/>
          <w:numId w:val="2"/>
        </w:numPr>
        <w:spacing w:line="360" w:lineRule="auto"/>
        <w:ind w:firstLine="420" w:firstLineChars="200"/>
        <w:rPr>
          <w:rFonts w:hint="eastAsia" w:ascii="宋体" w:hAnsi="宋体" w:cs="宋体"/>
        </w:rPr>
      </w:pPr>
      <w:r>
        <w:rPr>
          <w:rFonts w:hint="eastAsia" w:ascii="宋体" w:hAnsi="宋体" w:cs="宋体"/>
          <w:lang w:bidi="ar"/>
        </w:rPr>
        <w:t>发包人职责</w:t>
      </w:r>
    </w:p>
    <w:p w14:paraId="2618CA4B">
      <w:pPr>
        <w:spacing w:line="360" w:lineRule="auto"/>
        <w:ind w:firstLine="420" w:firstLineChars="200"/>
        <w:rPr>
          <w:rFonts w:hint="eastAsia" w:ascii="宋体" w:hAnsi="宋体" w:cs="宋体"/>
        </w:rPr>
      </w:pPr>
      <w:r>
        <w:rPr>
          <w:rFonts w:hint="eastAsia" w:ascii="宋体" w:hAnsi="宋体" w:cs="宋体"/>
          <w:lang w:bidi="ar"/>
        </w:rPr>
        <w:t>（1）严格遵守国家有关安全生产的法律法规，认真执行工程承包合同中的有关安全要求。</w:t>
      </w:r>
    </w:p>
    <w:p w14:paraId="3C3537F3">
      <w:pPr>
        <w:spacing w:line="360" w:lineRule="auto"/>
        <w:ind w:firstLine="420" w:firstLineChars="200"/>
        <w:rPr>
          <w:rFonts w:hint="eastAsia" w:ascii="宋体" w:hAnsi="宋体" w:cs="宋体"/>
        </w:rPr>
      </w:pPr>
      <w:r>
        <w:rPr>
          <w:rFonts w:hint="eastAsia" w:ascii="宋体" w:hAnsi="宋体" w:cs="宋体"/>
          <w:lang w:bidi="ar"/>
        </w:rPr>
        <w:t>（2）按照</w:t>
      </w:r>
      <w:r>
        <w:rPr>
          <w:rFonts w:hint="eastAsia" w:ascii="宋体" w:hAnsi="宋体" w:cs="宋体"/>
          <w:lang w:eastAsia="zh-CN" w:bidi="ar"/>
        </w:rPr>
        <w:t>“安全第一、预防为主、综合治理”</w:t>
      </w:r>
      <w:r>
        <w:rPr>
          <w:rFonts w:hint="eastAsia" w:ascii="宋体" w:hAnsi="宋体" w:cs="宋体"/>
          <w:lang w:bidi="ar"/>
        </w:rPr>
        <w:t>和坚持“管生产必须管理安全”的原则进行安全生产管理，做到生产与安全工作同时计划、布置、检查、总结和评比。</w:t>
      </w:r>
    </w:p>
    <w:p w14:paraId="59FDD2F2">
      <w:pPr>
        <w:spacing w:line="360" w:lineRule="auto"/>
        <w:ind w:firstLine="420" w:firstLineChars="200"/>
        <w:rPr>
          <w:rFonts w:hint="eastAsia" w:ascii="宋体" w:hAnsi="宋体" w:cs="宋体"/>
        </w:rPr>
      </w:pPr>
      <w:r>
        <w:rPr>
          <w:rFonts w:hint="eastAsia" w:ascii="宋体" w:hAnsi="宋体" w:cs="宋体"/>
          <w:lang w:bidi="ar"/>
        </w:rPr>
        <w:t>（3）重要的安全设施必须坚持与主体工程“三同时”的原则，即：同时设计、审批，同时施工，同时验收，投入使用。</w:t>
      </w:r>
    </w:p>
    <w:p w14:paraId="70398CE4">
      <w:pPr>
        <w:spacing w:line="360" w:lineRule="auto"/>
        <w:ind w:firstLine="420" w:firstLineChars="200"/>
        <w:rPr>
          <w:rFonts w:hint="eastAsia" w:ascii="宋体" w:hAnsi="宋体" w:cs="宋体"/>
        </w:rPr>
      </w:pPr>
      <w:r>
        <w:rPr>
          <w:rFonts w:hint="eastAsia" w:ascii="宋体" w:hAnsi="宋体" w:cs="宋体"/>
          <w:lang w:bidi="ar"/>
        </w:rPr>
        <w:t>（4）定期召开安全生产调度会，及时传达中央及地方有关安全生产的精神。</w:t>
      </w:r>
    </w:p>
    <w:p w14:paraId="2B0A5F23">
      <w:pPr>
        <w:spacing w:line="360" w:lineRule="auto"/>
        <w:ind w:firstLine="420" w:firstLineChars="200"/>
        <w:rPr>
          <w:rFonts w:hint="eastAsia" w:ascii="宋体" w:hAnsi="宋体" w:cs="宋体"/>
        </w:rPr>
      </w:pPr>
      <w:r>
        <w:rPr>
          <w:rFonts w:hint="eastAsia" w:ascii="宋体" w:hAnsi="宋体" w:cs="宋体"/>
          <w:lang w:bidi="ar"/>
        </w:rPr>
        <w:t>（5）组织对承包人施工现场安全生产检查，监督承包人及时处理发现的各种安全隐患。</w:t>
      </w:r>
    </w:p>
    <w:p w14:paraId="6859C4D5">
      <w:pPr>
        <w:spacing w:line="360" w:lineRule="auto"/>
        <w:ind w:firstLine="420" w:firstLineChars="200"/>
        <w:rPr>
          <w:rFonts w:hint="eastAsia" w:ascii="宋体" w:hAnsi="宋体" w:cs="宋体"/>
        </w:rPr>
      </w:pPr>
      <w:bookmarkStart w:id="751" w:name="_Toc424558371"/>
      <w:r>
        <w:rPr>
          <w:rFonts w:hint="eastAsia" w:ascii="宋体" w:hAnsi="宋体" w:cs="宋体"/>
          <w:lang w:bidi="ar"/>
        </w:rPr>
        <w:t>2. 承包人职责</w:t>
      </w:r>
      <w:bookmarkEnd w:id="751"/>
    </w:p>
    <w:p w14:paraId="43C866BF">
      <w:pPr>
        <w:spacing w:line="360" w:lineRule="auto"/>
        <w:ind w:firstLine="420" w:firstLineChars="200"/>
        <w:rPr>
          <w:rFonts w:hint="eastAsia" w:ascii="宋体" w:hAnsi="宋体" w:cs="宋体"/>
        </w:rPr>
      </w:pPr>
      <w:r>
        <w:rPr>
          <w:rFonts w:hint="eastAsia" w:ascii="宋体" w:hAnsi="宋体" w:cs="宋体"/>
          <w:lang w:bidi="ar"/>
        </w:rPr>
        <w:t>（1）严格遵守《中华人民共和国安全生产法》、《建设工程安全生产管理条例》等国家有关安全生产的法律法规、《公路水运安全生产监督管理办法》、《公路工程施工安全技术规范》、《公路养护安全作业规程》、《公路筑养路机械操作规程》和《营运高速公路施工管理规范》有关安全生产的规定，认真执行工程承包合同中的有关安全要求。</w:t>
      </w:r>
    </w:p>
    <w:p w14:paraId="075D469C">
      <w:pPr>
        <w:spacing w:line="360" w:lineRule="auto"/>
        <w:ind w:firstLine="420" w:firstLineChars="200"/>
        <w:rPr>
          <w:rFonts w:hint="eastAsia" w:ascii="宋体" w:hAnsi="宋体" w:cs="宋体"/>
        </w:rPr>
      </w:pPr>
      <w:r>
        <w:rPr>
          <w:rFonts w:hint="eastAsia" w:ascii="宋体" w:hAnsi="宋体" w:cs="宋体"/>
          <w:lang w:bidi="ar"/>
        </w:rPr>
        <w:t>（2）坚持</w:t>
      </w:r>
      <w:r>
        <w:rPr>
          <w:rFonts w:hint="eastAsia" w:ascii="宋体" w:hAnsi="宋体" w:cs="宋体"/>
          <w:lang w:eastAsia="zh-CN" w:bidi="ar"/>
        </w:rPr>
        <w:t>“安全第一、预防为主、综合治理”</w:t>
      </w:r>
      <w:r>
        <w:rPr>
          <w:rFonts w:hint="eastAsia" w:ascii="宋体" w:hAnsi="宋体" w:cs="宋体"/>
          <w:lang w:bidi="ar"/>
        </w:rPr>
        <w:t>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0B21CF65">
      <w:pPr>
        <w:spacing w:line="360" w:lineRule="auto"/>
        <w:ind w:firstLine="420" w:firstLineChars="200"/>
        <w:rPr>
          <w:rFonts w:hint="eastAsia" w:ascii="宋体" w:hAnsi="宋体" w:cs="宋体"/>
        </w:rPr>
      </w:pPr>
      <w:r>
        <w:rPr>
          <w:rFonts w:hint="eastAsia" w:ascii="宋体" w:hAnsi="宋体" w:cs="宋体"/>
          <w:lang w:bidi="ar"/>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184DBF9">
      <w:pPr>
        <w:spacing w:line="360" w:lineRule="auto"/>
        <w:ind w:firstLine="420" w:firstLineChars="200"/>
        <w:rPr>
          <w:rFonts w:hint="eastAsia" w:ascii="宋体" w:hAnsi="宋体" w:cs="宋体"/>
        </w:rPr>
      </w:pPr>
      <w:r>
        <w:rPr>
          <w:rFonts w:hint="eastAsia" w:ascii="宋体" w:hAnsi="宋体" w:cs="宋体"/>
          <w:lang w:bidi="ar"/>
        </w:rPr>
        <w:t>（4）承包人在任何时候都应采取各种合理的预防措施，防止员工发生违法、违禁、暴力或妨碍治安的行为。</w:t>
      </w:r>
    </w:p>
    <w:p w14:paraId="6491618F">
      <w:pPr>
        <w:spacing w:line="360" w:lineRule="auto"/>
        <w:ind w:firstLine="420" w:firstLineChars="200"/>
        <w:rPr>
          <w:rFonts w:hint="eastAsia" w:ascii="宋体" w:hAnsi="宋体" w:cs="宋体"/>
        </w:rPr>
      </w:pPr>
      <w:r>
        <w:rPr>
          <w:rFonts w:hint="eastAsia" w:ascii="宋体" w:hAnsi="宋体" w:cs="宋体"/>
          <w:lang w:bidi="ar"/>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34D7295A">
      <w:pPr>
        <w:spacing w:line="360" w:lineRule="auto"/>
        <w:ind w:firstLine="420" w:firstLineChars="200"/>
        <w:rPr>
          <w:rFonts w:hint="eastAsia" w:ascii="宋体" w:hAnsi="宋体" w:cs="宋体"/>
        </w:rPr>
      </w:pPr>
      <w:r>
        <w:rPr>
          <w:rFonts w:hint="eastAsia" w:ascii="宋体" w:hAnsi="宋体" w:cs="宋体"/>
          <w:lang w:bidi="ar"/>
        </w:rPr>
        <w:t>（6）对于易燃易爆的材料应专门妥善保管之外，还应配备有足够的消防设施，所有施工人员都应熟悉消防设施的性能和使用方法；承包人不得将任何种类的爆炸物给予、易货或以其他方式转让给其他人，或允许、容忍上述同样行为。</w:t>
      </w:r>
    </w:p>
    <w:p w14:paraId="2C53ACC6">
      <w:pPr>
        <w:spacing w:line="360" w:lineRule="auto"/>
        <w:ind w:firstLine="315" w:firstLineChars="150"/>
        <w:rPr>
          <w:rFonts w:hint="eastAsia" w:ascii="宋体" w:hAnsi="宋体" w:cs="宋体"/>
        </w:rPr>
      </w:pPr>
      <w:r>
        <w:rPr>
          <w:rFonts w:hint="eastAsia" w:ascii="宋体" w:hAnsi="宋体" w:cs="宋体"/>
          <w:lang w:bidi="ar"/>
        </w:rPr>
        <w:t>（7）操作人员上岗，必须按规定穿戴防护用品。施工负责人和安全检查员应随时检查劳动防护用品的穿戴情况，不按规定穿戴防护用品的人员不得上岗。</w:t>
      </w:r>
    </w:p>
    <w:p w14:paraId="0FBCADA1">
      <w:pPr>
        <w:spacing w:line="360" w:lineRule="auto"/>
        <w:ind w:firstLine="315" w:firstLineChars="150"/>
        <w:rPr>
          <w:rFonts w:hint="eastAsia" w:ascii="宋体" w:hAnsi="宋体" w:cs="宋体"/>
        </w:rPr>
      </w:pPr>
      <w:r>
        <w:rPr>
          <w:rFonts w:hint="eastAsia" w:ascii="宋体" w:hAnsi="宋体" w:cs="宋体"/>
          <w:lang w:bidi="ar"/>
        </w:rPr>
        <w:t>（8）所有施工机具设备和高空作业的设备均应定期检查，并有安全员的签名记录，保证其经常处于完好状态；不合格的机具、设备和劳动保护用品严禁使用。</w:t>
      </w:r>
    </w:p>
    <w:p w14:paraId="1541CF3E">
      <w:pPr>
        <w:spacing w:line="360" w:lineRule="auto"/>
        <w:ind w:firstLine="315" w:firstLineChars="150"/>
        <w:rPr>
          <w:rFonts w:hint="eastAsia" w:ascii="宋体" w:hAnsi="宋体" w:cs="宋体"/>
        </w:rPr>
      </w:pPr>
      <w:r>
        <w:rPr>
          <w:rFonts w:hint="eastAsia" w:ascii="宋体" w:hAnsi="宋体" w:cs="宋体"/>
          <w:lang w:bidi="ar"/>
        </w:rPr>
        <w:t>（9）施工中采用新技术、新工艺、新设备、新材料时，必须制定相应的安全技术措施，施工现场必须具有相关的安全标志牌。</w:t>
      </w:r>
    </w:p>
    <w:p w14:paraId="7ABBBBA9">
      <w:pPr>
        <w:spacing w:line="360" w:lineRule="auto"/>
        <w:ind w:firstLine="315" w:firstLineChars="150"/>
        <w:rPr>
          <w:rFonts w:hint="eastAsia" w:ascii="宋体" w:hAnsi="宋体" w:cs="宋体"/>
        </w:rPr>
      </w:pPr>
      <w:r>
        <w:rPr>
          <w:rFonts w:hint="eastAsia" w:ascii="宋体" w:hAnsi="宋体" w:cs="宋体"/>
          <w:lang w:bidi="ar"/>
        </w:rPr>
        <w:t>（10）承包人必须按照本工程项目特点，组织指定本工程实施中的生产安全事故应急救援预案；如果发生安全事故，应按照《国务院关于特大安全事故行政责任追究的规定》以及其它有关规定，及时上报有关部门，并坚持“四不放过”的原则，严肃处理相关责任人。</w:t>
      </w:r>
    </w:p>
    <w:p w14:paraId="61E8F56C">
      <w:pPr>
        <w:spacing w:line="360" w:lineRule="auto"/>
        <w:ind w:firstLine="315" w:firstLineChars="150"/>
        <w:rPr>
          <w:rFonts w:hint="eastAsia" w:ascii="宋体" w:hAnsi="宋体" w:cs="宋体"/>
        </w:rPr>
      </w:pPr>
      <w:r>
        <w:rPr>
          <w:rFonts w:hint="eastAsia" w:ascii="宋体" w:hAnsi="宋体" w:cs="宋体"/>
          <w:lang w:bidi="ar"/>
        </w:rPr>
        <w:t>（11）安全生产费用按照《公路水运安全生产监督管理办法》的相关规定使用和管理。</w:t>
      </w:r>
    </w:p>
    <w:p w14:paraId="4BCF1853">
      <w:pPr>
        <w:spacing w:line="360" w:lineRule="auto"/>
        <w:ind w:firstLine="420" w:firstLineChars="200"/>
        <w:rPr>
          <w:rFonts w:hint="eastAsia" w:ascii="宋体" w:hAnsi="宋体" w:cs="宋体"/>
        </w:rPr>
      </w:pPr>
      <w:r>
        <w:rPr>
          <w:rFonts w:hint="eastAsia" w:ascii="宋体" w:hAnsi="宋体" w:cs="宋体"/>
          <w:lang w:bidi="ar"/>
        </w:rPr>
        <w:t>3. 违约责任</w:t>
      </w:r>
    </w:p>
    <w:p w14:paraId="4710A0C8">
      <w:pPr>
        <w:spacing w:line="360" w:lineRule="auto"/>
        <w:ind w:firstLine="420" w:firstLineChars="200"/>
        <w:rPr>
          <w:rFonts w:hint="eastAsia" w:ascii="宋体" w:hAnsi="宋体" w:cs="宋体"/>
        </w:rPr>
      </w:pPr>
      <w:r>
        <w:rPr>
          <w:rFonts w:hint="eastAsia" w:ascii="宋体" w:hAnsi="宋体" w:cs="宋体"/>
          <w:lang w:bidi="ar"/>
        </w:rPr>
        <w:t>如因发包人或承包人违约造成安全事故，将依法追究责任。</w:t>
      </w:r>
    </w:p>
    <w:p w14:paraId="3427C845">
      <w:pPr>
        <w:spacing w:line="360" w:lineRule="auto"/>
        <w:ind w:firstLine="420" w:firstLineChars="200"/>
        <w:rPr>
          <w:rFonts w:hint="eastAsia" w:ascii="宋体" w:hAnsi="宋体" w:cs="宋体"/>
        </w:rPr>
      </w:pPr>
      <w:r>
        <w:rPr>
          <w:rFonts w:hint="eastAsia" w:ascii="宋体" w:hAnsi="宋体" w:cs="宋体"/>
          <w:lang w:bidi="ar"/>
        </w:rPr>
        <w:t>4. 本合同由双方法定代表人或起授权的代理人签署与加盖公章后生效，全部工程竣工验收后失效。</w:t>
      </w:r>
    </w:p>
    <w:p w14:paraId="1706582E">
      <w:pPr>
        <w:spacing w:line="360" w:lineRule="auto"/>
        <w:ind w:firstLine="420" w:firstLineChars="200"/>
        <w:rPr>
          <w:rFonts w:hint="eastAsia" w:ascii="宋体" w:hAnsi="宋体" w:cs="宋体"/>
          <w:lang w:bidi="ar"/>
        </w:rPr>
      </w:pPr>
      <w:r>
        <w:rPr>
          <w:rFonts w:hint="eastAsia" w:ascii="宋体" w:hAnsi="宋体" w:cs="宋体"/>
          <w:lang w:bidi="ar"/>
        </w:rPr>
        <w:t>5.本合同正本二份，副本</w:t>
      </w:r>
      <w:r>
        <w:rPr>
          <w:rFonts w:hint="eastAsia" w:ascii="宋体" w:hAnsi="宋体" w:cs="宋体"/>
          <w:u w:val="single"/>
          <w:lang w:bidi="ar"/>
        </w:rPr>
        <w:t>　　</w:t>
      </w:r>
      <w:r>
        <w:rPr>
          <w:rFonts w:hint="eastAsia" w:ascii="宋体" w:hAnsi="宋体" w:cs="宋体"/>
          <w:lang w:bidi="ar"/>
        </w:rPr>
        <w:t>份，合同双方各执正本一份，副本</w:t>
      </w:r>
      <w:r>
        <w:rPr>
          <w:rFonts w:hint="eastAsia" w:ascii="宋体" w:hAnsi="宋体" w:cs="宋体"/>
          <w:u w:val="single"/>
          <w:lang w:bidi="ar"/>
        </w:rPr>
        <w:t>　　</w:t>
      </w:r>
      <w:r>
        <w:rPr>
          <w:rFonts w:hint="eastAsia" w:ascii="宋体" w:hAnsi="宋体" w:cs="宋体"/>
          <w:lang w:bidi="ar"/>
        </w:rPr>
        <w:t>份，当正本与副本不一致时，以正本为准。</w:t>
      </w:r>
    </w:p>
    <w:p w14:paraId="5F3113F3">
      <w:pPr>
        <w:spacing w:line="360" w:lineRule="auto"/>
        <w:ind w:firstLine="420" w:firstLineChars="200"/>
        <w:rPr>
          <w:rFonts w:hint="eastAsia" w:ascii="宋体" w:hAnsi="宋体" w:cs="宋体"/>
          <w:lang w:bidi="ar"/>
        </w:rPr>
      </w:pPr>
    </w:p>
    <w:p w14:paraId="0A721A4C">
      <w:pPr>
        <w:spacing w:line="360" w:lineRule="auto"/>
        <w:ind w:firstLine="420" w:firstLineChars="200"/>
        <w:rPr>
          <w:rFonts w:hint="eastAsia" w:ascii="宋体" w:hAnsi="宋体" w:cs="宋体"/>
          <w:lang w:bidi="ar"/>
        </w:rPr>
      </w:pPr>
    </w:p>
    <w:p w14:paraId="3806B525">
      <w:pPr>
        <w:spacing w:line="360" w:lineRule="auto"/>
        <w:ind w:firstLine="420" w:firstLineChars="200"/>
        <w:rPr>
          <w:rFonts w:hint="eastAsia" w:ascii="宋体" w:hAnsi="宋体" w:cs="宋体"/>
          <w:lang w:bidi="ar"/>
        </w:rPr>
      </w:pPr>
    </w:p>
    <w:p w14:paraId="4508C02B">
      <w:pPr>
        <w:spacing w:line="360" w:lineRule="auto"/>
        <w:ind w:firstLine="420" w:firstLineChars="200"/>
        <w:rPr>
          <w:rFonts w:hint="eastAsia" w:ascii="宋体" w:hAnsi="宋体" w:cs="宋体"/>
          <w:lang w:bidi="ar"/>
        </w:rPr>
      </w:pPr>
    </w:p>
    <w:p w14:paraId="5DF4275D">
      <w:pPr>
        <w:spacing w:line="360" w:lineRule="auto"/>
        <w:rPr>
          <w:rFonts w:hint="eastAsia" w:ascii="宋体" w:hAnsi="宋体" w:cs="宋体"/>
          <w:u w:val="single"/>
        </w:rPr>
      </w:pPr>
      <w:r>
        <w:rPr>
          <w:rFonts w:hint="eastAsia" w:ascii="宋体" w:hAnsi="宋体" w:cs="宋体"/>
          <w:lang w:bidi="ar"/>
        </w:rPr>
        <w:t>发包人：</w:t>
      </w:r>
      <w:r>
        <w:rPr>
          <w:rFonts w:hint="eastAsia" w:ascii="宋体" w:hAnsi="宋体" w:cs="宋体"/>
          <w:u w:val="single"/>
          <w:lang w:bidi="ar"/>
        </w:rPr>
        <w:t xml:space="preserve">    （盖单位章）</w:t>
      </w:r>
      <w:r>
        <w:rPr>
          <w:rFonts w:hint="eastAsia" w:ascii="宋体" w:hAnsi="宋体" w:cs="宋体"/>
          <w:lang w:bidi="ar"/>
        </w:rPr>
        <w:t xml:space="preserve">                  承包人：</w:t>
      </w:r>
      <w:r>
        <w:rPr>
          <w:rFonts w:hint="eastAsia" w:ascii="宋体" w:hAnsi="宋体" w:cs="宋体"/>
          <w:u w:val="single"/>
          <w:lang w:bidi="ar"/>
        </w:rPr>
        <w:t xml:space="preserve">    （盖单位章）</w:t>
      </w:r>
    </w:p>
    <w:p w14:paraId="234EB817">
      <w:pPr>
        <w:spacing w:line="360" w:lineRule="auto"/>
        <w:rPr>
          <w:rFonts w:hint="eastAsia" w:ascii="宋体" w:hAnsi="宋体" w:cs="宋体"/>
        </w:rPr>
      </w:pPr>
      <w:r>
        <w:rPr>
          <w:rFonts w:hint="eastAsia" w:ascii="宋体" w:hAnsi="宋体" w:cs="宋体"/>
          <w:lang w:bidi="ar"/>
        </w:rPr>
        <w:t>法定代表人或其授权的代理人：</w:t>
      </w:r>
      <w:r>
        <w:rPr>
          <w:rFonts w:hint="eastAsia" w:ascii="宋体" w:hAnsi="宋体" w:cs="宋体"/>
          <w:u w:val="single"/>
          <w:lang w:bidi="ar"/>
        </w:rPr>
        <w:t>（签名）</w:t>
      </w:r>
      <w:r>
        <w:rPr>
          <w:rFonts w:hint="eastAsia" w:ascii="宋体" w:hAnsi="宋体" w:cs="宋体"/>
          <w:lang w:bidi="ar"/>
        </w:rPr>
        <w:t xml:space="preserve">        法定代表人或其授权的代理人：</w:t>
      </w:r>
      <w:r>
        <w:rPr>
          <w:rFonts w:hint="eastAsia" w:ascii="宋体" w:hAnsi="宋体" w:cs="宋体"/>
          <w:u w:val="single"/>
          <w:lang w:bidi="ar"/>
        </w:rPr>
        <w:t>（签名）</w:t>
      </w:r>
      <w:r>
        <w:rPr>
          <w:rFonts w:hint="eastAsia" w:ascii="宋体" w:hAnsi="宋体" w:cs="宋体"/>
          <w:lang w:bidi="ar"/>
        </w:rPr>
        <w:t xml:space="preserve">                             </w:t>
      </w:r>
    </w:p>
    <w:p w14:paraId="4BDDAE11">
      <w:pPr>
        <w:spacing w:line="360" w:lineRule="auto"/>
        <w:ind w:firstLine="1260" w:firstLineChars="600"/>
        <w:rPr>
          <w:rFonts w:ascii="宋体" w:hAnsi="宋体"/>
        </w:rPr>
      </w:pPr>
      <w:r>
        <w:rPr>
          <w:rFonts w:ascii="宋体" w:hAnsi="宋体"/>
          <w:u w:val="single"/>
          <w:lang w:bidi="ar"/>
        </w:rPr>
        <w:t xml:space="preserve">     </w:t>
      </w:r>
      <w:r>
        <w:rPr>
          <w:rFonts w:hint="eastAsia" w:ascii="宋体" w:hAnsi="宋体" w:cs="宋体"/>
          <w:lang w:bidi="ar"/>
        </w:rPr>
        <w:t>月</w:t>
      </w:r>
      <w:r>
        <w:rPr>
          <w:rFonts w:ascii="宋体" w:hAnsi="宋体"/>
          <w:u w:val="single"/>
          <w:lang w:bidi="ar"/>
        </w:rPr>
        <w:t xml:space="preserve">     </w:t>
      </w:r>
      <w:r>
        <w:rPr>
          <w:rFonts w:hint="eastAsia" w:ascii="宋体" w:hAnsi="宋体" w:cs="宋体"/>
          <w:lang w:bidi="ar"/>
        </w:rPr>
        <w:t>日</w:t>
      </w:r>
      <w:r>
        <w:rPr>
          <w:rFonts w:ascii="宋体" w:hAnsi="宋体"/>
          <w:lang w:bidi="ar"/>
        </w:rPr>
        <w:t xml:space="preserve">                                </w:t>
      </w: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u w:val="single"/>
          <w:lang w:bidi="ar"/>
        </w:rPr>
        <w:t xml:space="preserve">     </w:t>
      </w:r>
      <w:r>
        <w:rPr>
          <w:rFonts w:hint="eastAsia" w:ascii="宋体" w:hAnsi="宋体" w:cs="宋体"/>
          <w:lang w:bidi="ar"/>
        </w:rPr>
        <w:t>日</w:t>
      </w:r>
    </w:p>
    <w:p w14:paraId="025807FC">
      <w:pPr>
        <w:pStyle w:val="29"/>
        <w:keepNext/>
        <w:keepLines/>
        <w:tabs>
          <w:tab w:val="left" w:pos="420"/>
        </w:tabs>
        <w:spacing w:line="400" w:lineRule="exact"/>
        <w:jc w:val="center"/>
        <w:outlineLvl w:val="2"/>
        <w:rPr>
          <w:rFonts w:ascii="宋体" w:hAnsi="宋体" w:cs="宋体"/>
          <w:szCs w:val="20"/>
          <w:lang w:bidi="ar"/>
        </w:rPr>
      </w:pPr>
      <w:r>
        <w:rPr>
          <w:rFonts w:ascii="宋体" w:hAnsi="宋体" w:cs="宋体"/>
          <w:szCs w:val="20"/>
          <w:lang w:bidi="ar"/>
        </w:rPr>
        <w:br w:type="page"/>
      </w:r>
      <w:bookmarkStart w:id="752" w:name="_Toc57795994"/>
      <w:bookmarkStart w:id="753" w:name="_Toc509390699"/>
    </w:p>
    <w:p w14:paraId="1541D7E0">
      <w:pPr>
        <w:pStyle w:val="29"/>
        <w:keepNext/>
        <w:keepLines/>
        <w:tabs>
          <w:tab w:val="left" w:pos="420"/>
        </w:tabs>
        <w:spacing w:line="400" w:lineRule="exact"/>
        <w:jc w:val="center"/>
        <w:outlineLvl w:val="2"/>
        <w:rPr>
          <w:rFonts w:hint="eastAsia" w:ascii="宋体" w:hAnsi="宋体" w:cs="黑体"/>
          <w:sz w:val="32"/>
          <w:szCs w:val="32"/>
          <w:lang w:bidi="ar"/>
        </w:rPr>
      </w:pPr>
      <w:bookmarkStart w:id="754" w:name="_Toc32032"/>
      <w:bookmarkStart w:id="755" w:name="_Toc14341"/>
      <w:r>
        <w:rPr>
          <w:rFonts w:hint="eastAsia" w:ascii="宋体" w:hAnsi="宋体" w:cs="黑体"/>
          <w:sz w:val="32"/>
          <w:szCs w:val="32"/>
          <w:lang w:bidi="ar"/>
        </w:rPr>
        <w:t>附件四 环保合同</w:t>
      </w:r>
      <w:bookmarkEnd w:id="754"/>
      <w:bookmarkEnd w:id="755"/>
    </w:p>
    <w:p w14:paraId="209BF316">
      <w:pPr>
        <w:rPr>
          <w:rFonts w:hint="eastAsia"/>
        </w:rPr>
      </w:pPr>
    </w:p>
    <w:p w14:paraId="3ACCB076">
      <w:pPr>
        <w:pStyle w:val="2"/>
      </w:pPr>
    </w:p>
    <w:p w14:paraId="6A24F3C9">
      <w:pPr>
        <w:spacing w:line="360" w:lineRule="exact"/>
        <w:contextualSpacing/>
        <w:jc w:val="left"/>
        <w:rPr>
          <w:szCs w:val="21"/>
        </w:rPr>
      </w:pPr>
      <w:r>
        <w:rPr>
          <w:szCs w:val="21"/>
        </w:rPr>
        <w:t>甲方：</w:t>
      </w:r>
    </w:p>
    <w:p w14:paraId="1E6448D2">
      <w:pPr>
        <w:spacing w:line="360" w:lineRule="exact"/>
        <w:contextualSpacing/>
        <w:jc w:val="left"/>
        <w:rPr>
          <w:szCs w:val="21"/>
        </w:rPr>
      </w:pPr>
      <w:r>
        <w:rPr>
          <w:szCs w:val="21"/>
        </w:rPr>
        <w:t>乙方：</w:t>
      </w:r>
    </w:p>
    <w:p w14:paraId="38E45B4B">
      <w:pPr>
        <w:spacing w:line="360" w:lineRule="exact"/>
        <w:rPr>
          <w:szCs w:val="21"/>
        </w:rPr>
      </w:pPr>
    </w:p>
    <w:p w14:paraId="4B39C984">
      <w:pPr>
        <w:spacing w:line="360" w:lineRule="auto"/>
        <w:ind w:firstLine="420" w:firstLineChars="200"/>
        <w:rPr>
          <w:szCs w:val="21"/>
        </w:rPr>
      </w:pPr>
      <w:r>
        <w:rPr>
          <w:szCs w:val="21"/>
        </w:rPr>
        <w:t>为在</w:t>
      </w:r>
      <w:r>
        <w:rPr>
          <w:rFonts w:hint="eastAsia" w:ascii="宋体" w:hAnsi="宋体" w:cs="宋体"/>
          <w:szCs w:val="21"/>
          <w:u w:val="single"/>
        </w:rPr>
        <w:t xml:space="preserve">              （项目名称）</w:t>
      </w:r>
      <w:r>
        <w:rPr>
          <w:szCs w:val="21"/>
        </w:rPr>
        <w:t>实施过程中创造良好的施工环境，切实搞好本项目的环境保护工作，甲乙双方本着平等、自愿、公平的原则，经协商一致，签订以下环境保护合同。</w:t>
      </w:r>
    </w:p>
    <w:p w14:paraId="1E2FA8DB">
      <w:pPr>
        <w:spacing w:line="360" w:lineRule="auto"/>
        <w:ind w:firstLine="422" w:firstLineChars="200"/>
        <w:rPr>
          <w:b/>
          <w:bCs/>
          <w:szCs w:val="21"/>
        </w:rPr>
      </w:pPr>
      <w:r>
        <w:rPr>
          <w:b/>
          <w:bCs/>
          <w:szCs w:val="21"/>
        </w:rPr>
        <w:t>第1条  双方的义务</w:t>
      </w:r>
    </w:p>
    <w:p w14:paraId="4D335316">
      <w:pPr>
        <w:spacing w:line="360" w:lineRule="auto"/>
        <w:ind w:firstLine="420" w:firstLineChars="200"/>
        <w:rPr>
          <w:szCs w:val="21"/>
        </w:rPr>
      </w:pPr>
      <w:r>
        <w:rPr>
          <w:szCs w:val="21"/>
        </w:rPr>
        <w:t>1.1严格遵守国家有关环境保护的法律法规和规章制度，包括但不限于《中华人民共和国环境保护法》、《中华人民共和国环境影响评价法》、《建设项目环境保护管理条例》、《交通建设项目环境保护管理办法》、《交通行业环境保护管理规定》、《重庆市环境保护条例》、《重庆市交通运输环境保护管理办法（试行）》等，认真执行工程承包合同中的有关环境保护要求。</w:t>
      </w:r>
    </w:p>
    <w:p w14:paraId="4AC1922D">
      <w:pPr>
        <w:spacing w:line="360" w:lineRule="auto"/>
        <w:ind w:firstLine="420" w:firstLineChars="200"/>
        <w:rPr>
          <w:szCs w:val="21"/>
        </w:rPr>
      </w:pPr>
      <w:r>
        <w:rPr>
          <w:szCs w:val="21"/>
        </w:rPr>
        <w:t>1.2 环境保护工作坚持“预防为主、防治结合、综合治理、谁污染谁治理”的原则。</w:t>
      </w:r>
    </w:p>
    <w:p w14:paraId="2C303C2A">
      <w:pPr>
        <w:spacing w:line="360" w:lineRule="auto"/>
        <w:ind w:firstLine="422" w:firstLineChars="200"/>
        <w:rPr>
          <w:b/>
          <w:bCs/>
          <w:szCs w:val="21"/>
        </w:rPr>
      </w:pPr>
      <w:r>
        <w:rPr>
          <w:b/>
          <w:bCs/>
          <w:szCs w:val="21"/>
        </w:rPr>
        <w:t>第2条  甲方的权利</w:t>
      </w:r>
    </w:p>
    <w:p w14:paraId="022318A6">
      <w:pPr>
        <w:spacing w:line="360" w:lineRule="auto"/>
        <w:ind w:firstLine="420" w:firstLineChars="200"/>
        <w:rPr>
          <w:szCs w:val="21"/>
        </w:rPr>
      </w:pPr>
      <w:r>
        <w:rPr>
          <w:szCs w:val="21"/>
        </w:rPr>
        <w:t>2.1有权要求乙方针对工程项目施工作业的具体情况制定环保措施方案，并进行审查和备案。</w:t>
      </w:r>
    </w:p>
    <w:p w14:paraId="19EE6BFF">
      <w:pPr>
        <w:spacing w:line="360" w:lineRule="auto"/>
        <w:ind w:firstLine="420" w:firstLineChars="200"/>
        <w:rPr>
          <w:szCs w:val="21"/>
        </w:rPr>
      </w:pPr>
      <w:r>
        <w:rPr>
          <w:szCs w:val="21"/>
        </w:rPr>
        <w:t>2.2有权组织对乙方的施工现场进行环保工作检查，督促乙方及时处理发现的各种环境污染问题。</w:t>
      </w:r>
    </w:p>
    <w:p w14:paraId="53607F5B">
      <w:pPr>
        <w:spacing w:line="360" w:lineRule="auto"/>
        <w:ind w:firstLine="420" w:firstLineChars="200"/>
        <w:rPr>
          <w:szCs w:val="21"/>
        </w:rPr>
      </w:pPr>
      <w:r>
        <w:rPr>
          <w:szCs w:val="21"/>
        </w:rPr>
        <w:t>2.3发生环境污染事故后，有权根据相关法律法规和规章制度的规定组织或参与事故的调查。</w:t>
      </w:r>
    </w:p>
    <w:p w14:paraId="6BD737F3">
      <w:pPr>
        <w:spacing w:line="360" w:lineRule="auto"/>
        <w:ind w:firstLine="422" w:firstLineChars="200"/>
        <w:rPr>
          <w:b/>
          <w:bCs/>
          <w:szCs w:val="21"/>
        </w:rPr>
      </w:pPr>
      <w:r>
        <w:rPr>
          <w:b/>
          <w:bCs/>
          <w:szCs w:val="21"/>
        </w:rPr>
        <w:t>第3条  乙方的义务</w:t>
      </w:r>
    </w:p>
    <w:p w14:paraId="428A4286">
      <w:pPr>
        <w:spacing w:line="360" w:lineRule="auto"/>
        <w:ind w:firstLine="420" w:firstLineChars="200"/>
        <w:rPr>
          <w:szCs w:val="21"/>
        </w:rPr>
      </w:pPr>
      <w:r>
        <w:rPr>
          <w:szCs w:val="21"/>
        </w:rPr>
        <w:t>3.1根据工程项目施工作业的需要，乙方应当编制环保措施方案，并报经甲方审查和备案。</w:t>
      </w:r>
    </w:p>
    <w:p w14:paraId="17DF46A2">
      <w:pPr>
        <w:spacing w:line="360" w:lineRule="auto"/>
        <w:ind w:firstLine="420" w:firstLineChars="200"/>
        <w:rPr>
          <w:szCs w:val="21"/>
        </w:rPr>
      </w:pPr>
      <w:r>
        <w:rPr>
          <w:szCs w:val="21"/>
        </w:rPr>
        <w:t>3.2加强施工过程中的扬尘与噪声管控，推行公路施工、养护作业机械尾气处理，尤其在靠近城区、居民区等环境敏感区域施工，应高度重视并加强环境保护措施，降低施工对环境的影响。</w:t>
      </w:r>
    </w:p>
    <w:p w14:paraId="6850E8CC">
      <w:pPr>
        <w:spacing w:line="360" w:lineRule="auto"/>
        <w:ind w:firstLine="420" w:firstLineChars="200"/>
        <w:rPr>
          <w:szCs w:val="21"/>
        </w:rPr>
      </w:pPr>
      <w:r>
        <w:rPr>
          <w:szCs w:val="21"/>
        </w:rPr>
        <w:t>3.3 在施工过程中采取有效措施加强施工现场周边水源及土壤的环境保护，不得随意倾倒施工垃圾，做好泥浆护壁挖孔桩的泥浆处理，严禁随意砍伐树木、挖掘土壤、植被，杜绝施工造成环境污染。</w:t>
      </w:r>
    </w:p>
    <w:p w14:paraId="3B860D8C">
      <w:pPr>
        <w:spacing w:line="360" w:lineRule="auto"/>
        <w:ind w:firstLine="420" w:firstLineChars="200"/>
        <w:rPr>
          <w:szCs w:val="21"/>
        </w:rPr>
      </w:pPr>
      <w:r>
        <w:rPr>
          <w:szCs w:val="21"/>
        </w:rPr>
        <w:t>3.4施工车辆在运输及装卸过程中，必须采取封闭措施，避免材料、渣土“抛、洒、滴、漏”影响污染环境。</w:t>
      </w:r>
    </w:p>
    <w:p w14:paraId="022C2369">
      <w:pPr>
        <w:spacing w:line="360" w:lineRule="auto"/>
        <w:ind w:firstLine="420" w:firstLineChars="200"/>
        <w:rPr>
          <w:szCs w:val="21"/>
        </w:rPr>
      </w:pPr>
      <w:r>
        <w:rPr>
          <w:szCs w:val="21"/>
        </w:rPr>
        <w:t>3.5施工机械在路面切割等作业时，必须采取喷洒水雾等措施，边坡锚杆（索）钻孔作业应采用湿钻，或采取喷洒水雾等措施，防止扬尘。</w:t>
      </w:r>
    </w:p>
    <w:p w14:paraId="3D437EC1">
      <w:pPr>
        <w:spacing w:line="360" w:lineRule="auto"/>
        <w:ind w:firstLine="420" w:firstLineChars="200"/>
        <w:rPr>
          <w:szCs w:val="21"/>
        </w:rPr>
      </w:pPr>
      <w:r>
        <w:rPr>
          <w:szCs w:val="21"/>
        </w:rPr>
        <w:t>3.6施工中应采取相应的降噪措施和合理的作业时间安排，尽量减少对正常工作和生活的影响。</w:t>
      </w:r>
    </w:p>
    <w:p w14:paraId="4F41F019">
      <w:pPr>
        <w:spacing w:line="360" w:lineRule="auto"/>
        <w:ind w:firstLine="420" w:firstLineChars="200"/>
        <w:rPr>
          <w:szCs w:val="21"/>
        </w:rPr>
      </w:pPr>
      <w:r>
        <w:rPr>
          <w:szCs w:val="21"/>
        </w:rPr>
        <w:t>3.7施工工地离居民区较近，对超过噪声标准作业，应采取有效的噪声污染防治措施（如：夜间禁止作业、设置临时隔音墙等），并提前告知相关监管部门。</w:t>
      </w:r>
    </w:p>
    <w:p w14:paraId="3DDA9708">
      <w:pPr>
        <w:spacing w:line="360" w:lineRule="auto"/>
        <w:ind w:firstLine="420" w:firstLineChars="200"/>
        <w:rPr>
          <w:szCs w:val="21"/>
        </w:rPr>
      </w:pPr>
      <w:r>
        <w:rPr>
          <w:szCs w:val="21"/>
        </w:rPr>
        <w:t>3.8 集中做好施工过程中产生的建筑垃圾处置，按弃渣规定对渣场进行分级卸载、修建渣脚挡墙、设置防排水等防护设施，并在渣场设立乙方管理标牌。</w:t>
      </w:r>
    </w:p>
    <w:p w14:paraId="6B1F1D08">
      <w:pPr>
        <w:spacing w:line="360" w:lineRule="auto"/>
        <w:ind w:firstLine="420" w:firstLineChars="200"/>
        <w:rPr>
          <w:szCs w:val="21"/>
        </w:rPr>
      </w:pPr>
      <w:r>
        <w:rPr>
          <w:szCs w:val="21"/>
        </w:rPr>
        <w:t>3.9 按《建筑施工安全检查标准》规定设置文明施工和环境保护牌，搅拌站料场应分区并用彩条布等遮盖，对施工便道等进行硬化，对现场临时堆放的材料、垃圾等应分类做好遮盖处理，切实做好文明施工。</w:t>
      </w:r>
    </w:p>
    <w:p w14:paraId="2F8A01DC">
      <w:pPr>
        <w:spacing w:line="360" w:lineRule="auto"/>
        <w:ind w:firstLine="422" w:firstLineChars="200"/>
        <w:rPr>
          <w:b/>
          <w:bCs/>
          <w:szCs w:val="21"/>
        </w:rPr>
      </w:pPr>
      <w:r>
        <w:rPr>
          <w:b/>
          <w:bCs/>
          <w:szCs w:val="21"/>
        </w:rPr>
        <w:t>第4条  违约责任</w:t>
      </w:r>
    </w:p>
    <w:p w14:paraId="33C0A951">
      <w:pPr>
        <w:spacing w:line="360" w:lineRule="auto"/>
        <w:ind w:firstLine="420" w:firstLineChars="200"/>
        <w:rPr>
          <w:szCs w:val="21"/>
        </w:rPr>
      </w:pPr>
      <w:r>
        <w:rPr>
          <w:szCs w:val="21"/>
        </w:rPr>
        <w:t>4.1 如因乙方原因造成环境污染事故，由乙方承担由此产生的经济赔偿责任及法律责任，并按合同约定承担合同结算金额5%的违约金。</w:t>
      </w:r>
    </w:p>
    <w:p w14:paraId="4EE15CB6">
      <w:pPr>
        <w:spacing w:line="360" w:lineRule="auto"/>
        <w:ind w:firstLine="420" w:firstLineChars="200"/>
        <w:rPr>
          <w:szCs w:val="21"/>
        </w:rPr>
      </w:pPr>
      <w:r>
        <w:rPr>
          <w:szCs w:val="21"/>
        </w:rPr>
        <w:t>4.2若发生环境污染事故，事故的报告、调查和责任确定应当按照相关法律法规和规章制度的规定进行。</w:t>
      </w:r>
    </w:p>
    <w:p w14:paraId="19941366">
      <w:pPr>
        <w:spacing w:line="360" w:lineRule="auto"/>
        <w:ind w:firstLine="422" w:firstLineChars="200"/>
        <w:rPr>
          <w:b/>
          <w:bCs/>
          <w:szCs w:val="21"/>
        </w:rPr>
      </w:pPr>
      <w:r>
        <w:rPr>
          <w:b/>
          <w:bCs/>
          <w:szCs w:val="21"/>
        </w:rPr>
        <w:t>第5条  其它约定</w:t>
      </w:r>
    </w:p>
    <w:p w14:paraId="3CEC9E84">
      <w:pPr>
        <w:spacing w:line="360" w:lineRule="auto"/>
        <w:ind w:firstLine="420" w:firstLineChars="200"/>
        <w:rPr>
          <w:szCs w:val="21"/>
        </w:rPr>
      </w:pPr>
      <w:r>
        <w:rPr>
          <w:szCs w:val="21"/>
        </w:rPr>
        <w:t>5.1本合同作为《            合同》的附件，与工程施工合同具有同等的法律效力。</w:t>
      </w:r>
    </w:p>
    <w:p w14:paraId="1D6271B9">
      <w:pPr>
        <w:spacing w:line="360" w:lineRule="auto"/>
        <w:ind w:firstLine="420" w:firstLineChars="200"/>
        <w:rPr>
          <w:szCs w:val="21"/>
        </w:rPr>
      </w:pPr>
      <w:r>
        <w:rPr>
          <w:szCs w:val="21"/>
        </w:rPr>
        <w:t>5.2本合同履行过程中发生的任何争议、纠纷，双方应通过友好协商方式解决；协商不成，按照工程承包合同中所约定的争议解决方式解决。</w:t>
      </w:r>
    </w:p>
    <w:p w14:paraId="0BC007EB">
      <w:pPr>
        <w:spacing w:line="360" w:lineRule="auto"/>
        <w:ind w:firstLine="420" w:firstLineChars="200"/>
        <w:rPr>
          <w:szCs w:val="21"/>
        </w:rPr>
      </w:pPr>
      <w:r>
        <w:rPr>
          <w:szCs w:val="21"/>
        </w:rPr>
        <w:t>5.3本合同一式捌份，甲方执肆份，乙方执肆份。由双方法定代表人或其授权代理人签署并加盖公章后生效，</w:t>
      </w:r>
      <w:r>
        <w:rPr>
          <w:rFonts w:hint="eastAsia"/>
          <w:szCs w:val="21"/>
          <w:lang w:eastAsia="zh-Hans"/>
        </w:rPr>
        <w:t>主合同失效时</w:t>
      </w:r>
      <w:r>
        <w:rPr>
          <w:szCs w:val="21"/>
        </w:rPr>
        <w:t>终止。</w:t>
      </w:r>
    </w:p>
    <w:p w14:paraId="1DA0D7DD">
      <w:pPr>
        <w:spacing w:line="360" w:lineRule="exact"/>
        <w:rPr>
          <w:szCs w:val="21"/>
        </w:rPr>
      </w:pPr>
    </w:p>
    <w:p w14:paraId="177864B3">
      <w:pPr>
        <w:pStyle w:val="2"/>
      </w:pPr>
    </w:p>
    <w:p w14:paraId="602B45F7">
      <w:pPr>
        <w:spacing w:line="360" w:lineRule="auto"/>
        <w:contextualSpacing/>
        <w:jc w:val="left"/>
        <w:rPr>
          <w:szCs w:val="21"/>
        </w:rPr>
      </w:pPr>
      <w:r>
        <w:t xml:space="preserve">甲方：                       </w:t>
      </w:r>
      <w:r>
        <w:rPr>
          <w:rFonts w:hint="eastAsia"/>
        </w:rPr>
        <w:t xml:space="preserve">              </w:t>
      </w:r>
      <w:r>
        <w:t>乙方</w:t>
      </w:r>
      <w:r>
        <w:rPr>
          <w:szCs w:val="21"/>
        </w:rPr>
        <w:t xml:space="preserve">：                          </w:t>
      </w:r>
      <w:r>
        <w:rPr>
          <w:rFonts w:hint="eastAsia"/>
          <w:szCs w:val="21"/>
        </w:rPr>
        <w:t xml:space="preserve">         </w:t>
      </w:r>
    </w:p>
    <w:p w14:paraId="169A86BF">
      <w:pPr>
        <w:pStyle w:val="15"/>
        <w:adjustRightInd w:val="0"/>
        <w:spacing w:line="360" w:lineRule="auto"/>
        <w:contextualSpacing/>
        <w:jc w:val="left"/>
        <w:rPr>
          <w:rFonts w:ascii="Times New Roman" w:hAnsi="Times New Roman"/>
        </w:rPr>
      </w:pPr>
    </w:p>
    <w:p w14:paraId="62FBAC6C">
      <w:pPr>
        <w:pStyle w:val="15"/>
        <w:adjustRightInd w:val="0"/>
        <w:spacing w:line="360" w:lineRule="auto"/>
        <w:contextualSpacing/>
        <w:jc w:val="left"/>
        <w:rPr>
          <w:rFonts w:ascii="Times New Roman" w:hAnsi="Times New Roman"/>
          <w:sz w:val="18"/>
          <w:szCs w:val="18"/>
        </w:rPr>
      </w:pPr>
      <w:r>
        <w:rPr>
          <w:rFonts w:ascii="Times New Roman" w:hAnsi="Times New Roman"/>
        </w:rPr>
        <w:t xml:space="preserve">法定代表人                 </w:t>
      </w:r>
      <w:r>
        <w:rPr>
          <w:rFonts w:hint="eastAsia" w:ascii="Times New Roman" w:hAnsi="Times New Roman"/>
        </w:rPr>
        <w:t xml:space="preserve">               </w:t>
      </w:r>
      <w:r>
        <w:rPr>
          <w:rFonts w:ascii="Times New Roman" w:hAnsi="Times New Roman"/>
        </w:rPr>
        <w:t xml:space="preserve">法定代表人                        </w:t>
      </w:r>
      <w:r>
        <w:rPr>
          <w:rFonts w:hint="eastAsia" w:ascii="Times New Roman" w:hAnsi="Times New Roman"/>
        </w:rPr>
        <w:t xml:space="preserve">        </w:t>
      </w:r>
    </w:p>
    <w:p w14:paraId="50B8B78A">
      <w:pPr>
        <w:pStyle w:val="15"/>
        <w:adjustRightInd w:val="0"/>
        <w:spacing w:line="360" w:lineRule="auto"/>
        <w:contextualSpacing/>
        <w:jc w:val="left"/>
        <w:rPr>
          <w:rFonts w:ascii="Times New Roman" w:hAnsi="Times New Roman"/>
          <w:szCs w:val="21"/>
        </w:rPr>
      </w:pPr>
      <w:r>
        <w:rPr>
          <w:rFonts w:ascii="Times New Roman" w:hAnsi="Times New Roman"/>
          <w:szCs w:val="21"/>
        </w:rPr>
        <w:t xml:space="preserve">或授权代理人：             </w:t>
      </w:r>
      <w:r>
        <w:rPr>
          <w:rFonts w:hint="eastAsia" w:ascii="Times New Roman" w:hAnsi="Times New Roman"/>
          <w:szCs w:val="21"/>
        </w:rPr>
        <w:t xml:space="preserve">               </w:t>
      </w:r>
      <w:r>
        <w:rPr>
          <w:rFonts w:ascii="Times New Roman" w:hAnsi="Times New Roman"/>
          <w:szCs w:val="21"/>
        </w:rPr>
        <w:t xml:space="preserve">或授权代理人：                    </w:t>
      </w:r>
      <w:r>
        <w:rPr>
          <w:rFonts w:hint="eastAsia" w:ascii="Times New Roman" w:hAnsi="Times New Roman"/>
          <w:szCs w:val="21"/>
        </w:rPr>
        <w:t xml:space="preserve">        </w:t>
      </w:r>
    </w:p>
    <w:p w14:paraId="071FF57A">
      <w:pPr>
        <w:pStyle w:val="15"/>
        <w:tabs>
          <w:tab w:val="left" w:pos="5220"/>
        </w:tabs>
        <w:spacing w:line="360" w:lineRule="auto"/>
        <w:contextualSpacing/>
        <w:jc w:val="left"/>
        <w:rPr>
          <w:rFonts w:ascii="Times New Roman" w:hAnsi="Times New Roman"/>
          <w:szCs w:val="21"/>
        </w:rPr>
      </w:pPr>
      <w:r>
        <w:rPr>
          <w:rFonts w:ascii="Times New Roman" w:hAnsi="Times New Roman"/>
          <w:szCs w:val="21"/>
        </w:rPr>
        <w:t xml:space="preserve">经办人：                     </w:t>
      </w:r>
      <w:r>
        <w:rPr>
          <w:rFonts w:hint="eastAsia" w:ascii="Times New Roman" w:hAnsi="Times New Roman"/>
          <w:szCs w:val="21"/>
        </w:rPr>
        <w:t xml:space="preserve">             </w:t>
      </w:r>
      <w:r>
        <w:rPr>
          <w:rFonts w:ascii="Times New Roman" w:hAnsi="Times New Roman"/>
          <w:szCs w:val="21"/>
        </w:rPr>
        <w:t xml:space="preserve">经办人：                         </w:t>
      </w:r>
      <w:r>
        <w:rPr>
          <w:rFonts w:hint="eastAsia" w:ascii="Times New Roman" w:hAnsi="Times New Roman"/>
          <w:szCs w:val="21"/>
        </w:rPr>
        <w:t xml:space="preserve">         </w:t>
      </w:r>
    </w:p>
    <w:p w14:paraId="16BBE0BD">
      <w:pPr>
        <w:pStyle w:val="29"/>
        <w:keepNext/>
        <w:keepLines/>
        <w:tabs>
          <w:tab w:val="left" w:pos="420"/>
        </w:tabs>
        <w:spacing w:line="360" w:lineRule="auto"/>
        <w:outlineLvl w:val="2"/>
        <w:rPr>
          <w:sz w:val="21"/>
          <w:szCs w:val="21"/>
        </w:rPr>
      </w:pPr>
      <w:bookmarkStart w:id="756" w:name="_Toc16109"/>
      <w:bookmarkStart w:id="757" w:name="_Toc6766"/>
      <w:r>
        <w:rPr>
          <w:sz w:val="21"/>
          <w:szCs w:val="21"/>
        </w:rPr>
        <w:t>日期:                                      日期：</w:t>
      </w:r>
      <w:bookmarkEnd w:id="756"/>
      <w:bookmarkEnd w:id="757"/>
      <w:r>
        <w:rPr>
          <w:rFonts w:hint="eastAsia"/>
          <w:sz w:val="21"/>
          <w:szCs w:val="21"/>
        </w:rPr>
        <w:t xml:space="preserve">                                   </w:t>
      </w:r>
    </w:p>
    <w:p w14:paraId="10A8A424">
      <w:pPr>
        <w:rPr>
          <w:rFonts w:hint="eastAsia" w:ascii="宋体" w:hAnsi="宋体" w:cs="黑体"/>
          <w:sz w:val="32"/>
          <w:szCs w:val="32"/>
          <w:lang w:bidi="ar"/>
        </w:rPr>
      </w:pPr>
      <w:r>
        <w:rPr>
          <w:rFonts w:hint="eastAsia" w:ascii="宋体" w:hAnsi="宋体" w:cs="黑体"/>
          <w:sz w:val="32"/>
          <w:szCs w:val="32"/>
          <w:lang w:bidi="ar"/>
        </w:rPr>
        <w:br w:type="page"/>
      </w:r>
    </w:p>
    <w:p w14:paraId="7BAAC93D">
      <w:pPr>
        <w:pStyle w:val="29"/>
        <w:keepNext/>
        <w:keepLines/>
        <w:tabs>
          <w:tab w:val="left" w:pos="420"/>
        </w:tabs>
        <w:spacing w:line="400" w:lineRule="exact"/>
        <w:jc w:val="center"/>
        <w:outlineLvl w:val="2"/>
        <w:rPr>
          <w:rFonts w:hint="eastAsia" w:ascii="宋体" w:hAnsi="宋体" w:cs="黑体"/>
          <w:sz w:val="32"/>
          <w:szCs w:val="32"/>
          <w:lang w:bidi="ar"/>
        </w:rPr>
      </w:pPr>
      <w:bookmarkStart w:id="758" w:name="_Toc26709"/>
      <w:bookmarkStart w:id="759" w:name="_Toc15024"/>
      <w:r>
        <w:rPr>
          <w:rFonts w:hint="eastAsia" w:ascii="宋体" w:hAnsi="宋体" w:cs="黑体"/>
          <w:sz w:val="32"/>
          <w:szCs w:val="32"/>
          <w:lang w:bidi="ar"/>
        </w:rPr>
        <w:t>附件五 其他管理和技术人员最低要求</w:t>
      </w:r>
      <w:bookmarkEnd w:id="752"/>
      <w:bookmarkEnd w:id="753"/>
      <w:bookmarkEnd w:id="758"/>
      <w:bookmarkEnd w:id="759"/>
    </w:p>
    <w:p w14:paraId="63B46757"/>
    <w:tbl>
      <w:tblPr>
        <w:tblStyle w:val="31"/>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3118"/>
        <w:gridCol w:w="2977"/>
      </w:tblGrid>
      <w:tr w14:paraId="6AEFF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14:paraId="2CC481F9">
            <w:pPr>
              <w:spacing w:line="400" w:lineRule="exact"/>
              <w:jc w:val="center"/>
              <w:rPr>
                <w:rFonts w:ascii="宋体" w:hAnsi="宋体"/>
              </w:rPr>
            </w:pPr>
            <w:r>
              <w:rPr>
                <w:rFonts w:hint="eastAsia" w:ascii="宋体" w:hAnsi="宋体" w:cs="宋体"/>
                <w:lang w:bidi="ar"/>
              </w:rPr>
              <w:t>人员</w:t>
            </w:r>
          </w:p>
        </w:tc>
        <w:tc>
          <w:tcPr>
            <w:tcW w:w="3118" w:type="dxa"/>
            <w:tcBorders>
              <w:top w:val="single" w:color="auto" w:sz="4" w:space="0"/>
              <w:left w:val="single" w:color="auto" w:sz="4" w:space="0"/>
              <w:bottom w:val="single" w:color="auto" w:sz="4" w:space="0"/>
              <w:right w:val="single" w:color="auto" w:sz="4" w:space="0"/>
            </w:tcBorders>
            <w:vAlign w:val="center"/>
          </w:tcPr>
          <w:p w14:paraId="1BB3B26E">
            <w:pPr>
              <w:spacing w:line="400" w:lineRule="exact"/>
              <w:jc w:val="center"/>
              <w:rPr>
                <w:rFonts w:ascii="宋体" w:hAnsi="宋体"/>
              </w:rPr>
            </w:pPr>
            <w:r>
              <w:rPr>
                <w:rFonts w:hint="eastAsia" w:ascii="宋体" w:hAnsi="宋体" w:cs="宋体"/>
                <w:lang w:bidi="ar"/>
              </w:rPr>
              <w:t>数量</w:t>
            </w:r>
          </w:p>
        </w:tc>
        <w:tc>
          <w:tcPr>
            <w:tcW w:w="2977" w:type="dxa"/>
            <w:tcBorders>
              <w:top w:val="single" w:color="auto" w:sz="4" w:space="0"/>
              <w:left w:val="single" w:color="auto" w:sz="4" w:space="0"/>
              <w:bottom w:val="single" w:color="auto" w:sz="4" w:space="0"/>
              <w:right w:val="single" w:color="auto" w:sz="4" w:space="0"/>
            </w:tcBorders>
            <w:vAlign w:val="center"/>
          </w:tcPr>
          <w:p w14:paraId="5954B64C">
            <w:pPr>
              <w:spacing w:line="400" w:lineRule="exact"/>
              <w:jc w:val="center"/>
              <w:rPr>
                <w:rFonts w:ascii="宋体" w:hAnsi="宋体"/>
              </w:rPr>
            </w:pPr>
            <w:r>
              <w:rPr>
                <w:rFonts w:hint="eastAsia" w:ascii="宋体" w:hAnsi="宋体" w:cs="宋体"/>
                <w:lang w:bidi="ar"/>
              </w:rPr>
              <w:t>资格要求</w:t>
            </w:r>
          </w:p>
        </w:tc>
      </w:tr>
      <w:tr w14:paraId="08AA9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C0EE50A">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0BCE5FE9">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480A15E5">
            <w:pPr>
              <w:spacing w:line="400" w:lineRule="exact"/>
              <w:jc w:val="center"/>
              <w:rPr>
                <w:rFonts w:ascii="宋体" w:hAnsi="宋体"/>
              </w:rPr>
            </w:pPr>
          </w:p>
        </w:tc>
      </w:tr>
      <w:tr w14:paraId="1687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6C95D8BF">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460AF703">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5141E641">
            <w:pPr>
              <w:spacing w:line="400" w:lineRule="exact"/>
              <w:jc w:val="center"/>
              <w:rPr>
                <w:rFonts w:ascii="宋体" w:hAnsi="宋体"/>
              </w:rPr>
            </w:pPr>
          </w:p>
        </w:tc>
      </w:tr>
      <w:tr w14:paraId="39F46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9D56491">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37E5BE2D">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38DE4FDC">
            <w:pPr>
              <w:spacing w:line="400" w:lineRule="exact"/>
              <w:jc w:val="center"/>
              <w:rPr>
                <w:rFonts w:ascii="宋体" w:hAnsi="宋体"/>
              </w:rPr>
            </w:pPr>
          </w:p>
        </w:tc>
      </w:tr>
      <w:tr w14:paraId="59CC7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27FC1F56">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270E6C64">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50CAB3F7">
            <w:pPr>
              <w:spacing w:line="400" w:lineRule="exact"/>
              <w:jc w:val="center"/>
              <w:rPr>
                <w:rFonts w:ascii="宋体" w:hAnsi="宋体"/>
              </w:rPr>
            </w:pPr>
          </w:p>
        </w:tc>
      </w:tr>
      <w:tr w14:paraId="15FF5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4093412A">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02BCC060">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107DD8B2">
            <w:pPr>
              <w:spacing w:line="400" w:lineRule="exact"/>
              <w:jc w:val="center"/>
              <w:rPr>
                <w:rFonts w:ascii="宋体" w:hAnsi="宋体"/>
              </w:rPr>
            </w:pPr>
          </w:p>
        </w:tc>
      </w:tr>
      <w:tr w14:paraId="7C96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67CEE6E0">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6691EE12">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7B11A9B7">
            <w:pPr>
              <w:spacing w:line="400" w:lineRule="exact"/>
              <w:jc w:val="center"/>
              <w:rPr>
                <w:rFonts w:ascii="宋体" w:hAnsi="宋体"/>
              </w:rPr>
            </w:pPr>
          </w:p>
        </w:tc>
      </w:tr>
      <w:tr w14:paraId="3363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001A5B7D">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4B75C300">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1915BA5E">
            <w:pPr>
              <w:spacing w:line="400" w:lineRule="exact"/>
              <w:jc w:val="center"/>
              <w:rPr>
                <w:rFonts w:ascii="宋体" w:hAnsi="宋体"/>
              </w:rPr>
            </w:pPr>
          </w:p>
        </w:tc>
      </w:tr>
      <w:tr w14:paraId="3FD2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85DC0C0">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46525317">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59AF8E54">
            <w:pPr>
              <w:spacing w:line="400" w:lineRule="exact"/>
              <w:jc w:val="center"/>
              <w:rPr>
                <w:rFonts w:ascii="宋体" w:hAnsi="宋体"/>
              </w:rPr>
            </w:pPr>
          </w:p>
        </w:tc>
      </w:tr>
      <w:tr w14:paraId="65857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61B95C54">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4AD9FC9F">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069E8CC3">
            <w:pPr>
              <w:spacing w:line="400" w:lineRule="exact"/>
              <w:jc w:val="center"/>
              <w:rPr>
                <w:rFonts w:ascii="宋体" w:hAnsi="宋体"/>
              </w:rPr>
            </w:pPr>
          </w:p>
        </w:tc>
      </w:tr>
      <w:tr w14:paraId="3D338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25050080">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5325203D">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04155FBD">
            <w:pPr>
              <w:spacing w:line="400" w:lineRule="exact"/>
              <w:jc w:val="center"/>
              <w:rPr>
                <w:rFonts w:ascii="宋体" w:hAnsi="宋体"/>
              </w:rPr>
            </w:pPr>
          </w:p>
        </w:tc>
      </w:tr>
      <w:tr w14:paraId="5FA0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757B808E">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3C49E144">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64B6F78F">
            <w:pPr>
              <w:spacing w:line="400" w:lineRule="exact"/>
              <w:jc w:val="center"/>
              <w:rPr>
                <w:rFonts w:ascii="宋体" w:hAnsi="宋体"/>
              </w:rPr>
            </w:pPr>
          </w:p>
        </w:tc>
      </w:tr>
      <w:tr w14:paraId="68B6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074DBD95">
            <w:pPr>
              <w:spacing w:line="400" w:lineRule="exact"/>
              <w:jc w:val="center"/>
              <w:rPr>
                <w:rFonts w:ascii="宋体" w:hAnsi="宋体"/>
              </w:rPr>
            </w:pPr>
          </w:p>
        </w:tc>
        <w:tc>
          <w:tcPr>
            <w:tcW w:w="3118" w:type="dxa"/>
            <w:tcBorders>
              <w:top w:val="single" w:color="auto" w:sz="4" w:space="0"/>
              <w:left w:val="single" w:color="auto" w:sz="4" w:space="0"/>
              <w:bottom w:val="single" w:color="auto" w:sz="4" w:space="0"/>
              <w:right w:val="single" w:color="auto" w:sz="4" w:space="0"/>
            </w:tcBorders>
            <w:vAlign w:val="top"/>
          </w:tcPr>
          <w:p w14:paraId="6C6162DA">
            <w:pPr>
              <w:spacing w:line="400" w:lineRule="exact"/>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7C79BAC0">
            <w:pPr>
              <w:spacing w:line="400" w:lineRule="exact"/>
              <w:jc w:val="center"/>
              <w:rPr>
                <w:rFonts w:ascii="宋体" w:hAnsi="宋体"/>
              </w:rPr>
            </w:pPr>
          </w:p>
        </w:tc>
      </w:tr>
    </w:tbl>
    <w:p w14:paraId="0BEEB747">
      <w:pPr>
        <w:autoSpaceDE w:val="0"/>
        <w:autoSpaceDN w:val="0"/>
        <w:adjustRightInd w:val="0"/>
        <w:jc w:val="left"/>
        <w:rPr>
          <w:rFonts w:ascii="宋体" w:hAnsi="宋体" w:cs="宋体"/>
          <w:kern w:val="0"/>
          <w:sz w:val="18"/>
          <w:szCs w:val="18"/>
          <w:lang w:bidi="ar"/>
        </w:rPr>
      </w:pPr>
      <w:r>
        <w:rPr>
          <w:rFonts w:hint="eastAsia" w:ascii="宋体" w:hAnsi="宋体" w:cs="宋体"/>
          <w:kern w:val="0"/>
          <w:sz w:val="18"/>
          <w:szCs w:val="18"/>
          <w:lang w:bidi="ar"/>
        </w:rPr>
        <w:t>注：1.招标人应在招标文件中规定若投标人在所投标段中标需派驻的其他管理和技术人员（例如项目副经理、专业工程师等）。上述人员的具体人选由招标人和中标人在合同谈判阶段确定，且经招标人审批后作为派驻本标段的项目管理机构主要人员，不允许更换。如中标人拟派驻的人员数量和资格条件不满足本表要求，招标人应取消其中标资格，</w:t>
      </w:r>
      <w:r>
        <w:rPr>
          <w:rFonts w:ascii="宋体" w:hAnsi="宋体" w:cs="宋体"/>
          <w:kern w:val="0"/>
          <w:sz w:val="18"/>
          <w:szCs w:val="18"/>
          <w:lang w:bidi="ar"/>
        </w:rPr>
        <w:t>2.</w:t>
      </w:r>
      <w:r>
        <w:rPr>
          <w:rFonts w:hint="eastAsia" w:ascii="宋体" w:hAnsi="宋体" w:cs="宋体"/>
          <w:kern w:val="0"/>
          <w:sz w:val="18"/>
          <w:szCs w:val="18"/>
          <w:lang w:bidi="ar"/>
        </w:rPr>
        <w:t>本表不适用于已按招标文件要求提供了其他管理和技术人员的特别复杂的特大桥梁和特长隧道项目主体工程以及其他有特殊要求的工程。</w:t>
      </w:r>
    </w:p>
    <w:p w14:paraId="58C4087D">
      <w:pPr>
        <w:pStyle w:val="29"/>
        <w:keepNext/>
        <w:keepLines/>
        <w:tabs>
          <w:tab w:val="left" w:pos="420"/>
        </w:tabs>
        <w:spacing w:line="400" w:lineRule="exact"/>
        <w:jc w:val="center"/>
        <w:outlineLvl w:val="2"/>
        <w:rPr>
          <w:rFonts w:hint="eastAsia" w:ascii="宋体" w:hAnsi="宋体" w:cs="黑体"/>
          <w:sz w:val="32"/>
          <w:szCs w:val="32"/>
          <w:lang w:bidi="ar"/>
        </w:rPr>
      </w:pPr>
      <w:r>
        <w:rPr>
          <w:rFonts w:ascii="宋体" w:hAnsi="宋体" w:cs="宋体"/>
          <w:szCs w:val="20"/>
          <w:lang w:bidi="ar"/>
        </w:rPr>
        <w:br w:type="page"/>
      </w:r>
      <w:bookmarkStart w:id="760" w:name="_Toc18732"/>
      <w:bookmarkStart w:id="761" w:name="_Toc16598"/>
      <w:bookmarkStart w:id="762" w:name="_Toc57795995"/>
      <w:bookmarkStart w:id="763" w:name="_Toc509390700"/>
      <w:r>
        <w:rPr>
          <w:rFonts w:hint="eastAsia" w:ascii="宋体" w:hAnsi="宋体" w:cs="黑体"/>
          <w:sz w:val="32"/>
          <w:szCs w:val="32"/>
          <w:lang w:bidi="ar"/>
        </w:rPr>
        <w:t>附件六 主要机械设备和试验检测设备最低要求</w:t>
      </w:r>
      <w:bookmarkEnd w:id="760"/>
      <w:bookmarkEnd w:id="761"/>
      <w:bookmarkEnd w:id="762"/>
      <w:bookmarkEnd w:id="763"/>
    </w:p>
    <w:p w14:paraId="00BEFBC0"/>
    <w:tbl>
      <w:tblPr>
        <w:tblStyle w:val="31"/>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2977"/>
        <w:gridCol w:w="1417"/>
        <w:gridCol w:w="1701"/>
      </w:tblGrid>
      <w:tr w14:paraId="06BE3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center"/>
          </w:tcPr>
          <w:p w14:paraId="6451F932">
            <w:pPr>
              <w:spacing w:line="360" w:lineRule="auto"/>
              <w:jc w:val="center"/>
              <w:rPr>
                <w:rFonts w:ascii="宋体" w:hAnsi="宋体"/>
              </w:rPr>
            </w:pPr>
            <w:r>
              <w:rPr>
                <w:rFonts w:hint="eastAsia" w:ascii="宋体" w:hAnsi="宋体" w:cs="宋体"/>
                <w:lang w:bidi="ar"/>
              </w:rPr>
              <w:t>设备名称</w:t>
            </w:r>
          </w:p>
        </w:tc>
        <w:tc>
          <w:tcPr>
            <w:tcW w:w="2977" w:type="dxa"/>
            <w:tcBorders>
              <w:top w:val="single" w:color="auto" w:sz="4" w:space="0"/>
              <w:left w:val="single" w:color="auto" w:sz="4" w:space="0"/>
              <w:bottom w:val="single" w:color="auto" w:sz="4" w:space="0"/>
              <w:right w:val="single" w:color="auto" w:sz="4" w:space="0"/>
            </w:tcBorders>
            <w:vAlign w:val="center"/>
          </w:tcPr>
          <w:p w14:paraId="19FF6B93">
            <w:pPr>
              <w:spacing w:line="360" w:lineRule="auto"/>
              <w:jc w:val="center"/>
              <w:rPr>
                <w:rFonts w:ascii="宋体" w:hAnsi="宋体"/>
              </w:rPr>
            </w:pPr>
            <w:r>
              <w:rPr>
                <w:rFonts w:hint="eastAsia" w:ascii="宋体" w:hAnsi="宋体" w:cs="宋体"/>
                <w:lang w:bidi="ar"/>
              </w:rPr>
              <w:t>规格、功率及容量</w:t>
            </w:r>
          </w:p>
        </w:tc>
        <w:tc>
          <w:tcPr>
            <w:tcW w:w="1417" w:type="dxa"/>
            <w:tcBorders>
              <w:top w:val="single" w:color="auto" w:sz="4" w:space="0"/>
              <w:left w:val="single" w:color="auto" w:sz="4" w:space="0"/>
              <w:bottom w:val="single" w:color="auto" w:sz="4" w:space="0"/>
              <w:right w:val="single" w:color="auto" w:sz="4" w:space="0"/>
            </w:tcBorders>
            <w:vAlign w:val="center"/>
          </w:tcPr>
          <w:p w14:paraId="68713E0A">
            <w:pPr>
              <w:spacing w:line="360" w:lineRule="auto"/>
              <w:jc w:val="center"/>
              <w:rPr>
                <w:rFonts w:ascii="宋体" w:hAnsi="宋体"/>
              </w:rPr>
            </w:pPr>
            <w:r>
              <w:rPr>
                <w:rFonts w:hint="eastAsia" w:ascii="宋体" w:hAnsi="宋体" w:cs="宋体"/>
                <w:lang w:bidi="ar"/>
              </w:rPr>
              <w:t>单位</w:t>
            </w:r>
          </w:p>
        </w:tc>
        <w:tc>
          <w:tcPr>
            <w:tcW w:w="1701" w:type="dxa"/>
            <w:tcBorders>
              <w:top w:val="single" w:color="auto" w:sz="4" w:space="0"/>
              <w:left w:val="single" w:color="auto" w:sz="4" w:space="0"/>
              <w:bottom w:val="single" w:color="auto" w:sz="4" w:space="0"/>
              <w:right w:val="single" w:color="auto" w:sz="4" w:space="0"/>
            </w:tcBorders>
            <w:vAlign w:val="center"/>
          </w:tcPr>
          <w:p w14:paraId="515F7334">
            <w:pPr>
              <w:spacing w:line="360" w:lineRule="auto"/>
              <w:jc w:val="center"/>
              <w:rPr>
                <w:rFonts w:ascii="宋体" w:hAnsi="宋体"/>
              </w:rPr>
            </w:pPr>
            <w:r>
              <w:rPr>
                <w:rFonts w:hint="eastAsia" w:ascii="宋体" w:hAnsi="宋体" w:cs="宋体"/>
                <w:lang w:bidi="ar"/>
              </w:rPr>
              <w:t>最低数量要求</w:t>
            </w:r>
          </w:p>
        </w:tc>
      </w:tr>
      <w:tr w14:paraId="66F39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2AA85E0">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4EB2CCA1">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61277E6E">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0F40213D">
            <w:pPr>
              <w:spacing w:line="360" w:lineRule="auto"/>
              <w:jc w:val="center"/>
              <w:rPr>
                <w:rFonts w:ascii="宋体" w:hAnsi="宋体"/>
              </w:rPr>
            </w:pPr>
          </w:p>
        </w:tc>
      </w:tr>
      <w:tr w14:paraId="0260F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222FB2DE">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6FDBB4B3">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7B26D565">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125C501E">
            <w:pPr>
              <w:spacing w:line="360" w:lineRule="auto"/>
              <w:jc w:val="center"/>
              <w:rPr>
                <w:rFonts w:ascii="宋体" w:hAnsi="宋体"/>
              </w:rPr>
            </w:pPr>
          </w:p>
        </w:tc>
      </w:tr>
      <w:tr w14:paraId="2293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240DCD2D">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5267BF30">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40BC465F">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76FF84BD">
            <w:pPr>
              <w:spacing w:line="360" w:lineRule="auto"/>
              <w:jc w:val="center"/>
              <w:rPr>
                <w:rFonts w:ascii="宋体" w:hAnsi="宋体"/>
              </w:rPr>
            </w:pPr>
          </w:p>
        </w:tc>
      </w:tr>
      <w:tr w14:paraId="40EE8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64231692">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0824F30A">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3828A6F5">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6407A317">
            <w:pPr>
              <w:spacing w:line="360" w:lineRule="auto"/>
              <w:jc w:val="center"/>
              <w:rPr>
                <w:rFonts w:ascii="宋体" w:hAnsi="宋体"/>
              </w:rPr>
            </w:pPr>
          </w:p>
        </w:tc>
      </w:tr>
      <w:tr w14:paraId="08740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1233632">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749BBCEC">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2D1274E2">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36DF170F">
            <w:pPr>
              <w:spacing w:line="360" w:lineRule="auto"/>
              <w:jc w:val="center"/>
              <w:rPr>
                <w:rFonts w:ascii="宋体" w:hAnsi="宋体"/>
              </w:rPr>
            </w:pPr>
          </w:p>
        </w:tc>
      </w:tr>
      <w:tr w14:paraId="352F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C1B2CC5">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576199C3">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28F70AEC">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252D6242">
            <w:pPr>
              <w:spacing w:line="360" w:lineRule="auto"/>
              <w:jc w:val="center"/>
              <w:rPr>
                <w:rFonts w:ascii="宋体" w:hAnsi="宋体"/>
              </w:rPr>
            </w:pPr>
          </w:p>
        </w:tc>
      </w:tr>
      <w:tr w14:paraId="7C8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5CC4C7A3">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3C67A758">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1C32850C">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31FEEDC5">
            <w:pPr>
              <w:spacing w:line="360" w:lineRule="auto"/>
              <w:jc w:val="center"/>
              <w:rPr>
                <w:rFonts w:ascii="宋体" w:hAnsi="宋体"/>
              </w:rPr>
            </w:pPr>
          </w:p>
        </w:tc>
      </w:tr>
      <w:tr w14:paraId="20183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039D401F">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5A679CB0">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5AD5959F">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44E8A99E">
            <w:pPr>
              <w:spacing w:line="360" w:lineRule="auto"/>
              <w:jc w:val="center"/>
              <w:rPr>
                <w:rFonts w:ascii="宋体" w:hAnsi="宋体"/>
              </w:rPr>
            </w:pPr>
          </w:p>
        </w:tc>
      </w:tr>
      <w:tr w14:paraId="7E94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3BC8F1A8">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727CCADF">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299AC489">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206A9CA5">
            <w:pPr>
              <w:spacing w:line="360" w:lineRule="auto"/>
              <w:jc w:val="center"/>
              <w:rPr>
                <w:rFonts w:ascii="宋体" w:hAnsi="宋体"/>
              </w:rPr>
            </w:pPr>
          </w:p>
        </w:tc>
      </w:tr>
      <w:tr w14:paraId="4534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0184D2EE">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503244EB">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6DFD4C18">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446447BD">
            <w:pPr>
              <w:spacing w:line="360" w:lineRule="auto"/>
              <w:jc w:val="center"/>
              <w:rPr>
                <w:rFonts w:ascii="宋体" w:hAnsi="宋体"/>
              </w:rPr>
            </w:pPr>
          </w:p>
        </w:tc>
      </w:tr>
      <w:tr w14:paraId="6280A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0C59C225">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3EB8D00C">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74FCB049">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643FB140">
            <w:pPr>
              <w:spacing w:line="360" w:lineRule="auto"/>
              <w:jc w:val="center"/>
              <w:rPr>
                <w:rFonts w:ascii="宋体" w:hAnsi="宋体"/>
              </w:rPr>
            </w:pPr>
          </w:p>
        </w:tc>
      </w:tr>
      <w:tr w14:paraId="0B757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2660" w:type="dxa"/>
            <w:tcBorders>
              <w:top w:val="single" w:color="auto" w:sz="4" w:space="0"/>
              <w:left w:val="single" w:color="auto" w:sz="4" w:space="0"/>
              <w:bottom w:val="single" w:color="auto" w:sz="4" w:space="0"/>
              <w:right w:val="single" w:color="auto" w:sz="4" w:space="0"/>
            </w:tcBorders>
            <w:vAlign w:val="top"/>
          </w:tcPr>
          <w:p w14:paraId="0E2DB3F7">
            <w:pPr>
              <w:spacing w:line="360" w:lineRule="auto"/>
              <w:jc w:val="center"/>
              <w:rPr>
                <w:rFonts w:ascii="宋体" w:hAnsi="宋体"/>
              </w:rPr>
            </w:pPr>
          </w:p>
        </w:tc>
        <w:tc>
          <w:tcPr>
            <w:tcW w:w="2977" w:type="dxa"/>
            <w:tcBorders>
              <w:top w:val="single" w:color="auto" w:sz="4" w:space="0"/>
              <w:left w:val="single" w:color="auto" w:sz="4" w:space="0"/>
              <w:bottom w:val="single" w:color="auto" w:sz="4" w:space="0"/>
              <w:right w:val="single" w:color="auto" w:sz="4" w:space="0"/>
            </w:tcBorders>
            <w:vAlign w:val="top"/>
          </w:tcPr>
          <w:p w14:paraId="6F445D57">
            <w:pPr>
              <w:spacing w:line="360" w:lineRule="auto"/>
              <w:jc w:val="center"/>
              <w:rPr>
                <w:rFonts w:ascii="宋体" w:hAnsi="宋体"/>
              </w:rPr>
            </w:pPr>
          </w:p>
        </w:tc>
        <w:tc>
          <w:tcPr>
            <w:tcW w:w="1417" w:type="dxa"/>
            <w:tcBorders>
              <w:top w:val="single" w:color="auto" w:sz="4" w:space="0"/>
              <w:left w:val="single" w:color="auto" w:sz="4" w:space="0"/>
              <w:bottom w:val="single" w:color="auto" w:sz="4" w:space="0"/>
              <w:right w:val="single" w:color="auto" w:sz="4" w:space="0"/>
            </w:tcBorders>
            <w:vAlign w:val="top"/>
          </w:tcPr>
          <w:p w14:paraId="215023B6">
            <w:pPr>
              <w:spacing w:line="360" w:lineRule="auto"/>
              <w:jc w:val="center"/>
              <w:rPr>
                <w:rFonts w:ascii="宋体" w:hAnsi="宋体"/>
              </w:rPr>
            </w:pPr>
          </w:p>
        </w:tc>
        <w:tc>
          <w:tcPr>
            <w:tcW w:w="1701" w:type="dxa"/>
            <w:tcBorders>
              <w:top w:val="single" w:color="auto" w:sz="4" w:space="0"/>
              <w:left w:val="single" w:color="auto" w:sz="4" w:space="0"/>
              <w:bottom w:val="single" w:color="auto" w:sz="4" w:space="0"/>
              <w:right w:val="single" w:color="auto" w:sz="4" w:space="0"/>
            </w:tcBorders>
            <w:vAlign w:val="top"/>
          </w:tcPr>
          <w:p w14:paraId="45875497">
            <w:pPr>
              <w:spacing w:line="360" w:lineRule="auto"/>
              <w:jc w:val="center"/>
              <w:rPr>
                <w:rFonts w:ascii="宋体" w:hAnsi="宋体"/>
              </w:rPr>
            </w:pPr>
          </w:p>
        </w:tc>
      </w:tr>
    </w:tbl>
    <w:p w14:paraId="42B01506">
      <w:pPr>
        <w:autoSpaceDE w:val="0"/>
        <w:autoSpaceDN w:val="0"/>
        <w:adjustRightInd w:val="0"/>
        <w:jc w:val="left"/>
        <w:rPr>
          <w:rFonts w:hint="eastAsia" w:ascii="宋体" w:hAnsi="宋体" w:cs="宋体"/>
          <w:kern w:val="0"/>
          <w:sz w:val="18"/>
          <w:szCs w:val="18"/>
        </w:rPr>
      </w:pPr>
      <w:r>
        <w:rPr>
          <w:rFonts w:hint="eastAsia" w:ascii="宋体" w:hAnsi="宋体" w:cs="宋体"/>
          <w:kern w:val="0"/>
          <w:sz w:val="18"/>
          <w:szCs w:val="18"/>
        </w:rPr>
        <w:t>注：1.招标人应在招标文件中规定若投标人在所投标段中标需提供的主要机械设备和试验检测设备。招标人将在合同谈判阶段要求中标人按照本表的最低要求填报为本标段配备的主要设备，在经招标人审批后作为投入本标段的主要设备且不不允许更换。如中标人拟提供的设备数量和规格指标不满足本表要求，招标人应取消其中标资格。</w:t>
      </w:r>
      <w:r>
        <w:rPr>
          <w:rFonts w:ascii="宋体" w:hAnsi="宋体" w:cs="宋体"/>
          <w:kern w:val="0"/>
          <w:sz w:val="18"/>
          <w:szCs w:val="18"/>
        </w:rPr>
        <w:t>2.</w:t>
      </w:r>
      <w:r>
        <w:rPr>
          <w:rFonts w:hint="eastAsia" w:ascii="宋体" w:hAnsi="宋体" w:cs="宋体"/>
          <w:kern w:val="0"/>
          <w:sz w:val="18"/>
          <w:szCs w:val="18"/>
        </w:rPr>
        <w:t>本表不适用于已按招标文件要求提供了主要机械设备和试验检测设备的特别复杂的特大桥梁和特长隧道项目主体工程以及其他有特殊要求的工程。</w:t>
      </w:r>
      <w:r>
        <w:rPr>
          <w:rFonts w:ascii="宋体" w:hAnsi="宋体" w:cs="宋体"/>
          <w:szCs w:val="18"/>
          <w:lang w:bidi="ar"/>
        </w:rPr>
        <w:br w:type="page"/>
      </w:r>
      <w:r>
        <w:rPr>
          <w:rFonts w:hint="eastAsia" w:ascii="宋体" w:hAnsi="宋体" w:cs="宋体"/>
          <w:kern w:val="0"/>
          <w:sz w:val="18"/>
          <w:szCs w:val="18"/>
        </w:rPr>
        <w:t xml:space="preserve"> </w:t>
      </w:r>
    </w:p>
    <w:p w14:paraId="4CAB54BA">
      <w:pPr>
        <w:pStyle w:val="29"/>
        <w:keepNext/>
        <w:keepLines/>
        <w:tabs>
          <w:tab w:val="left" w:pos="420"/>
        </w:tabs>
        <w:spacing w:line="400" w:lineRule="exact"/>
        <w:jc w:val="center"/>
        <w:outlineLvl w:val="2"/>
        <w:rPr>
          <w:rFonts w:hint="eastAsia" w:ascii="宋体" w:hAnsi="宋体" w:cs="宋体"/>
        </w:rPr>
      </w:pPr>
      <w:bookmarkStart w:id="764" w:name="_Toc19267"/>
      <w:bookmarkStart w:id="765" w:name="_Toc57795996"/>
      <w:bookmarkStart w:id="766" w:name="_Toc2359"/>
      <w:r>
        <w:rPr>
          <w:rFonts w:hint="eastAsia" w:ascii="宋体" w:hAnsi="宋体" w:cs="黑体"/>
          <w:sz w:val="32"/>
          <w:szCs w:val="32"/>
          <w:lang w:bidi="ar"/>
        </w:rPr>
        <w:t>附件七 项目经理委任书</w:t>
      </w:r>
      <w:bookmarkEnd w:id="764"/>
      <w:bookmarkEnd w:id="765"/>
      <w:bookmarkEnd w:id="766"/>
    </w:p>
    <w:p w14:paraId="659216C1">
      <w:pPr>
        <w:rPr>
          <w:rFonts w:ascii="宋体" w:hAnsi="宋体"/>
          <w:szCs w:val="21"/>
          <w:u w:val="single"/>
        </w:rPr>
      </w:pPr>
    </w:p>
    <w:p w14:paraId="2EECE4A9">
      <w:pPr>
        <w:spacing w:line="360" w:lineRule="auto"/>
        <w:jc w:val="center"/>
        <w:rPr>
          <w:rFonts w:hint="eastAsia" w:ascii="宋体" w:hAnsi="宋体" w:cs="宋体"/>
          <w:szCs w:val="21"/>
        </w:rPr>
      </w:pPr>
      <w:bookmarkStart w:id="767" w:name="_Toc424558373"/>
      <w:r>
        <w:rPr>
          <w:rFonts w:hint="eastAsia" w:ascii="宋体" w:hAnsi="宋体" w:cs="宋体"/>
          <w:szCs w:val="21"/>
          <w:lang w:bidi="ar"/>
        </w:rPr>
        <w:t>（承包人全称）</w:t>
      </w:r>
      <w:bookmarkEnd w:id="767"/>
    </w:p>
    <w:p w14:paraId="78D0C2A6">
      <w:pPr>
        <w:spacing w:line="360" w:lineRule="auto"/>
        <w:jc w:val="center"/>
        <w:rPr>
          <w:rFonts w:hint="eastAsia" w:ascii="宋体" w:hAnsi="宋体" w:cs="宋体"/>
          <w:szCs w:val="20"/>
        </w:rPr>
      </w:pPr>
      <w:r>
        <w:rPr>
          <w:rFonts w:hint="eastAsia" w:ascii="宋体" w:hAnsi="宋体" w:cs="宋体"/>
          <w:szCs w:val="21"/>
          <w:u w:val="single"/>
          <w:lang w:bidi="ar"/>
        </w:rPr>
        <w:t>（项目名称）（标段名称）</w:t>
      </w:r>
      <w:r>
        <w:rPr>
          <w:rFonts w:hint="eastAsia" w:ascii="宋体" w:hAnsi="宋体" w:cs="宋体"/>
          <w:lang w:bidi="ar"/>
        </w:rPr>
        <w:t>合同项目经理委任书</w:t>
      </w:r>
    </w:p>
    <w:p w14:paraId="45004B24">
      <w:pPr>
        <w:spacing w:line="360" w:lineRule="auto"/>
        <w:rPr>
          <w:rFonts w:hint="eastAsia" w:ascii="宋体" w:hAnsi="宋体" w:cs="宋体"/>
          <w:szCs w:val="21"/>
          <w:lang w:val="zh-CN"/>
        </w:rPr>
      </w:pPr>
    </w:p>
    <w:p w14:paraId="4A36E868">
      <w:pPr>
        <w:spacing w:line="360" w:lineRule="auto"/>
        <w:rPr>
          <w:rFonts w:hint="eastAsia" w:ascii="宋体" w:hAnsi="宋体" w:cs="宋体"/>
          <w:szCs w:val="21"/>
          <w:lang w:val="zh-CN"/>
        </w:rPr>
      </w:pPr>
    </w:p>
    <w:p w14:paraId="3AA2FBDB">
      <w:pPr>
        <w:spacing w:line="360" w:lineRule="auto"/>
        <w:ind w:firstLine="315" w:firstLineChars="150"/>
        <w:rPr>
          <w:rFonts w:hint="eastAsia" w:ascii="宋体" w:hAnsi="宋体" w:cs="宋体"/>
          <w:szCs w:val="21"/>
          <w:u w:val="single"/>
          <w:lang w:val="zh-CN"/>
        </w:rPr>
      </w:pPr>
      <w:r>
        <w:rPr>
          <w:rFonts w:hint="eastAsia" w:ascii="宋体" w:hAnsi="宋体" w:cs="宋体"/>
          <w:szCs w:val="21"/>
          <w:u w:val="single"/>
          <w:lang w:val="zh-CN" w:bidi="ar"/>
        </w:rPr>
        <w:t>致（发包人全称）：</w:t>
      </w:r>
    </w:p>
    <w:p w14:paraId="66045F2E">
      <w:pPr>
        <w:spacing w:line="360" w:lineRule="auto"/>
        <w:ind w:firstLine="315" w:firstLineChars="150"/>
        <w:rPr>
          <w:rFonts w:hint="eastAsia" w:ascii="宋体" w:hAnsi="宋体" w:cs="宋体"/>
          <w:szCs w:val="21"/>
          <w:lang w:val="zh-CN"/>
        </w:rPr>
      </w:pPr>
      <w:r>
        <w:rPr>
          <w:rFonts w:hint="eastAsia" w:ascii="宋体" w:hAnsi="宋体" w:cs="宋体"/>
          <w:szCs w:val="21"/>
          <w:u w:val="single"/>
          <w:lang w:val="zh-CN" w:bidi="ar"/>
        </w:rPr>
        <w:t>（承包人全称）</w:t>
      </w:r>
      <w:r>
        <w:rPr>
          <w:rFonts w:hint="eastAsia" w:ascii="宋体" w:hAnsi="宋体" w:cs="宋体"/>
          <w:szCs w:val="21"/>
          <w:lang w:val="zh-CN" w:bidi="ar"/>
        </w:rPr>
        <w:t>法定代表人</w:t>
      </w:r>
      <w:r>
        <w:rPr>
          <w:rFonts w:hint="eastAsia" w:ascii="宋体" w:hAnsi="宋体" w:cs="宋体"/>
          <w:szCs w:val="21"/>
          <w:u w:val="single"/>
          <w:lang w:val="zh-CN" w:bidi="ar"/>
        </w:rPr>
        <w:t>（职务、姓名）</w:t>
      </w:r>
      <w:r>
        <w:rPr>
          <w:rFonts w:hint="eastAsia" w:ascii="宋体" w:hAnsi="宋体" w:cs="宋体"/>
          <w:szCs w:val="21"/>
          <w:lang w:val="zh-CN" w:bidi="ar"/>
        </w:rPr>
        <w:t>代表本单位委任</w:t>
      </w:r>
      <w:r>
        <w:rPr>
          <w:rFonts w:hint="eastAsia" w:ascii="宋体" w:hAnsi="宋体" w:cs="宋体"/>
          <w:szCs w:val="21"/>
          <w:u w:val="single"/>
          <w:lang w:val="zh-CN" w:bidi="ar"/>
        </w:rPr>
        <w:t>（职务、姓名）</w:t>
      </w:r>
      <w:r>
        <w:rPr>
          <w:rFonts w:hint="eastAsia" w:ascii="宋体" w:hAnsi="宋体" w:cs="宋体"/>
          <w:szCs w:val="21"/>
          <w:lang w:val="zh-CN" w:bidi="ar"/>
        </w:rPr>
        <w:t>为</w:t>
      </w:r>
      <w:r>
        <w:rPr>
          <w:rFonts w:hint="eastAsia" w:ascii="宋体" w:hAnsi="宋体" w:cs="宋体"/>
          <w:szCs w:val="21"/>
          <w:u w:val="single"/>
          <w:lang w:bidi="ar"/>
        </w:rPr>
        <w:t>（项目名称）（标段名称）</w:t>
      </w:r>
      <w:r>
        <w:rPr>
          <w:rFonts w:hint="eastAsia" w:ascii="宋体" w:hAnsi="宋体" w:cs="宋体"/>
          <w:lang w:bidi="ar"/>
        </w:rPr>
        <w:t>合同</w:t>
      </w:r>
      <w:r>
        <w:rPr>
          <w:rFonts w:hint="eastAsia" w:ascii="宋体" w:hAnsi="宋体" w:cs="宋体"/>
          <w:szCs w:val="21"/>
          <w:lang w:val="zh-CN" w:bidi="ar"/>
        </w:rPr>
        <w:t>的项目经理。凡本合同执行的有关技术、工程进度、现场管理、质量检验、结算与支付等方面工作，由</w:t>
      </w:r>
      <w:r>
        <w:rPr>
          <w:rFonts w:hint="eastAsia" w:ascii="宋体" w:hAnsi="宋体" w:cs="宋体"/>
          <w:szCs w:val="21"/>
          <w:u w:val="single"/>
          <w:lang w:val="zh-CN" w:bidi="ar"/>
        </w:rPr>
        <w:t>（姓名）</w:t>
      </w:r>
      <w:r>
        <w:rPr>
          <w:rFonts w:hint="eastAsia" w:ascii="宋体" w:hAnsi="宋体" w:cs="宋体"/>
          <w:szCs w:val="21"/>
          <w:lang w:val="zh-CN" w:bidi="ar"/>
        </w:rPr>
        <w:t>代表本单位全面负责。</w:t>
      </w:r>
    </w:p>
    <w:p w14:paraId="5DB12E78">
      <w:pPr>
        <w:spacing w:line="360" w:lineRule="auto"/>
        <w:rPr>
          <w:rFonts w:hint="eastAsia" w:ascii="宋体" w:hAnsi="宋体" w:cs="宋体"/>
          <w:szCs w:val="21"/>
          <w:lang w:val="zh-CN"/>
        </w:rPr>
      </w:pPr>
    </w:p>
    <w:p w14:paraId="68F2FD39">
      <w:pPr>
        <w:spacing w:line="360" w:lineRule="auto"/>
        <w:rPr>
          <w:rFonts w:hint="eastAsia" w:ascii="宋体" w:hAnsi="宋体" w:cs="宋体"/>
          <w:szCs w:val="21"/>
          <w:lang w:val="zh-CN"/>
        </w:rPr>
      </w:pPr>
    </w:p>
    <w:p w14:paraId="050E0573">
      <w:pPr>
        <w:spacing w:line="360" w:lineRule="auto"/>
        <w:rPr>
          <w:rFonts w:hint="eastAsia" w:ascii="宋体" w:hAnsi="宋体" w:cs="宋体"/>
          <w:szCs w:val="21"/>
          <w:lang w:val="zh-CN"/>
        </w:rPr>
      </w:pPr>
    </w:p>
    <w:p w14:paraId="7832F0D4">
      <w:pPr>
        <w:spacing w:line="360" w:lineRule="auto"/>
        <w:rPr>
          <w:rFonts w:hint="eastAsia" w:ascii="宋体" w:hAnsi="宋体" w:cs="宋体"/>
          <w:szCs w:val="21"/>
          <w:lang w:val="zh-CN"/>
        </w:rPr>
      </w:pPr>
    </w:p>
    <w:p w14:paraId="58B0B560">
      <w:pPr>
        <w:spacing w:line="360" w:lineRule="auto"/>
        <w:rPr>
          <w:rFonts w:hint="eastAsia" w:ascii="宋体" w:hAnsi="宋体" w:cs="宋体"/>
          <w:szCs w:val="21"/>
          <w:lang w:val="zh-CN"/>
        </w:rPr>
      </w:pPr>
    </w:p>
    <w:p w14:paraId="283D6C25">
      <w:pPr>
        <w:spacing w:line="360" w:lineRule="auto"/>
        <w:rPr>
          <w:rFonts w:hint="eastAsia" w:ascii="宋体" w:hAnsi="宋体" w:cs="宋体"/>
          <w:szCs w:val="21"/>
          <w:u w:val="single"/>
        </w:rPr>
      </w:pPr>
      <w:r>
        <w:rPr>
          <w:rFonts w:hint="eastAsia" w:ascii="宋体" w:hAnsi="宋体" w:cs="宋体"/>
          <w:szCs w:val="21"/>
          <w:lang w:val="zh-CN" w:bidi="ar"/>
        </w:rPr>
        <w:t xml:space="preserve">                                               承  包  人：</w:t>
      </w:r>
      <w:r>
        <w:rPr>
          <w:rFonts w:hint="eastAsia" w:ascii="宋体" w:hAnsi="宋体" w:cs="宋体"/>
          <w:szCs w:val="21"/>
          <w:u w:val="single"/>
          <w:lang w:val="zh-CN" w:bidi="ar"/>
        </w:rPr>
        <w:t>（全称）   （盖章）</w:t>
      </w:r>
      <w:r>
        <w:rPr>
          <w:rFonts w:hint="eastAsia" w:ascii="宋体" w:hAnsi="宋体" w:cs="宋体"/>
          <w:szCs w:val="21"/>
          <w:u w:val="single"/>
          <w:lang w:bidi="ar"/>
        </w:rPr>
        <w:t xml:space="preserve"> </w:t>
      </w:r>
    </w:p>
    <w:p w14:paraId="0DA2F8E8">
      <w:pPr>
        <w:spacing w:line="360" w:lineRule="auto"/>
        <w:jc w:val="left"/>
        <w:rPr>
          <w:rFonts w:hint="eastAsia" w:ascii="宋体" w:hAnsi="宋体" w:cs="宋体"/>
          <w:lang w:val="zh-CN"/>
        </w:rPr>
      </w:pPr>
      <w:r>
        <w:rPr>
          <w:rFonts w:hint="eastAsia" w:ascii="宋体" w:hAnsi="宋体" w:cs="宋体"/>
          <w:szCs w:val="21"/>
          <w:lang w:val="zh-CN" w:bidi="ar"/>
        </w:rPr>
        <w:t xml:space="preserve">                                               法定代表人：</w:t>
      </w:r>
      <w:r>
        <w:rPr>
          <w:rFonts w:hint="eastAsia" w:ascii="宋体" w:hAnsi="宋体" w:cs="宋体"/>
          <w:szCs w:val="21"/>
          <w:u w:val="single"/>
          <w:lang w:val="zh-CN" w:bidi="ar"/>
        </w:rPr>
        <w:t xml:space="preserve">     （签名）     </w:t>
      </w:r>
      <w:r>
        <w:rPr>
          <w:rFonts w:hint="eastAsia" w:ascii="宋体" w:hAnsi="宋体" w:cs="宋体"/>
          <w:lang w:val="zh-CN" w:bidi="ar"/>
        </w:rPr>
        <w:t xml:space="preserve"> </w:t>
      </w:r>
    </w:p>
    <w:p w14:paraId="6F2A4E84">
      <w:pPr>
        <w:spacing w:line="360" w:lineRule="auto"/>
        <w:jc w:val="right"/>
        <w:rPr>
          <w:rFonts w:hint="eastAsia" w:ascii="宋体" w:hAnsi="宋体" w:cs="宋体"/>
        </w:rPr>
      </w:pPr>
      <w:r>
        <w:rPr>
          <w:rFonts w:hint="eastAsia" w:ascii="宋体" w:hAnsi="宋体" w:cs="宋体"/>
          <w:lang w:val="zh-CN" w:bidi="ar"/>
        </w:rPr>
        <w:t xml:space="preserve">                                               </w:t>
      </w:r>
      <w:r>
        <w:rPr>
          <w:rFonts w:hint="eastAsia" w:ascii="宋体" w:hAnsi="宋体" w:cs="宋体"/>
          <w:u w:val="single"/>
          <w:lang w:bidi="ar"/>
        </w:rPr>
        <w:t xml:space="preserve">           </w:t>
      </w:r>
      <w:r>
        <w:rPr>
          <w:rFonts w:hint="eastAsia" w:ascii="宋体" w:hAnsi="宋体" w:cs="宋体"/>
          <w:lang w:bidi="ar"/>
        </w:rPr>
        <w:t>年</w:t>
      </w:r>
      <w:r>
        <w:rPr>
          <w:rFonts w:hint="eastAsia" w:ascii="宋体" w:hAnsi="宋体" w:cs="宋体"/>
          <w:u w:val="single"/>
          <w:lang w:bidi="ar"/>
        </w:rPr>
        <w:t xml:space="preserve">     </w:t>
      </w:r>
      <w:r>
        <w:rPr>
          <w:rFonts w:hint="eastAsia" w:ascii="宋体" w:hAnsi="宋体" w:cs="宋体"/>
          <w:lang w:bidi="ar"/>
        </w:rPr>
        <w:t>月</w:t>
      </w:r>
      <w:r>
        <w:rPr>
          <w:rFonts w:hint="eastAsia" w:ascii="宋体" w:hAnsi="宋体" w:cs="宋体"/>
          <w:u w:val="single"/>
          <w:lang w:bidi="ar"/>
        </w:rPr>
        <w:t xml:space="preserve">     </w:t>
      </w:r>
      <w:r>
        <w:rPr>
          <w:rFonts w:hint="eastAsia" w:ascii="宋体" w:hAnsi="宋体" w:cs="宋体"/>
          <w:lang w:bidi="ar"/>
        </w:rPr>
        <w:t>日</w:t>
      </w:r>
    </w:p>
    <w:p w14:paraId="789F2F23">
      <w:pPr>
        <w:spacing w:line="360" w:lineRule="auto"/>
        <w:jc w:val="left"/>
        <w:rPr>
          <w:rFonts w:hint="eastAsia" w:ascii="宋体" w:hAnsi="宋体" w:cs="宋体"/>
        </w:rPr>
      </w:pPr>
    </w:p>
    <w:p w14:paraId="79BD0137">
      <w:pPr>
        <w:spacing w:line="360" w:lineRule="auto"/>
        <w:jc w:val="left"/>
        <w:rPr>
          <w:rFonts w:hint="eastAsia" w:ascii="宋体" w:hAnsi="宋体" w:cs="宋体"/>
          <w:lang w:val="zh-CN"/>
        </w:rPr>
      </w:pPr>
      <w:r>
        <w:rPr>
          <w:rFonts w:hint="eastAsia" w:ascii="宋体" w:hAnsi="宋体" w:cs="宋体"/>
          <w:lang w:bidi="ar"/>
        </w:rPr>
        <w:t>抄送：</w:t>
      </w:r>
      <w:r>
        <w:rPr>
          <w:rFonts w:hint="eastAsia" w:ascii="宋体" w:hAnsi="宋体" w:cs="宋体"/>
          <w:u w:val="single"/>
          <w:lang w:bidi="ar"/>
        </w:rPr>
        <w:t>　　（监理人）　　</w:t>
      </w:r>
    </w:p>
    <w:p w14:paraId="06C67A46">
      <w:pPr>
        <w:rPr>
          <w:rFonts w:ascii="宋体" w:hAnsi="宋体"/>
        </w:rPr>
      </w:pPr>
      <w:r>
        <w:rPr>
          <w:rFonts w:ascii="宋体" w:hAnsi="宋体"/>
          <w:lang w:bidi="ar"/>
        </w:rPr>
        <w:br w:type="page"/>
      </w:r>
    </w:p>
    <w:p w14:paraId="3493D8B7">
      <w:pPr>
        <w:pStyle w:val="29"/>
        <w:keepNext/>
        <w:keepLines/>
        <w:tabs>
          <w:tab w:val="left" w:pos="420"/>
        </w:tabs>
        <w:spacing w:line="400" w:lineRule="exact"/>
        <w:jc w:val="center"/>
        <w:outlineLvl w:val="2"/>
        <w:rPr>
          <w:rFonts w:hint="eastAsia" w:ascii="宋体" w:hAnsi="宋体" w:cs="宋体"/>
        </w:rPr>
      </w:pPr>
      <w:bookmarkStart w:id="768" w:name="_Toc7256"/>
      <w:bookmarkStart w:id="769" w:name="_Toc335223537"/>
      <w:bookmarkStart w:id="770" w:name="_Toc467164263"/>
      <w:bookmarkStart w:id="771" w:name="_Toc424558734"/>
      <w:bookmarkStart w:id="772" w:name="_Toc424558376"/>
      <w:bookmarkStart w:id="773" w:name="_Toc57795997"/>
      <w:bookmarkStart w:id="774" w:name="_Toc6870"/>
      <w:bookmarkStart w:id="775" w:name="_Toc31183"/>
      <w:bookmarkStart w:id="776" w:name="_Toc509390702"/>
      <w:r>
        <w:rPr>
          <w:rFonts w:hint="eastAsia" w:ascii="宋体" w:hAnsi="宋体" w:cs="黑体"/>
          <w:sz w:val="32"/>
          <w:szCs w:val="32"/>
          <w:lang w:bidi="ar"/>
        </w:rPr>
        <w:t>附件八 履约</w:t>
      </w:r>
      <w:bookmarkEnd w:id="768"/>
      <w:bookmarkEnd w:id="769"/>
      <w:bookmarkEnd w:id="770"/>
      <w:bookmarkEnd w:id="771"/>
      <w:bookmarkEnd w:id="772"/>
      <w:r>
        <w:rPr>
          <w:rFonts w:hint="eastAsia" w:ascii="宋体" w:hAnsi="宋体" w:cs="黑体"/>
          <w:sz w:val="32"/>
          <w:szCs w:val="32"/>
          <w:lang w:bidi="ar"/>
        </w:rPr>
        <w:t>保证金格式</w:t>
      </w:r>
      <w:bookmarkEnd w:id="773"/>
      <w:bookmarkEnd w:id="774"/>
      <w:bookmarkEnd w:id="775"/>
      <w:bookmarkEnd w:id="776"/>
    </w:p>
    <w:p w14:paraId="34B7D54A">
      <w:pPr>
        <w:spacing w:line="400" w:lineRule="atLeast"/>
        <w:rPr>
          <w:rFonts w:hint="eastAsia" w:ascii="宋体" w:hAnsi="宋体" w:cs="宋体"/>
          <w:b/>
          <w:sz w:val="24"/>
          <w:lang w:bidi="ar"/>
        </w:rPr>
      </w:pPr>
    </w:p>
    <w:p w14:paraId="19EC4788">
      <w:pPr>
        <w:spacing w:line="360" w:lineRule="auto"/>
        <w:ind w:firstLine="420" w:firstLineChars="200"/>
        <w:jc w:val="center"/>
        <w:rPr>
          <w:rFonts w:hint="eastAsia" w:ascii="宋体" w:hAnsi="宋体"/>
          <w:u w:val="single"/>
          <w:lang w:bidi="ar"/>
        </w:rPr>
      </w:pPr>
      <w:r>
        <w:rPr>
          <w:rFonts w:hint="eastAsia" w:ascii="宋体" w:hAnsi="宋体"/>
          <w:u w:val="single"/>
          <w:lang w:bidi="ar"/>
        </w:rPr>
        <w:t>履约保函示范文本</w:t>
      </w:r>
    </w:p>
    <w:p w14:paraId="7A7AB6E8">
      <w:pPr>
        <w:spacing w:line="360" w:lineRule="auto"/>
        <w:ind w:firstLine="420" w:firstLineChars="200"/>
        <w:rPr>
          <w:rFonts w:hint="eastAsia" w:ascii="宋体" w:hAnsi="宋体"/>
          <w:u w:val="single"/>
          <w:lang w:bidi="ar"/>
        </w:rPr>
      </w:pPr>
    </w:p>
    <w:p w14:paraId="1062114C">
      <w:pPr>
        <w:spacing w:line="360" w:lineRule="auto"/>
        <w:ind w:firstLine="420" w:firstLineChars="200"/>
        <w:rPr>
          <w:rFonts w:hint="eastAsia" w:ascii="宋体" w:hAnsi="宋体"/>
          <w:u w:val="single"/>
          <w:lang w:bidi="ar"/>
        </w:rPr>
      </w:pPr>
      <w:r>
        <w:rPr>
          <w:rFonts w:hint="eastAsia" w:ascii="宋体" w:hAnsi="宋体"/>
          <w:u w:val="single"/>
          <w:lang w:bidi="ar"/>
        </w:rPr>
        <w:t xml:space="preserve">              （发包人名称）：</w:t>
      </w:r>
    </w:p>
    <w:p w14:paraId="166E993C">
      <w:pPr>
        <w:spacing w:line="360" w:lineRule="auto"/>
        <w:ind w:firstLine="420" w:firstLineChars="200"/>
        <w:rPr>
          <w:rFonts w:hint="eastAsia" w:ascii="宋体" w:hAnsi="宋体"/>
          <w:u w:val="single"/>
          <w:lang w:bidi="ar"/>
        </w:rPr>
      </w:pPr>
      <w:r>
        <w:rPr>
          <w:rFonts w:hint="eastAsia" w:ascii="宋体" w:hAnsi="宋体"/>
          <w:u w:val="single"/>
          <w:lang w:bidi="ar"/>
        </w:rPr>
        <w:t>鉴于               （发包人名称，以下简称“发包人”）接受                 （承包人名称，以下简称“承包人”）于   年   月   日参加           （项目名称）       标段施工的投标。我方愿意无条件地、不可撤销地就承包人履行与你方订立的合同，向你方提供担保。</w:t>
      </w:r>
    </w:p>
    <w:p w14:paraId="0CE03BD9">
      <w:pPr>
        <w:spacing w:line="360" w:lineRule="auto"/>
        <w:ind w:firstLine="420" w:firstLineChars="200"/>
        <w:rPr>
          <w:rFonts w:hint="eastAsia" w:ascii="宋体" w:hAnsi="宋体"/>
          <w:u w:val="single"/>
          <w:lang w:bidi="ar"/>
        </w:rPr>
      </w:pPr>
      <w:r>
        <w:rPr>
          <w:rFonts w:hint="eastAsia" w:ascii="宋体" w:hAnsi="宋体"/>
          <w:u w:val="single"/>
          <w:lang w:bidi="ar"/>
        </w:rPr>
        <w:t>一、担保金额人民币（大写）           元（¥        ）。</w:t>
      </w:r>
    </w:p>
    <w:p w14:paraId="2C52EA8C">
      <w:pPr>
        <w:spacing w:line="360" w:lineRule="auto"/>
        <w:ind w:firstLine="420" w:firstLineChars="200"/>
        <w:rPr>
          <w:rFonts w:hint="eastAsia" w:ascii="宋体" w:hAnsi="宋体"/>
          <w:u w:val="single"/>
          <w:lang w:bidi="ar"/>
        </w:rPr>
      </w:pPr>
      <w:r>
        <w:rPr>
          <w:rFonts w:hint="eastAsia" w:ascii="宋体" w:hAnsi="宋体"/>
          <w:u w:val="single"/>
          <w:lang w:bidi="ar"/>
        </w:rPr>
        <w:t>二、担保有效期为以下第      种：</w:t>
      </w:r>
    </w:p>
    <w:p w14:paraId="2F1E40DA">
      <w:pPr>
        <w:spacing w:line="360" w:lineRule="auto"/>
        <w:ind w:firstLine="420" w:firstLineChars="200"/>
        <w:rPr>
          <w:rFonts w:hint="eastAsia" w:ascii="宋体" w:hAnsi="宋体"/>
          <w:u w:val="single"/>
          <w:lang w:bidi="ar"/>
        </w:rPr>
      </w:pPr>
      <w:r>
        <w:rPr>
          <w:rFonts w:hint="eastAsia" w:ascii="宋体" w:hAnsi="宋体"/>
          <w:u w:val="single"/>
          <w:lang w:bidi="ar"/>
        </w:rPr>
        <w:t>（1）本担保自      （生效日期）之日起生效，至      （失效日期）之日失效。</w:t>
      </w:r>
    </w:p>
    <w:p w14:paraId="356D4DD8">
      <w:pPr>
        <w:spacing w:line="360" w:lineRule="auto"/>
        <w:ind w:firstLine="420" w:firstLineChars="200"/>
        <w:rPr>
          <w:rFonts w:hint="eastAsia" w:ascii="宋体" w:hAnsi="宋体"/>
          <w:u w:val="single"/>
          <w:lang w:bidi="ar"/>
        </w:rPr>
      </w:pPr>
      <w:r>
        <w:rPr>
          <w:rFonts w:hint="eastAsia" w:ascii="宋体" w:hAnsi="宋体"/>
          <w:u w:val="single"/>
          <w:lang w:bidi="ar"/>
        </w:rPr>
        <w:t>（2）本担保自发包人与承包人签订的合同生效之日起至发包人签发交工验收证书且承包人按照合同约定缴纳质量保证金之日止。</w:t>
      </w:r>
    </w:p>
    <w:p w14:paraId="2814111F">
      <w:pPr>
        <w:spacing w:line="360" w:lineRule="auto"/>
        <w:ind w:firstLine="420" w:firstLineChars="200"/>
        <w:rPr>
          <w:rFonts w:hint="eastAsia" w:ascii="宋体" w:hAnsi="宋体"/>
          <w:u w:val="single"/>
          <w:lang w:bidi="ar"/>
        </w:rPr>
      </w:pPr>
      <w:r>
        <w:rPr>
          <w:rFonts w:hint="eastAsia" w:ascii="宋体" w:hAnsi="宋体"/>
          <w:u w:val="single"/>
          <w:lang w:bidi="ar"/>
        </w:rPr>
        <w:t>三、在本担保有效期内，因承包人违反合同约定的义务给你方造成经济损失时，我方在收到你方以书面形式提出的在担保金额内的赔偿要求后，在7日内无条件支付，无须你方出具证明或陈述理由。</w:t>
      </w:r>
    </w:p>
    <w:p w14:paraId="0800707D">
      <w:pPr>
        <w:spacing w:line="360" w:lineRule="auto"/>
        <w:ind w:firstLine="420" w:firstLineChars="200"/>
        <w:rPr>
          <w:rFonts w:hint="eastAsia" w:ascii="宋体" w:hAnsi="宋体"/>
          <w:u w:val="single"/>
          <w:lang w:bidi="ar"/>
        </w:rPr>
      </w:pPr>
      <w:r>
        <w:rPr>
          <w:rFonts w:hint="eastAsia" w:ascii="宋体" w:hAnsi="宋体"/>
          <w:u w:val="single"/>
          <w:lang w:bidi="ar"/>
        </w:rPr>
        <w:t>四、发包人和承包人按合同条款第15条变更合同时，无论我方是否收到该变更，我方承担本担保规定的义务不变。</w:t>
      </w:r>
    </w:p>
    <w:p w14:paraId="527D2A71">
      <w:pPr>
        <w:spacing w:line="360" w:lineRule="auto"/>
        <w:ind w:firstLine="420" w:firstLineChars="200"/>
        <w:rPr>
          <w:rFonts w:hint="eastAsia" w:ascii="宋体" w:hAnsi="宋体"/>
          <w:u w:val="single"/>
          <w:lang w:bidi="ar"/>
        </w:rPr>
      </w:pPr>
    </w:p>
    <w:p w14:paraId="5EF01CF6">
      <w:pPr>
        <w:spacing w:line="360" w:lineRule="auto"/>
        <w:ind w:firstLine="420" w:firstLineChars="200"/>
        <w:rPr>
          <w:rFonts w:hint="eastAsia" w:ascii="宋体" w:hAnsi="宋体"/>
          <w:u w:val="single"/>
          <w:lang w:bidi="ar"/>
        </w:rPr>
      </w:pPr>
      <w:r>
        <w:rPr>
          <w:rFonts w:hint="eastAsia" w:ascii="宋体" w:hAnsi="宋体"/>
          <w:u w:val="single"/>
          <w:lang w:bidi="ar"/>
        </w:rPr>
        <w:t>担 保 人：                               （盖单位章）</w:t>
      </w:r>
    </w:p>
    <w:p w14:paraId="7886F705">
      <w:pPr>
        <w:spacing w:line="360" w:lineRule="auto"/>
        <w:ind w:firstLine="420" w:firstLineChars="200"/>
        <w:rPr>
          <w:rFonts w:hint="eastAsia" w:ascii="宋体" w:hAnsi="宋体"/>
          <w:u w:val="single"/>
          <w:lang w:bidi="ar"/>
        </w:rPr>
      </w:pPr>
      <w:r>
        <w:rPr>
          <w:rFonts w:hint="eastAsia" w:ascii="宋体" w:hAnsi="宋体"/>
          <w:u w:val="single"/>
          <w:lang w:bidi="ar"/>
        </w:rPr>
        <w:t>法定代表人或其委托代理人：                   （签名）</w:t>
      </w:r>
    </w:p>
    <w:p w14:paraId="4FA5AB88">
      <w:pPr>
        <w:spacing w:line="360" w:lineRule="auto"/>
        <w:ind w:firstLine="420" w:firstLineChars="200"/>
        <w:rPr>
          <w:rFonts w:hint="eastAsia" w:ascii="宋体" w:hAnsi="宋体"/>
          <w:u w:val="single"/>
          <w:lang w:bidi="ar"/>
        </w:rPr>
      </w:pPr>
      <w:r>
        <w:rPr>
          <w:rFonts w:hint="eastAsia" w:ascii="宋体" w:hAnsi="宋体"/>
          <w:u w:val="single"/>
          <w:lang w:bidi="ar"/>
        </w:rPr>
        <w:t xml:space="preserve">地    址：                                          </w:t>
      </w:r>
    </w:p>
    <w:p w14:paraId="6C6AE8C8">
      <w:pPr>
        <w:spacing w:line="360" w:lineRule="auto"/>
        <w:ind w:firstLine="420" w:firstLineChars="200"/>
        <w:rPr>
          <w:rFonts w:hint="eastAsia" w:ascii="宋体" w:hAnsi="宋体"/>
          <w:u w:val="single"/>
          <w:lang w:bidi="ar"/>
        </w:rPr>
      </w:pPr>
      <w:r>
        <w:rPr>
          <w:rFonts w:hint="eastAsia" w:ascii="宋体" w:hAnsi="宋体"/>
          <w:u w:val="single"/>
          <w:lang w:bidi="ar"/>
        </w:rPr>
        <w:t xml:space="preserve">邮政编码：                                          </w:t>
      </w:r>
    </w:p>
    <w:p w14:paraId="5755EB89">
      <w:pPr>
        <w:spacing w:line="360" w:lineRule="auto"/>
        <w:ind w:firstLine="420" w:firstLineChars="200"/>
        <w:rPr>
          <w:rFonts w:hint="eastAsia" w:ascii="宋体" w:hAnsi="宋体"/>
          <w:u w:val="single"/>
          <w:lang w:bidi="ar"/>
        </w:rPr>
      </w:pPr>
      <w:r>
        <w:rPr>
          <w:rFonts w:hint="eastAsia" w:ascii="宋体" w:hAnsi="宋体"/>
          <w:u w:val="single"/>
          <w:lang w:bidi="ar"/>
        </w:rPr>
        <w:t xml:space="preserve">电    话：                                          </w:t>
      </w:r>
    </w:p>
    <w:p w14:paraId="1C68C502">
      <w:pPr>
        <w:spacing w:line="360" w:lineRule="auto"/>
        <w:ind w:firstLine="420" w:firstLineChars="200"/>
        <w:rPr>
          <w:rFonts w:hint="eastAsia" w:ascii="宋体" w:hAnsi="宋体"/>
          <w:u w:val="single"/>
          <w:lang w:bidi="ar"/>
        </w:rPr>
      </w:pPr>
      <w:r>
        <w:rPr>
          <w:rFonts w:hint="eastAsia" w:ascii="宋体" w:hAnsi="宋体"/>
          <w:u w:val="single"/>
          <w:lang w:bidi="ar"/>
        </w:rPr>
        <w:t xml:space="preserve">传    真：                                          </w:t>
      </w:r>
    </w:p>
    <w:p w14:paraId="1F83420E">
      <w:pPr>
        <w:spacing w:line="360" w:lineRule="auto"/>
        <w:ind w:firstLine="420" w:firstLineChars="200"/>
        <w:jc w:val="left"/>
        <w:rPr>
          <w:rFonts w:ascii="宋体" w:hAnsi="宋体"/>
        </w:rPr>
      </w:pPr>
      <w:r>
        <w:rPr>
          <w:rFonts w:hint="eastAsia" w:ascii="宋体" w:hAnsi="宋体"/>
          <w:u w:val="single"/>
          <w:lang w:bidi="ar"/>
        </w:rPr>
        <w:t xml:space="preserve">     年     月     日</w:t>
      </w:r>
    </w:p>
    <w:p w14:paraId="0681A89B">
      <w:pPr>
        <w:spacing w:line="360" w:lineRule="auto"/>
        <w:ind w:left="420" w:hanging="420"/>
        <w:rPr>
          <w:rFonts w:ascii="宋体" w:hAnsi="宋体"/>
        </w:rPr>
      </w:pPr>
    </w:p>
    <w:p w14:paraId="3F8EBD2B">
      <w:pPr>
        <w:spacing w:line="600" w:lineRule="exact"/>
        <w:ind w:firstLine="4678" w:firstLineChars="2228"/>
        <w:rPr>
          <w:rFonts w:ascii="宋体" w:hAnsi="宋体"/>
        </w:rPr>
      </w:pPr>
    </w:p>
    <w:p w14:paraId="2D72BB11">
      <w:pPr>
        <w:spacing w:line="600" w:lineRule="exact"/>
        <w:jc w:val="center"/>
        <w:outlineLvl w:val="2"/>
        <w:rPr>
          <w:rFonts w:hint="eastAsia" w:ascii="宋体" w:hAnsi="宋体" w:cs="宋体"/>
        </w:rPr>
      </w:pPr>
      <w:bookmarkStart w:id="777" w:name="_Toc424558374"/>
      <w:bookmarkStart w:id="778" w:name="_Toc144974833"/>
      <w:bookmarkStart w:id="779" w:name="_Toc467164261"/>
      <w:bookmarkStart w:id="780" w:name="_Toc240180921"/>
      <w:bookmarkStart w:id="781" w:name="_Toc424558732"/>
      <w:bookmarkStart w:id="782" w:name="_Toc152045771"/>
      <w:bookmarkStart w:id="783" w:name="_Toc335223535"/>
      <w:bookmarkStart w:id="784" w:name="_Toc152042553"/>
      <w:bookmarkStart w:id="785" w:name="_Toc509390703"/>
      <w:bookmarkStart w:id="786" w:name="_Toc57795998"/>
      <w:r>
        <w:rPr>
          <w:rFonts w:hint="eastAsia" w:ascii="宋体" w:hAnsi="宋体" w:cs="黑体"/>
          <w:sz w:val="32"/>
          <w:szCs w:val="32"/>
          <w:lang w:bidi="ar"/>
        </w:rPr>
        <w:br w:type="page"/>
      </w:r>
      <w:bookmarkStart w:id="787" w:name="_Toc22365"/>
      <w:bookmarkStart w:id="788" w:name="_Toc17509"/>
      <w:r>
        <w:rPr>
          <w:rFonts w:hint="eastAsia" w:ascii="宋体" w:hAnsi="宋体" w:cs="黑体"/>
          <w:sz w:val="32"/>
          <w:szCs w:val="32"/>
          <w:lang w:bidi="ar"/>
        </w:rPr>
        <w:t>附件九 工程资金监管协议格式</w:t>
      </w:r>
      <w:bookmarkEnd w:id="787"/>
      <w:bookmarkEnd w:id="788"/>
    </w:p>
    <w:bookmarkEnd w:id="777"/>
    <w:bookmarkEnd w:id="778"/>
    <w:bookmarkEnd w:id="779"/>
    <w:bookmarkEnd w:id="780"/>
    <w:bookmarkEnd w:id="781"/>
    <w:bookmarkEnd w:id="782"/>
    <w:bookmarkEnd w:id="783"/>
    <w:bookmarkEnd w:id="784"/>
    <w:bookmarkEnd w:id="785"/>
    <w:bookmarkEnd w:id="786"/>
    <w:p w14:paraId="5F878179">
      <w:pPr>
        <w:rPr>
          <w:rFonts w:ascii="宋体" w:hAnsi="宋体"/>
        </w:rPr>
      </w:pPr>
    </w:p>
    <w:p w14:paraId="4AD9FE21">
      <w:pPr>
        <w:spacing w:line="360" w:lineRule="auto"/>
        <w:rPr>
          <w:rFonts w:ascii="宋体" w:hAnsi="宋体"/>
        </w:rPr>
      </w:pPr>
      <w:r>
        <w:rPr>
          <w:rFonts w:ascii="宋体" w:hAnsi="宋体"/>
          <w:lang w:bidi="ar"/>
        </w:rPr>
        <w:t xml:space="preserve">   （</w:t>
      </w:r>
      <w:r>
        <w:rPr>
          <w:rFonts w:hint="eastAsia" w:ascii="宋体" w:hAnsi="宋体" w:cs="宋体"/>
          <w:lang w:bidi="ar"/>
        </w:rPr>
        <w:t>发包人与承包人签订合同协议书时应与发包人指定的银行签署工程资金监管协议</w:t>
      </w:r>
      <w:r>
        <w:rPr>
          <w:rFonts w:ascii="宋体" w:hAnsi="宋体"/>
          <w:lang w:bidi="ar"/>
        </w:rPr>
        <w:t>，</w:t>
      </w:r>
      <w:r>
        <w:rPr>
          <w:rFonts w:hint="eastAsia" w:ascii="宋体" w:hAnsi="宋体" w:cs="宋体"/>
          <w:lang w:bidi="ar"/>
        </w:rPr>
        <w:t>工程资金监管协议内容在保证本项目资金有效监管的前提下由三方共同商定</w:t>
      </w:r>
      <w:r>
        <w:rPr>
          <w:rFonts w:ascii="宋体" w:hAnsi="宋体"/>
          <w:lang w:bidi="ar"/>
        </w:rPr>
        <w:t>）</w:t>
      </w:r>
    </w:p>
    <w:p w14:paraId="5BFB353E">
      <w:pPr>
        <w:spacing w:line="360" w:lineRule="auto"/>
        <w:jc w:val="center"/>
        <w:rPr>
          <w:rFonts w:hint="eastAsia" w:ascii="宋体" w:hAnsi="宋体" w:cs="黑体"/>
          <w:sz w:val="28"/>
          <w:szCs w:val="28"/>
        </w:rPr>
      </w:pPr>
      <w:r>
        <w:rPr>
          <w:rFonts w:hint="eastAsia" w:ascii="宋体" w:hAnsi="宋体" w:cs="黑体"/>
          <w:sz w:val="28"/>
          <w:szCs w:val="28"/>
          <w:lang w:bidi="ar"/>
        </w:rPr>
        <w:t>工程资金监管协议</w:t>
      </w:r>
    </w:p>
    <w:p w14:paraId="389CDA61">
      <w:pPr>
        <w:spacing w:line="400" w:lineRule="atLeast"/>
        <w:rPr>
          <w:rFonts w:ascii="宋体" w:hAnsi="宋体"/>
        </w:rPr>
      </w:pPr>
      <w:bookmarkStart w:id="789" w:name="_Toc272745017"/>
      <w:r>
        <w:rPr>
          <w:rFonts w:hint="eastAsia" w:ascii="宋体" w:hAnsi="宋体" w:cs="宋体"/>
          <w:lang w:bidi="ar"/>
        </w:rPr>
        <w:t>发包人：</w:t>
      </w:r>
      <w:r>
        <w:rPr>
          <w:rFonts w:ascii="宋体" w:hAnsi="宋体"/>
          <w:u w:val="single"/>
          <w:lang w:bidi="ar"/>
        </w:rPr>
        <w:t xml:space="preserve">                </w:t>
      </w:r>
      <w:r>
        <w:rPr>
          <w:rFonts w:hint="eastAsia" w:ascii="宋体" w:hAnsi="宋体" w:cs="宋体"/>
          <w:lang w:bidi="ar"/>
        </w:rPr>
        <w:t>（以下简称</w:t>
      </w:r>
      <w:r>
        <w:rPr>
          <w:rFonts w:hint="eastAsia" w:ascii="宋体" w:hAnsi="宋体"/>
          <w:lang w:bidi="ar"/>
        </w:rPr>
        <w:t>“</w:t>
      </w:r>
      <w:r>
        <w:rPr>
          <w:rFonts w:hint="eastAsia" w:ascii="宋体" w:hAnsi="宋体" w:cs="宋体"/>
          <w:lang w:bidi="ar"/>
        </w:rPr>
        <w:t>甲方</w:t>
      </w:r>
      <w:r>
        <w:rPr>
          <w:rFonts w:hint="eastAsia" w:ascii="宋体" w:hAnsi="宋体"/>
          <w:lang w:bidi="ar"/>
        </w:rPr>
        <w:t>”</w:t>
      </w:r>
      <w:r>
        <w:rPr>
          <w:rFonts w:hint="eastAsia" w:ascii="宋体" w:hAnsi="宋体" w:cs="宋体"/>
          <w:lang w:bidi="ar"/>
        </w:rPr>
        <w:t>）</w:t>
      </w:r>
      <w:bookmarkEnd w:id="789"/>
    </w:p>
    <w:p w14:paraId="262A324F">
      <w:pPr>
        <w:spacing w:line="400" w:lineRule="exact"/>
        <w:jc w:val="left"/>
        <w:rPr>
          <w:rFonts w:ascii="宋体" w:hAnsi="宋体"/>
        </w:rPr>
      </w:pPr>
      <w:r>
        <w:rPr>
          <w:rFonts w:hint="eastAsia" w:ascii="宋体" w:hAnsi="宋体" w:cs="宋体"/>
          <w:lang w:bidi="ar"/>
        </w:rPr>
        <w:t>承包人：</w:t>
      </w:r>
      <w:r>
        <w:rPr>
          <w:rFonts w:ascii="宋体" w:hAnsi="宋体"/>
          <w:u w:val="single"/>
          <w:lang w:bidi="ar"/>
        </w:rPr>
        <w:t xml:space="preserve">                </w:t>
      </w:r>
      <w:r>
        <w:rPr>
          <w:rFonts w:hint="eastAsia" w:ascii="宋体" w:hAnsi="宋体" w:cs="宋体"/>
          <w:lang w:bidi="ar"/>
        </w:rPr>
        <w:t>（以下简称</w:t>
      </w:r>
      <w:r>
        <w:rPr>
          <w:rFonts w:hint="eastAsia" w:ascii="宋体" w:hAnsi="宋体"/>
          <w:lang w:bidi="ar"/>
        </w:rPr>
        <w:t>“</w:t>
      </w:r>
      <w:r>
        <w:rPr>
          <w:rFonts w:hint="eastAsia" w:ascii="宋体" w:hAnsi="宋体" w:cs="宋体"/>
          <w:lang w:bidi="ar"/>
        </w:rPr>
        <w:t>乙方</w:t>
      </w:r>
      <w:r>
        <w:rPr>
          <w:rFonts w:hint="eastAsia" w:ascii="宋体" w:hAnsi="宋体"/>
          <w:lang w:bidi="ar"/>
        </w:rPr>
        <w:t>”</w:t>
      </w:r>
      <w:r>
        <w:rPr>
          <w:rFonts w:hint="eastAsia" w:ascii="宋体" w:hAnsi="宋体" w:cs="宋体"/>
          <w:lang w:bidi="ar"/>
        </w:rPr>
        <w:t>）</w:t>
      </w:r>
    </w:p>
    <w:p w14:paraId="58DA00EC">
      <w:pPr>
        <w:spacing w:line="400" w:lineRule="exact"/>
        <w:jc w:val="left"/>
        <w:rPr>
          <w:rFonts w:ascii="宋体" w:hAnsi="宋体"/>
        </w:rPr>
      </w:pPr>
      <w:r>
        <w:rPr>
          <w:rFonts w:hint="eastAsia" w:ascii="宋体" w:hAnsi="宋体" w:cs="宋体"/>
          <w:lang w:bidi="ar"/>
        </w:rPr>
        <w:t>经办银行：</w:t>
      </w:r>
      <w:r>
        <w:rPr>
          <w:rFonts w:ascii="宋体" w:hAnsi="宋体"/>
          <w:bCs/>
          <w:u w:val="single"/>
          <w:lang w:bidi="ar"/>
        </w:rPr>
        <w:t xml:space="preserve">               </w:t>
      </w:r>
      <w:r>
        <w:rPr>
          <w:rFonts w:hint="eastAsia" w:ascii="宋体" w:hAnsi="宋体" w:cs="宋体"/>
          <w:lang w:bidi="ar"/>
        </w:rPr>
        <w:t>（以下简称</w:t>
      </w:r>
      <w:r>
        <w:rPr>
          <w:rFonts w:hint="eastAsia" w:ascii="宋体" w:hAnsi="宋体"/>
          <w:lang w:bidi="ar"/>
        </w:rPr>
        <w:t>“</w:t>
      </w:r>
      <w:r>
        <w:rPr>
          <w:rFonts w:hint="eastAsia" w:ascii="宋体" w:hAnsi="宋体" w:cs="宋体"/>
          <w:lang w:bidi="ar"/>
        </w:rPr>
        <w:t>丙方</w:t>
      </w:r>
      <w:r>
        <w:rPr>
          <w:rFonts w:hint="eastAsia" w:ascii="宋体" w:hAnsi="宋体"/>
          <w:lang w:bidi="ar"/>
        </w:rPr>
        <w:t>”</w:t>
      </w:r>
      <w:r>
        <w:rPr>
          <w:rFonts w:hint="eastAsia" w:ascii="宋体" w:hAnsi="宋体" w:cs="宋体"/>
          <w:lang w:bidi="ar"/>
        </w:rPr>
        <w:t>）</w:t>
      </w:r>
    </w:p>
    <w:p w14:paraId="2AFAA2CB">
      <w:pPr>
        <w:spacing w:line="400" w:lineRule="atLeast"/>
        <w:ind w:firstLine="420" w:firstLineChars="200"/>
        <w:rPr>
          <w:rFonts w:ascii="宋体" w:hAnsi="宋体"/>
        </w:rPr>
      </w:pPr>
      <w:r>
        <w:rPr>
          <w:rFonts w:hint="eastAsia" w:ascii="宋体" w:hAnsi="宋体" w:cs="宋体"/>
          <w:lang w:bidi="ar"/>
        </w:rPr>
        <w:t>为了促进</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的顺利实施，管好用好建设资金，确保工程资金专款专用，同时为承包人提供便捷有效的银行业务服务，根据</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合同条款有关规定，经甲、乙、丙三方协商，达成协议如下：</w:t>
      </w:r>
    </w:p>
    <w:p w14:paraId="4B736328">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资金管理的内容</w:t>
      </w:r>
    </w:p>
    <w:p w14:paraId="38840335">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乙方为完成</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工程成立的项目经理部在丙方开设基本结算户；</w:t>
      </w:r>
    </w:p>
    <w:p w14:paraId="5E5CDC3B">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甲方应按合同规定将工程款（质量保证金除外）汇入乙方在丙方开设的账户；</w:t>
      </w:r>
    </w:p>
    <w:p w14:paraId="6B584101">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乙方应将流动资金及甲方所拨付资金专项用于</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w:t>
      </w:r>
    </w:p>
    <w:p w14:paraId="57E7D89A">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丙方应为乙方提供便捷有效的银行业务服务，并接受甲方委托对乙方在丙方开设的基本结算户资金使用情况进行监督。</w:t>
      </w:r>
    </w:p>
    <w:p w14:paraId="562CFC70">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甲方的权责</w:t>
      </w:r>
    </w:p>
    <w:p w14:paraId="2EA73EAF">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按照</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合同有关条款规定的时间和方式，向乙方支付工程款；</w:t>
      </w:r>
    </w:p>
    <w:p w14:paraId="723A42B5">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在发现乙方将本项目资金挪用、转移时，甲方有权中止工程支付，直至乙方改正为止；同时按次收取违约金</w:t>
      </w:r>
      <w:r>
        <w:rPr>
          <w:rFonts w:ascii="宋体" w:hAnsi="宋体"/>
          <w:u w:val="single"/>
          <w:lang w:bidi="ar"/>
        </w:rPr>
        <w:t xml:space="preserve">     </w:t>
      </w:r>
      <w:r>
        <w:rPr>
          <w:rFonts w:hint="eastAsia" w:ascii="宋体" w:hAnsi="宋体" w:cs="宋体"/>
          <w:lang w:bidi="ar"/>
        </w:rPr>
        <w:t>元。</w:t>
      </w:r>
    </w:p>
    <w:p w14:paraId="11196579">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不定期审查丙方对乙方的资金使用监督情况，如丙方不能履行其责任，甲方有权随时终止本协议；</w:t>
      </w:r>
    </w:p>
    <w:p w14:paraId="3019E62B">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在乙、丙双方发生争议时，甲方应负责协调、解决。</w:t>
      </w:r>
    </w:p>
    <w:p w14:paraId="2E95B388">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乙方的权责</w:t>
      </w:r>
    </w:p>
    <w:p w14:paraId="42535F1B">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项目经理部成立以后，乙方应尽快在丙方开设基本结算户；</w:t>
      </w:r>
    </w:p>
    <w:p w14:paraId="24B31E2A">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确保本项目资金专款专用，不发生挪用、转移资金的现象；保证不通过权益转让、抵押、担保承担债务等任何其他方式使用基本结算户的资金；</w:t>
      </w:r>
    </w:p>
    <w:p w14:paraId="63C04231">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办理材料、设备等采购业务时，应将合同、协议和发票复印件送丙方备案；购买应急材料、设备时可先办理支付手续，但事后必须补备有关资料；</w:t>
      </w:r>
    </w:p>
    <w:p w14:paraId="441FBCA2">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用银行转账支票办理支付款项时，必须将转账支票送交丙方，由丙方负责办理支票转付手续；</w:t>
      </w:r>
    </w:p>
    <w:p w14:paraId="7B9F73A1">
      <w:pPr>
        <w:spacing w:line="400" w:lineRule="atLeast"/>
        <w:ind w:firstLine="420" w:firstLineChars="200"/>
        <w:rPr>
          <w:rFonts w:ascii="宋体" w:hAnsi="宋体"/>
        </w:rPr>
      </w:pPr>
      <w:r>
        <w:rPr>
          <w:rFonts w:ascii="宋体" w:hAnsi="宋体"/>
          <w:lang w:bidi="ar"/>
        </w:rPr>
        <w:t xml:space="preserve">（5） </w:t>
      </w:r>
      <w:r>
        <w:rPr>
          <w:rFonts w:hint="eastAsia" w:ascii="宋体" w:hAnsi="宋体" w:cs="宋体"/>
          <w:lang w:bidi="ar"/>
        </w:rPr>
        <w:t>向项目管理分部支付工程进度款时，应附甲方批准的文件；</w:t>
      </w:r>
    </w:p>
    <w:p w14:paraId="666A24A0">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丙方的权责</w:t>
      </w:r>
    </w:p>
    <w:p w14:paraId="25423A2D">
      <w:pPr>
        <w:spacing w:line="400" w:lineRule="atLeast"/>
        <w:ind w:firstLine="420" w:firstLineChars="200"/>
        <w:rPr>
          <w:rFonts w:ascii="宋体" w:hAnsi="宋体"/>
        </w:rPr>
      </w:pPr>
      <w:r>
        <w:rPr>
          <w:rFonts w:ascii="宋体" w:hAnsi="宋体"/>
          <w:lang w:bidi="ar"/>
        </w:rPr>
        <w:t xml:space="preserve">（1） </w:t>
      </w:r>
      <w:r>
        <w:rPr>
          <w:rFonts w:hint="eastAsia" w:ascii="宋体" w:hAnsi="宋体" w:cs="宋体"/>
          <w:lang w:bidi="ar"/>
        </w:rPr>
        <w:t>成立</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工程资金管理服务小组，明确业务流程，提高工作效率，杜绝</w:t>
      </w:r>
      <w:r>
        <w:rPr>
          <w:rFonts w:hint="eastAsia" w:ascii="宋体" w:hAnsi="宋体"/>
          <w:lang w:bidi="ar"/>
        </w:rPr>
        <w:t>“</w:t>
      </w:r>
      <w:r>
        <w:rPr>
          <w:rFonts w:hint="eastAsia" w:ascii="宋体" w:hAnsi="宋体" w:cs="宋体"/>
          <w:lang w:bidi="ar"/>
        </w:rPr>
        <w:t>压票</w:t>
      </w:r>
      <w:r>
        <w:rPr>
          <w:rFonts w:hint="eastAsia" w:ascii="宋体" w:hAnsi="宋体"/>
          <w:lang w:bidi="ar"/>
        </w:rPr>
        <w:t>”</w:t>
      </w:r>
      <w:r>
        <w:rPr>
          <w:rFonts w:hint="eastAsia" w:ascii="宋体" w:hAnsi="宋体" w:cs="宋体"/>
          <w:lang w:bidi="ar"/>
        </w:rPr>
        <w:t>现象；</w:t>
      </w:r>
    </w:p>
    <w:p w14:paraId="4905F138">
      <w:pPr>
        <w:spacing w:line="400" w:lineRule="atLeast"/>
        <w:ind w:firstLine="420" w:firstLineChars="200"/>
        <w:rPr>
          <w:rFonts w:ascii="宋体" w:hAnsi="宋体"/>
        </w:rPr>
      </w:pPr>
      <w:r>
        <w:rPr>
          <w:rFonts w:ascii="宋体" w:hAnsi="宋体"/>
          <w:lang w:bidi="ar"/>
        </w:rPr>
        <w:t xml:space="preserve">（2） </w:t>
      </w:r>
      <w:r>
        <w:rPr>
          <w:rFonts w:hint="eastAsia" w:ascii="宋体" w:hAnsi="宋体" w:cs="宋体"/>
          <w:lang w:bidi="ar"/>
        </w:rPr>
        <w:t>根据乙方提供的购货合同、协议和发票，检查其所购材料、设备是否用于</w:t>
      </w:r>
      <w:r>
        <w:rPr>
          <w:rFonts w:ascii="宋体" w:hAnsi="宋体"/>
          <w:u w:val="single"/>
          <w:lang w:bidi="ar"/>
        </w:rPr>
        <w:t>（</w:t>
      </w:r>
      <w:r>
        <w:rPr>
          <w:rFonts w:hint="eastAsia" w:ascii="宋体" w:hAnsi="宋体" w:cs="宋体"/>
          <w:u w:val="single"/>
          <w:lang w:bidi="ar"/>
        </w:rPr>
        <w:t>项目名称</w:t>
      </w:r>
      <w:r>
        <w:rPr>
          <w:rFonts w:ascii="宋体" w:hAnsi="宋体"/>
          <w:u w:val="single"/>
          <w:lang w:bidi="ar"/>
        </w:rPr>
        <w:t>）</w:t>
      </w:r>
      <w:r>
        <w:rPr>
          <w:rFonts w:hint="eastAsia" w:ascii="宋体" w:hAnsi="宋体" w:cs="宋体"/>
          <w:u w:val="single"/>
          <w:lang w:bidi="ar"/>
        </w:rPr>
        <w:t>（标段名称）</w:t>
      </w:r>
      <w:r>
        <w:rPr>
          <w:rFonts w:hint="eastAsia" w:ascii="宋体" w:hAnsi="宋体" w:cs="宋体"/>
          <w:lang w:bidi="ar"/>
        </w:rPr>
        <w:t>工程建设，对本标段以外的购货款项，有权拒绝办理，并及时报告甲方；</w:t>
      </w:r>
    </w:p>
    <w:p w14:paraId="4B92CC7B">
      <w:pPr>
        <w:spacing w:line="400" w:lineRule="atLeast"/>
        <w:ind w:firstLine="420" w:firstLineChars="200"/>
        <w:rPr>
          <w:rFonts w:ascii="宋体" w:hAnsi="宋体"/>
        </w:rPr>
      </w:pPr>
      <w:r>
        <w:rPr>
          <w:rFonts w:ascii="宋体" w:hAnsi="宋体"/>
          <w:lang w:bidi="ar"/>
        </w:rPr>
        <w:t xml:space="preserve">（3） </w:t>
      </w:r>
      <w:r>
        <w:rPr>
          <w:rFonts w:hint="eastAsia" w:ascii="宋体" w:hAnsi="宋体" w:cs="宋体"/>
          <w:lang w:bidi="ar"/>
        </w:rPr>
        <w:t>根据乙方与分包单位签订的合同及支付文件，检查其支付款项是否符合有关条件，向分包单位以外单位的支付有权拒绝办理，并及时报告甲方；</w:t>
      </w:r>
    </w:p>
    <w:p w14:paraId="397D1BA7">
      <w:pPr>
        <w:spacing w:line="400" w:lineRule="atLeast"/>
        <w:ind w:firstLine="420" w:firstLineChars="200"/>
        <w:rPr>
          <w:rFonts w:ascii="宋体" w:hAnsi="宋体"/>
        </w:rPr>
      </w:pPr>
      <w:r>
        <w:rPr>
          <w:rFonts w:ascii="宋体" w:hAnsi="宋体"/>
          <w:lang w:bidi="ar"/>
        </w:rPr>
        <w:t xml:space="preserve">（4） </w:t>
      </w:r>
      <w:r>
        <w:rPr>
          <w:rFonts w:hint="eastAsia" w:ascii="宋体" w:hAnsi="宋体" w:cs="宋体"/>
          <w:lang w:bidi="ar"/>
        </w:rPr>
        <w:t>根据乙方提供的上级单位出具的转账通知等有关资料，办理管理费、机械设备及周转材料租赁摊销费等款项的支付；对超出转账通知等有关资料以外的支付，有权拒绝办理，并及时报告甲方；</w:t>
      </w:r>
    </w:p>
    <w:p w14:paraId="46B3597A">
      <w:pPr>
        <w:spacing w:line="400" w:lineRule="atLeast"/>
        <w:ind w:firstLine="420" w:firstLineChars="200"/>
        <w:rPr>
          <w:rFonts w:ascii="宋体" w:hAnsi="宋体"/>
        </w:rPr>
      </w:pPr>
      <w:r>
        <w:rPr>
          <w:rFonts w:ascii="宋体" w:hAnsi="宋体"/>
          <w:lang w:bidi="ar"/>
        </w:rPr>
        <w:t xml:space="preserve">（5） </w:t>
      </w:r>
      <w:r>
        <w:rPr>
          <w:rFonts w:hint="eastAsia" w:ascii="宋体" w:hAnsi="宋体" w:cs="宋体"/>
          <w:lang w:bidi="ar"/>
        </w:rPr>
        <w:t>定期将乙方前一个周期的支付情况，整理后书面报送甲方；乙方复印备案的材料一并送甲方。</w:t>
      </w:r>
    </w:p>
    <w:p w14:paraId="34B950AB">
      <w:pPr>
        <w:spacing w:line="400" w:lineRule="atLeast"/>
        <w:ind w:firstLine="420" w:firstLineChars="200"/>
        <w:rPr>
          <w:rFonts w:ascii="宋体" w:hAnsi="宋体"/>
        </w:rPr>
      </w:pPr>
      <w:r>
        <w:rPr>
          <w:rFonts w:ascii="宋体" w:hAnsi="宋体"/>
          <w:lang w:bidi="ar"/>
        </w:rPr>
        <w:t xml:space="preserve">5. </w:t>
      </w:r>
      <w:r>
        <w:rPr>
          <w:rFonts w:hint="eastAsia" w:ascii="宋体" w:hAnsi="宋体" w:cs="宋体"/>
          <w:lang w:bidi="ar"/>
        </w:rPr>
        <w:t>甲、乙、丙三方都应履行保密责任，不得将其他两方的业务情况透露给三方以外的其他单位或个人。</w:t>
      </w:r>
    </w:p>
    <w:p w14:paraId="0B123CB5">
      <w:pPr>
        <w:spacing w:line="400" w:lineRule="atLeast"/>
        <w:ind w:firstLine="420" w:firstLineChars="200"/>
        <w:rPr>
          <w:rFonts w:ascii="宋体" w:hAnsi="宋体"/>
        </w:rPr>
      </w:pPr>
      <w:r>
        <w:rPr>
          <w:rFonts w:ascii="宋体" w:hAnsi="宋体"/>
          <w:lang w:bidi="ar"/>
        </w:rPr>
        <w:t xml:space="preserve">6. </w:t>
      </w:r>
      <w:r>
        <w:rPr>
          <w:rFonts w:hint="eastAsia" w:ascii="宋体" w:hAnsi="宋体" w:cs="宋体"/>
          <w:lang w:bidi="ar"/>
        </w:rPr>
        <w:t>本协议有效期自乙方在丙方开户起，至工程交工验收甲方向乙方颁发交工验收证书后结束。</w:t>
      </w:r>
    </w:p>
    <w:p w14:paraId="0988808B">
      <w:pPr>
        <w:spacing w:line="400" w:lineRule="atLeast"/>
        <w:ind w:firstLine="420" w:firstLineChars="200"/>
        <w:rPr>
          <w:rFonts w:ascii="宋体" w:hAnsi="宋体"/>
        </w:rPr>
      </w:pPr>
      <w:r>
        <w:rPr>
          <w:rFonts w:ascii="宋体" w:hAnsi="宋体"/>
          <w:lang w:bidi="ar"/>
        </w:rPr>
        <w:t xml:space="preserve">7. </w:t>
      </w:r>
      <w:r>
        <w:rPr>
          <w:rFonts w:hint="eastAsia" w:ascii="宋体" w:hAnsi="宋体" w:cs="宋体"/>
          <w:lang w:bidi="ar"/>
        </w:rPr>
        <w:t>本协议未尽事宜，由甲方牵头，三方协商解决。</w:t>
      </w:r>
    </w:p>
    <w:p w14:paraId="008C76AD">
      <w:pPr>
        <w:spacing w:line="400" w:lineRule="atLeast"/>
        <w:ind w:firstLine="420" w:firstLineChars="200"/>
        <w:rPr>
          <w:rFonts w:ascii="宋体" w:hAnsi="宋体"/>
        </w:rPr>
      </w:pPr>
      <w:r>
        <w:rPr>
          <w:rFonts w:ascii="宋体" w:hAnsi="宋体"/>
          <w:lang w:bidi="ar"/>
        </w:rPr>
        <w:t xml:space="preserve">8. </w:t>
      </w:r>
      <w:r>
        <w:rPr>
          <w:rFonts w:hint="eastAsia" w:ascii="宋体" w:hAnsi="宋体" w:cs="宋体"/>
          <w:lang w:bidi="ar"/>
        </w:rPr>
        <w:t>本协议正本三份、副本</w:t>
      </w:r>
      <w:r>
        <w:rPr>
          <w:rFonts w:ascii="宋体" w:hAnsi="宋体"/>
          <w:u w:val="single"/>
          <w:lang w:bidi="ar"/>
        </w:rPr>
        <w:t xml:space="preserve">  </w:t>
      </w:r>
      <w:r>
        <w:rPr>
          <w:rFonts w:hint="eastAsia" w:ascii="宋体" w:hAnsi="宋体" w:cs="宋体"/>
          <w:lang w:bidi="ar"/>
        </w:rPr>
        <w:t>份。合同三方各执正本一份、副本</w:t>
      </w:r>
      <w:r>
        <w:rPr>
          <w:rFonts w:ascii="宋体" w:hAnsi="宋体"/>
          <w:u w:val="single"/>
          <w:lang w:bidi="ar"/>
        </w:rPr>
        <w:t xml:space="preserve">  </w:t>
      </w:r>
      <w:r>
        <w:rPr>
          <w:rFonts w:hint="eastAsia" w:ascii="宋体" w:hAnsi="宋体" w:cs="宋体"/>
          <w:lang w:bidi="ar"/>
        </w:rPr>
        <w:t>份，当正本与副本内容不一致时，以正本为准。</w:t>
      </w:r>
    </w:p>
    <w:p w14:paraId="22159496">
      <w:pPr>
        <w:spacing w:line="400" w:lineRule="exact"/>
        <w:rPr>
          <w:rFonts w:hint="eastAsia" w:ascii="宋体" w:hAnsi="宋体" w:cs="宋体"/>
          <w:lang w:bidi="ar"/>
        </w:rPr>
      </w:pPr>
    </w:p>
    <w:p w14:paraId="7D522089">
      <w:pPr>
        <w:spacing w:line="400" w:lineRule="exact"/>
        <w:rPr>
          <w:rFonts w:ascii="宋体" w:hAnsi="宋体"/>
        </w:rPr>
      </w:pPr>
      <w:r>
        <w:rPr>
          <w:rFonts w:hint="eastAsia" w:ascii="宋体" w:hAnsi="宋体" w:cs="宋体"/>
          <w:lang w:bidi="ar"/>
        </w:rPr>
        <w:t>发包人：</w:t>
      </w:r>
      <w:r>
        <w:rPr>
          <w:rFonts w:ascii="宋体" w:hAnsi="宋体"/>
          <w:u w:val="single"/>
          <w:lang w:bidi="ar"/>
        </w:rPr>
        <w:t xml:space="preserve">               </w:t>
      </w:r>
      <w:r>
        <w:rPr>
          <w:rFonts w:ascii="宋体" w:hAnsi="宋体"/>
          <w:lang w:bidi="ar"/>
        </w:rPr>
        <w:t>（</w:t>
      </w:r>
      <w:r>
        <w:rPr>
          <w:rFonts w:hint="eastAsia" w:ascii="宋体" w:hAnsi="宋体" w:cs="宋体"/>
          <w:lang w:bidi="ar"/>
        </w:rPr>
        <w:t>盖单位章</w:t>
      </w:r>
      <w:r>
        <w:rPr>
          <w:rFonts w:ascii="宋体" w:hAnsi="宋体"/>
          <w:lang w:bidi="ar"/>
        </w:rPr>
        <w:t xml:space="preserve">）    </w:t>
      </w:r>
    </w:p>
    <w:p w14:paraId="587CCBC3">
      <w:pPr>
        <w:spacing w:line="400" w:lineRule="exact"/>
        <w:rPr>
          <w:rFonts w:ascii="宋体" w:hAnsi="宋体"/>
        </w:rPr>
      </w:pPr>
      <w:r>
        <w:rPr>
          <w:rFonts w:hint="eastAsia" w:ascii="宋体" w:hAnsi="宋体" w:cs="宋体"/>
          <w:lang w:bidi="ar"/>
        </w:rPr>
        <w:t>法定代表人或其委托代理人：</w:t>
      </w:r>
      <w:r>
        <w:rPr>
          <w:rFonts w:ascii="宋体" w:hAnsi="宋体"/>
          <w:u w:val="single"/>
          <w:lang w:bidi="ar"/>
        </w:rPr>
        <w:t xml:space="preserve">    （</w:t>
      </w:r>
      <w:r>
        <w:rPr>
          <w:rFonts w:hint="eastAsia" w:ascii="宋体" w:hAnsi="宋体" w:cs="宋体"/>
          <w:lang w:bidi="ar"/>
        </w:rPr>
        <w:t>签名</w:t>
      </w:r>
      <w:r>
        <w:rPr>
          <w:rFonts w:ascii="宋体" w:hAnsi="宋体"/>
          <w:lang w:bidi="ar"/>
        </w:rPr>
        <w:t xml:space="preserve">）  </w:t>
      </w:r>
    </w:p>
    <w:p w14:paraId="3B626DF5">
      <w:pPr>
        <w:spacing w:line="400" w:lineRule="exact"/>
        <w:rPr>
          <w:rFonts w:ascii="宋体" w:hAnsi="宋体"/>
          <w:bCs/>
          <w:sz w:val="36"/>
        </w:rPr>
      </w:pP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lang w:bidi="ar"/>
        </w:rPr>
        <w:t xml:space="preserve"> </w:t>
      </w:r>
      <w:r>
        <w:rPr>
          <w:rFonts w:ascii="宋体" w:hAnsi="宋体"/>
          <w:u w:val="single"/>
          <w:lang w:bidi="ar"/>
        </w:rPr>
        <w:t xml:space="preserve">    </w:t>
      </w:r>
      <w:r>
        <w:rPr>
          <w:rFonts w:ascii="宋体" w:hAnsi="宋体"/>
          <w:lang w:bidi="ar"/>
        </w:rPr>
        <w:t xml:space="preserve"> </w:t>
      </w:r>
      <w:r>
        <w:rPr>
          <w:rFonts w:hint="eastAsia" w:ascii="宋体" w:hAnsi="宋体" w:cs="宋体"/>
          <w:lang w:bidi="ar"/>
        </w:rPr>
        <w:t>日</w:t>
      </w:r>
      <w:r>
        <w:rPr>
          <w:rFonts w:ascii="宋体" w:hAnsi="宋体"/>
          <w:lang w:bidi="ar"/>
        </w:rPr>
        <w:t xml:space="preserve">    </w:t>
      </w:r>
    </w:p>
    <w:p w14:paraId="638FAEBD">
      <w:pPr>
        <w:spacing w:line="400" w:lineRule="exact"/>
        <w:rPr>
          <w:rFonts w:ascii="宋体" w:hAnsi="宋体"/>
        </w:rPr>
      </w:pPr>
    </w:p>
    <w:p w14:paraId="69F8B588">
      <w:pPr>
        <w:spacing w:line="400" w:lineRule="exact"/>
        <w:rPr>
          <w:rFonts w:ascii="宋体" w:hAnsi="宋体"/>
        </w:rPr>
      </w:pPr>
      <w:r>
        <w:rPr>
          <w:rFonts w:hint="eastAsia" w:ascii="宋体" w:hAnsi="宋体" w:cs="宋体"/>
          <w:lang w:bidi="ar"/>
        </w:rPr>
        <w:t>承包人：</w:t>
      </w:r>
      <w:r>
        <w:rPr>
          <w:rFonts w:ascii="宋体" w:hAnsi="宋体"/>
          <w:u w:val="single"/>
          <w:lang w:bidi="ar"/>
        </w:rPr>
        <w:t xml:space="preserve">               </w:t>
      </w:r>
      <w:r>
        <w:rPr>
          <w:rFonts w:ascii="宋体" w:hAnsi="宋体"/>
          <w:lang w:bidi="ar"/>
        </w:rPr>
        <w:t>（</w:t>
      </w:r>
      <w:r>
        <w:rPr>
          <w:rFonts w:hint="eastAsia" w:ascii="宋体" w:hAnsi="宋体" w:cs="宋体"/>
          <w:lang w:bidi="ar"/>
        </w:rPr>
        <w:t>盖单位章</w:t>
      </w:r>
      <w:r>
        <w:rPr>
          <w:rFonts w:ascii="宋体" w:hAnsi="宋体"/>
          <w:lang w:bidi="ar"/>
        </w:rPr>
        <w:t xml:space="preserve">）    </w:t>
      </w:r>
    </w:p>
    <w:p w14:paraId="164CC5FC">
      <w:pPr>
        <w:spacing w:line="400" w:lineRule="exact"/>
        <w:rPr>
          <w:rFonts w:ascii="宋体" w:hAnsi="宋体"/>
        </w:rPr>
      </w:pPr>
      <w:r>
        <w:rPr>
          <w:rFonts w:hint="eastAsia" w:ascii="宋体" w:hAnsi="宋体" w:cs="宋体"/>
          <w:lang w:bidi="ar"/>
        </w:rPr>
        <w:t>法定代表人或其委托代理人：</w:t>
      </w:r>
      <w:r>
        <w:rPr>
          <w:rFonts w:ascii="宋体" w:hAnsi="宋体"/>
          <w:u w:val="single"/>
          <w:lang w:bidi="ar"/>
        </w:rPr>
        <w:t xml:space="preserve">    （</w:t>
      </w:r>
      <w:r>
        <w:rPr>
          <w:rFonts w:hint="eastAsia" w:ascii="宋体" w:hAnsi="宋体" w:cs="宋体"/>
          <w:lang w:bidi="ar"/>
        </w:rPr>
        <w:t>签名</w:t>
      </w:r>
      <w:r>
        <w:rPr>
          <w:rFonts w:ascii="宋体" w:hAnsi="宋体"/>
          <w:lang w:bidi="ar"/>
        </w:rPr>
        <w:t xml:space="preserve">）  </w:t>
      </w:r>
    </w:p>
    <w:p w14:paraId="6A774806">
      <w:pPr>
        <w:spacing w:line="400" w:lineRule="exact"/>
        <w:rPr>
          <w:rFonts w:ascii="宋体" w:hAnsi="宋体"/>
          <w:bCs/>
          <w:sz w:val="36"/>
        </w:rPr>
      </w:pP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lang w:bidi="ar"/>
        </w:rPr>
        <w:t xml:space="preserve"> </w:t>
      </w:r>
      <w:r>
        <w:rPr>
          <w:rFonts w:ascii="宋体" w:hAnsi="宋体"/>
          <w:u w:val="single"/>
          <w:lang w:bidi="ar"/>
        </w:rPr>
        <w:t xml:space="preserve">    </w:t>
      </w:r>
      <w:r>
        <w:rPr>
          <w:rFonts w:ascii="宋体" w:hAnsi="宋体"/>
          <w:lang w:bidi="ar"/>
        </w:rPr>
        <w:t xml:space="preserve"> </w:t>
      </w:r>
      <w:r>
        <w:rPr>
          <w:rFonts w:hint="eastAsia" w:ascii="宋体" w:hAnsi="宋体" w:cs="宋体"/>
          <w:lang w:bidi="ar"/>
        </w:rPr>
        <w:t>日</w:t>
      </w:r>
      <w:r>
        <w:rPr>
          <w:rFonts w:ascii="宋体" w:hAnsi="宋体"/>
          <w:lang w:bidi="ar"/>
        </w:rPr>
        <w:t xml:space="preserve">    </w:t>
      </w:r>
    </w:p>
    <w:p w14:paraId="0868BB56">
      <w:pPr>
        <w:spacing w:line="400" w:lineRule="exact"/>
        <w:rPr>
          <w:rFonts w:ascii="宋体" w:hAnsi="宋体"/>
        </w:rPr>
      </w:pPr>
    </w:p>
    <w:p w14:paraId="730F4079">
      <w:pPr>
        <w:spacing w:line="400" w:lineRule="exact"/>
        <w:rPr>
          <w:rFonts w:ascii="宋体" w:hAnsi="宋体"/>
        </w:rPr>
      </w:pPr>
      <w:r>
        <w:rPr>
          <w:rFonts w:hint="eastAsia" w:ascii="宋体" w:hAnsi="宋体" w:cs="宋体"/>
          <w:lang w:bidi="ar"/>
        </w:rPr>
        <w:t>经办银行：</w:t>
      </w:r>
      <w:r>
        <w:rPr>
          <w:rFonts w:ascii="宋体" w:hAnsi="宋体"/>
          <w:u w:val="single"/>
          <w:lang w:bidi="ar"/>
        </w:rPr>
        <w:t xml:space="preserve">               </w:t>
      </w:r>
      <w:r>
        <w:rPr>
          <w:rFonts w:ascii="宋体" w:hAnsi="宋体"/>
          <w:lang w:bidi="ar"/>
        </w:rPr>
        <w:t>（</w:t>
      </w:r>
      <w:r>
        <w:rPr>
          <w:rFonts w:hint="eastAsia" w:ascii="宋体" w:hAnsi="宋体" w:cs="宋体"/>
          <w:lang w:bidi="ar"/>
        </w:rPr>
        <w:t>盖单位章</w:t>
      </w:r>
      <w:r>
        <w:rPr>
          <w:rFonts w:ascii="宋体" w:hAnsi="宋体"/>
          <w:lang w:bidi="ar"/>
        </w:rPr>
        <w:t xml:space="preserve">）    </w:t>
      </w:r>
    </w:p>
    <w:p w14:paraId="6BEE476B">
      <w:pPr>
        <w:spacing w:line="400" w:lineRule="exact"/>
        <w:rPr>
          <w:rFonts w:ascii="宋体" w:hAnsi="宋体"/>
        </w:rPr>
      </w:pPr>
      <w:r>
        <w:rPr>
          <w:rFonts w:hint="eastAsia" w:ascii="宋体" w:hAnsi="宋体" w:cs="宋体"/>
          <w:lang w:bidi="ar"/>
        </w:rPr>
        <w:t>法定代表人或其委托代理人：</w:t>
      </w:r>
      <w:r>
        <w:rPr>
          <w:rFonts w:ascii="宋体" w:hAnsi="宋体"/>
          <w:u w:val="single"/>
          <w:lang w:bidi="ar"/>
        </w:rPr>
        <w:t xml:space="preserve">    （</w:t>
      </w:r>
      <w:r>
        <w:rPr>
          <w:rFonts w:hint="eastAsia" w:ascii="宋体" w:hAnsi="宋体" w:cs="宋体"/>
          <w:lang w:bidi="ar"/>
        </w:rPr>
        <w:t>签名</w:t>
      </w:r>
      <w:r>
        <w:rPr>
          <w:rFonts w:ascii="宋体" w:hAnsi="宋体"/>
          <w:lang w:bidi="ar"/>
        </w:rPr>
        <w:t xml:space="preserve">）  </w:t>
      </w:r>
    </w:p>
    <w:p w14:paraId="527D0965">
      <w:pPr>
        <w:spacing w:line="400" w:lineRule="exact"/>
        <w:rPr>
          <w:rFonts w:ascii="宋体" w:hAnsi="宋体"/>
          <w:lang w:bidi="ar"/>
        </w:rPr>
      </w:pPr>
      <w:r>
        <w:rPr>
          <w:rFonts w:ascii="宋体" w:hAnsi="宋体"/>
          <w:u w:val="single"/>
          <w:lang w:bidi="ar"/>
        </w:rPr>
        <w:t xml:space="preserve">         </w:t>
      </w:r>
      <w:r>
        <w:rPr>
          <w:rFonts w:hint="eastAsia" w:ascii="宋体" w:hAnsi="宋体" w:cs="宋体"/>
          <w:lang w:bidi="ar"/>
        </w:rPr>
        <w:t>年</w:t>
      </w:r>
      <w:r>
        <w:rPr>
          <w:rFonts w:ascii="宋体" w:hAnsi="宋体"/>
          <w:u w:val="single"/>
          <w:lang w:bidi="ar"/>
        </w:rPr>
        <w:t xml:space="preserve">       </w:t>
      </w:r>
      <w:r>
        <w:rPr>
          <w:rFonts w:hint="eastAsia" w:ascii="宋体" w:hAnsi="宋体" w:cs="宋体"/>
          <w:lang w:bidi="ar"/>
        </w:rPr>
        <w:t>月</w:t>
      </w:r>
      <w:r>
        <w:rPr>
          <w:rFonts w:ascii="宋体" w:hAnsi="宋体"/>
          <w:lang w:bidi="ar"/>
        </w:rPr>
        <w:t xml:space="preserve"> </w:t>
      </w:r>
      <w:r>
        <w:rPr>
          <w:rFonts w:ascii="宋体" w:hAnsi="宋体"/>
          <w:u w:val="single"/>
          <w:lang w:bidi="ar"/>
        </w:rPr>
        <w:t xml:space="preserve">    </w:t>
      </w:r>
      <w:r>
        <w:rPr>
          <w:rFonts w:ascii="宋体" w:hAnsi="宋体"/>
          <w:lang w:bidi="ar"/>
        </w:rPr>
        <w:t xml:space="preserve"> </w:t>
      </w:r>
      <w:r>
        <w:rPr>
          <w:rFonts w:hint="eastAsia" w:ascii="宋体" w:hAnsi="宋体" w:cs="宋体"/>
          <w:lang w:bidi="ar"/>
        </w:rPr>
        <w:t>日</w:t>
      </w:r>
      <w:r>
        <w:rPr>
          <w:rFonts w:ascii="宋体" w:hAnsi="宋体"/>
          <w:lang w:bidi="ar"/>
        </w:rPr>
        <w:t xml:space="preserve">    </w:t>
      </w:r>
    </w:p>
    <w:p w14:paraId="4D2815D3">
      <w:pPr>
        <w:rPr>
          <w:rFonts w:ascii="宋体" w:hAnsi="宋体"/>
          <w:lang w:bidi="ar"/>
        </w:rPr>
      </w:pPr>
      <w:r>
        <w:rPr>
          <w:rFonts w:ascii="宋体" w:hAnsi="宋体"/>
          <w:lang w:bidi="ar"/>
        </w:rPr>
        <w:br w:type="page"/>
      </w:r>
    </w:p>
    <w:p w14:paraId="1443F6F6">
      <w:pPr>
        <w:spacing w:line="600" w:lineRule="exact"/>
        <w:jc w:val="center"/>
        <w:outlineLvl w:val="2"/>
        <w:rPr>
          <w:rFonts w:hint="eastAsia" w:ascii="宋体" w:hAnsi="宋体" w:cs="黑体"/>
          <w:sz w:val="32"/>
          <w:szCs w:val="32"/>
          <w:lang w:bidi="ar"/>
        </w:rPr>
      </w:pPr>
      <w:bookmarkStart w:id="790" w:name="_Toc19216"/>
      <w:bookmarkStart w:id="791" w:name="_Toc29028"/>
      <w:r>
        <w:rPr>
          <w:rFonts w:hint="eastAsia" w:ascii="宋体" w:hAnsi="宋体" w:cs="黑体"/>
          <w:sz w:val="32"/>
          <w:szCs w:val="32"/>
          <w:lang w:bidi="ar"/>
        </w:rPr>
        <w:t>附件十 低价风险担保保函示范文本（独立保函）（如有）</w:t>
      </w:r>
      <w:bookmarkEnd w:id="790"/>
      <w:bookmarkEnd w:id="791"/>
    </w:p>
    <w:p w14:paraId="61DC65A9">
      <w:pPr>
        <w:spacing w:line="360" w:lineRule="auto"/>
        <w:jc w:val="center"/>
        <w:rPr>
          <w:rFonts w:hint="eastAsia" w:ascii="宋体" w:hAnsi="宋体" w:cs="宋体"/>
          <w:b/>
          <w:bCs/>
          <w:szCs w:val="21"/>
        </w:rPr>
      </w:pPr>
    </w:p>
    <w:p w14:paraId="7F82F84C">
      <w:pPr>
        <w:spacing w:line="360" w:lineRule="auto"/>
        <w:jc w:val="center"/>
        <w:rPr>
          <w:rFonts w:hint="eastAsia" w:ascii="宋体" w:hAnsi="宋体" w:cs="宋体"/>
          <w:szCs w:val="21"/>
        </w:rPr>
      </w:pPr>
      <w:r>
        <w:rPr>
          <w:rFonts w:hint="eastAsia" w:ascii="宋体" w:hAnsi="宋体" w:cs="宋体"/>
          <w:szCs w:val="21"/>
        </w:rPr>
        <w:t>低价风险担保保函示范文本</w:t>
      </w:r>
    </w:p>
    <w:p w14:paraId="2304C204">
      <w:pPr>
        <w:spacing w:line="360" w:lineRule="auto"/>
        <w:jc w:val="center"/>
        <w:rPr>
          <w:rFonts w:hint="eastAsia" w:ascii="宋体" w:hAnsi="宋体" w:cs="宋体"/>
          <w:szCs w:val="21"/>
        </w:rPr>
      </w:pPr>
      <w:r>
        <w:rPr>
          <w:rFonts w:hint="eastAsia" w:ascii="宋体" w:hAnsi="宋体" w:cs="宋体"/>
          <w:szCs w:val="21"/>
        </w:rPr>
        <w:t>（独立保函）</w:t>
      </w:r>
    </w:p>
    <w:p w14:paraId="76996428">
      <w:pPr>
        <w:wordWrap w:val="0"/>
        <w:spacing w:line="360" w:lineRule="auto"/>
        <w:jc w:val="right"/>
        <w:rPr>
          <w:rFonts w:hint="eastAsia" w:ascii="宋体" w:hAnsi="宋体" w:cs="宋体"/>
          <w:szCs w:val="21"/>
        </w:rPr>
      </w:pPr>
      <w:r>
        <w:rPr>
          <w:rFonts w:hint="eastAsia" w:ascii="宋体" w:hAnsi="宋体" w:cs="宋体"/>
          <w:szCs w:val="21"/>
        </w:rPr>
        <w:t xml:space="preserve">编号：           </w:t>
      </w:r>
    </w:p>
    <w:p w14:paraId="54A67694">
      <w:pPr>
        <w:spacing w:line="360" w:lineRule="auto"/>
        <w:ind w:firstLine="420" w:firstLineChars="200"/>
        <w:rPr>
          <w:rFonts w:hint="eastAsia" w:ascii="宋体" w:hAnsi="宋体" w:cs="宋体"/>
          <w:szCs w:val="21"/>
        </w:rPr>
      </w:pPr>
      <w:r>
        <w:rPr>
          <w:rFonts w:hint="eastAsia" w:ascii="宋体" w:hAnsi="宋体" w:cs="宋体"/>
          <w:szCs w:val="21"/>
        </w:rPr>
        <w:t>申请人：</w:t>
      </w:r>
    </w:p>
    <w:p w14:paraId="53A84ABD">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14:paraId="2ECBE81F">
      <w:pPr>
        <w:spacing w:line="360" w:lineRule="auto"/>
        <w:ind w:firstLine="420" w:firstLineChars="200"/>
        <w:rPr>
          <w:rFonts w:hint="eastAsia" w:ascii="宋体" w:hAnsi="宋体" w:cs="宋体"/>
          <w:szCs w:val="21"/>
        </w:rPr>
      </w:pPr>
      <w:r>
        <w:rPr>
          <w:rFonts w:hint="eastAsia" w:ascii="宋体" w:hAnsi="宋体" w:cs="宋体"/>
          <w:szCs w:val="21"/>
        </w:rPr>
        <w:t>受益人：</w:t>
      </w:r>
    </w:p>
    <w:p w14:paraId="122CD55D">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14:paraId="27AFB124">
      <w:pPr>
        <w:spacing w:line="360" w:lineRule="auto"/>
        <w:ind w:firstLine="420" w:firstLineChars="200"/>
        <w:rPr>
          <w:rFonts w:hint="eastAsia" w:ascii="宋体" w:hAnsi="宋体" w:cs="宋体"/>
          <w:szCs w:val="21"/>
        </w:rPr>
      </w:pPr>
      <w:r>
        <w:rPr>
          <w:rFonts w:hint="eastAsia" w:ascii="宋体" w:hAnsi="宋体" w:cs="宋体"/>
          <w:szCs w:val="21"/>
        </w:rPr>
        <w:t>开立人：</w:t>
      </w:r>
    </w:p>
    <w:p w14:paraId="29E409AE">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14:paraId="2656E378">
      <w:pPr>
        <w:spacing w:line="360" w:lineRule="auto"/>
        <w:ind w:firstLine="420" w:firstLineChars="200"/>
        <w:rPr>
          <w:rFonts w:hint="eastAsia" w:ascii="宋体" w:hAnsi="宋体" w:cs="宋体"/>
          <w:szCs w:val="21"/>
        </w:rPr>
      </w:pPr>
      <w:r>
        <w:rPr>
          <w:rFonts w:hint="eastAsia" w:ascii="宋体" w:hAnsi="宋体" w:cs="宋体"/>
          <w:szCs w:val="21"/>
        </w:rPr>
        <w:t xml:space="preserve"> </w:t>
      </w:r>
    </w:p>
    <w:p w14:paraId="04A498F8">
      <w:pPr>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 xml:space="preserve">（受益人名称）： </w:t>
      </w:r>
    </w:p>
    <w:p w14:paraId="3C62D97D">
      <w:pPr>
        <w:pStyle w:val="2"/>
        <w:spacing w:line="360" w:lineRule="auto"/>
        <w:ind w:firstLine="420" w:firstLineChars="200"/>
        <w:rPr>
          <w:rFonts w:hint="eastAsia"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 xml:space="preserve">（以下简称“申请人”）于 </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日参加</w:t>
      </w:r>
      <w:r>
        <w:rPr>
          <w:rFonts w:hint="eastAsia" w:ascii="宋体" w:hAnsi="宋体" w:cs="宋体"/>
          <w:szCs w:val="21"/>
          <w:u w:val="single"/>
        </w:rPr>
        <w:t xml:space="preserve">            </w:t>
      </w:r>
      <w:r>
        <w:rPr>
          <w:rFonts w:hint="eastAsia" w:ascii="宋体" w:hAnsi="宋体" w:cs="宋体"/>
          <w:szCs w:val="21"/>
        </w:rPr>
        <w:t>（以下简称“受益人”）的</w:t>
      </w:r>
      <w:r>
        <w:rPr>
          <w:rFonts w:hint="eastAsia" w:ascii="宋体" w:hAnsi="宋体" w:cs="宋体"/>
          <w:szCs w:val="21"/>
          <w:u w:val="single"/>
        </w:rPr>
        <w:t xml:space="preserve">         </w:t>
      </w:r>
      <w:r>
        <w:rPr>
          <w:rFonts w:hint="eastAsia" w:ascii="宋体" w:hAnsi="宋体" w:cs="宋体"/>
          <w:szCs w:val="21"/>
        </w:rPr>
        <w:t>（项目名称）的投标，收到受益人于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发的中标通知书，成为该项目的中标人。基于申请人的请求，我方同意就申请人履行该项目中标通知书、招标文件和投标文件约定的义务，向贵方提供不可撤销、不可转让的见索即付独立保函（以下简称“本保函”）。</w:t>
      </w:r>
    </w:p>
    <w:p w14:paraId="157E5629">
      <w:pPr>
        <w:pStyle w:val="2"/>
        <w:numPr>
          <w:ilvl w:val="0"/>
          <w:numId w:val="3"/>
        </w:numPr>
        <w:spacing w:line="360" w:lineRule="auto"/>
        <w:ind w:firstLine="420" w:firstLineChars="200"/>
        <w:rPr>
          <w:rFonts w:hint="eastAsia" w:ascii="宋体" w:hAnsi="宋体" w:cs="宋体"/>
          <w:szCs w:val="21"/>
        </w:rPr>
      </w:pPr>
      <w:r>
        <w:rPr>
          <w:rFonts w:hint="eastAsia" w:ascii="宋体" w:hAnsi="宋体" w:cs="宋体"/>
          <w:szCs w:val="21"/>
        </w:rPr>
        <w:t>本保函担保范围：申请人未按照中标通知书、招标文件和投标文件约定签订合同或未按签订的合同约定履行相关义务，应当向贵方承担的违约责任和赔偿因此造成的损失、利息、律师费、诉讼费用等实现债权的费用。</w:t>
      </w:r>
    </w:p>
    <w:p w14:paraId="50D95E23">
      <w:pPr>
        <w:spacing w:line="360" w:lineRule="auto"/>
        <w:ind w:firstLine="420" w:firstLineChars="200"/>
        <w:rPr>
          <w:rFonts w:hint="eastAsia" w:ascii="宋体" w:hAnsi="宋体" w:cs="宋体"/>
          <w:szCs w:val="21"/>
        </w:rPr>
      </w:pPr>
      <w:r>
        <w:rPr>
          <w:rFonts w:hint="eastAsia" w:ascii="宋体" w:hAnsi="宋体" w:cs="宋体"/>
          <w:szCs w:val="21"/>
        </w:rPr>
        <w:t>二、本保函担保金额最高不超过人民币（大写）</w:t>
      </w:r>
      <w:r>
        <w:rPr>
          <w:rFonts w:hint="eastAsia" w:ascii="宋体" w:hAnsi="宋体" w:cs="宋体"/>
          <w:szCs w:val="21"/>
          <w:u w:val="single"/>
        </w:rPr>
        <w:t xml:space="preserve">          </w:t>
      </w:r>
      <w:r>
        <w:rPr>
          <w:rFonts w:hint="eastAsia" w:ascii="宋体" w:hAnsi="宋体" w:cs="宋体"/>
          <w:szCs w:val="21"/>
        </w:rPr>
        <w:t>元（¥</w:t>
      </w:r>
      <w:r>
        <w:rPr>
          <w:rFonts w:hint="eastAsia" w:ascii="宋体" w:hAnsi="宋体" w:cs="宋体"/>
          <w:szCs w:val="21"/>
          <w:u w:val="single"/>
        </w:rPr>
        <w:t xml:space="preserve">       </w:t>
      </w:r>
      <w:r>
        <w:rPr>
          <w:rFonts w:hint="eastAsia" w:ascii="宋体" w:hAnsi="宋体" w:cs="宋体"/>
          <w:szCs w:val="21"/>
        </w:rPr>
        <w:t xml:space="preserve">）。 </w:t>
      </w:r>
    </w:p>
    <w:p w14:paraId="5497756F">
      <w:pPr>
        <w:spacing w:line="360" w:lineRule="auto"/>
        <w:ind w:firstLine="420" w:firstLineChars="200"/>
        <w:rPr>
          <w:rFonts w:hint="eastAsia" w:ascii="宋体" w:hAnsi="宋体" w:cs="宋体"/>
          <w:szCs w:val="21"/>
        </w:rPr>
      </w:pPr>
      <w:r>
        <w:rPr>
          <w:rFonts w:hint="eastAsia" w:ascii="宋体" w:hAnsi="宋体" w:cs="宋体"/>
          <w:szCs w:val="21"/>
        </w:rPr>
        <w:t>三、本保函有效期自开立之日起至合同约定的</w:t>
      </w:r>
      <w:r>
        <w:rPr>
          <w:rFonts w:hint="eastAsia" w:ascii="宋体" w:hAnsi="宋体" w:cs="宋体"/>
          <w:szCs w:val="21"/>
          <w:u w:val="single"/>
        </w:rPr>
        <w:t xml:space="preserve">      </w:t>
      </w:r>
      <w:r>
        <w:rPr>
          <w:rFonts w:hint="eastAsia" w:ascii="宋体" w:hAnsi="宋体" w:cs="宋体"/>
          <w:szCs w:val="21"/>
        </w:rPr>
        <w:t>日止，最迟不超过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 xml:space="preserve">日。 </w:t>
      </w:r>
    </w:p>
    <w:p w14:paraId="15ACA66A">
      <w:pPr>
        <w:spacing w:line="360" w:lineRule="auto"/>
        <w:ind w:firstLine="420" w:firstLineChars="200"/>
        <w:rPr>
          <w:rFonts w:hint="eastAsia" w:ascii="宋体" w:hAnsi="宋体" w:cs="宋体"/>
          <w:szCs w:val="21"/>
        </w:rPr>
      </w:pPr>
      <w:r>
        <w:rPr>
          <w:rFonts w:hint="eastAsia" w:ascii="宋体" w:hAnsi="宋体" w:cs="宋体"/>
          <w:szCs w:val="21"/>
        </w:rPr>
        <w:t>四、我方承诺，在收到受益人发来的书面付款通知后的</w:t>
      </w:r>
      <w:r>
        <w:rPr>
          <w:rFonts w:hint="eastAsia" w:ascii="宋体" w:hAnsi="宋体" w:cs="宋体"/>
          <w:szCs w:val="21"/>
          <w:u w:val="single"/>
        </w:rPr>
        <w:t xml:space="preserve">    </w:t>
      </w:r>
      <w:r>
        <w:rPr>
          <w:rFonts w:hint="eastAsia" w:ascii="宋体" w:hAnsi="宋体" w:cs="宋体"/>
          <w:szCs w:val="21"/>
        </w:rPr>
        <w:t>工作日内无条件支付，前述书面付款通知即为付款要求之单据，且应满足以下要求：</w:t>
      </w:r>
    </w:p>
    <w:p w14:paraId="51C198F7">
      <w:pPr>
        <w:spacing w:line="360" w:lineRule="auto"/>
        <w:ind w:firstLine="420" w:firstLineChars="200"/>
        <w:rPr>
          <w:rFonts w:hint="eastAsia" w:ascii="宋体" w:hAnsi="宋体" w:cs="宋体"/>
          <w:szCs w:val="21"/>
        </w:rPr>
      </w:pPr>
      <w:r>
        <w:rPr>
          <w:rFonts w:hint="eastAsia" w:ascii="宋体" w:hAnsi="宋体" w:cs="宋体"/>
          <w:szCs w:val="21"/>
        </w:rPr>
        <w:t>（1）付款通知到达的日期在本保函的有效期内；</w:t>
      </w:r>
    </w:p>
    <w:p w14:paraId="04EC6CF2">
      <w:pPr>
        <w:spacing w:line="360" w:lineRule="auto"/>
        <w:ind w:firstLine="420" w:firstLineChars="200"/>
        <w:rPr>
          <w:rFonts w:hint="eastAsia" w:ascii="宋体" w:hAnsi="宋体" w:cs="宋体"/>
          <w:szCs w:val="21"/>
        </w:rPr>
      </w:pPr>
      <w:r>
        <w:rPr>
          <w:rFonts w:hint="eastAsia" w:ascii="宋体" w:hAnsi="宋体" w:cs="宋体"/>
          <w:szCs w:val="21"/>
        </w:rPr>
        <w:t>（2）载明要求支付的金额；</w:t>
      </w:r>
    </w:p>
    <w:p w14:paraId="3962C33A">
      <w:pPr>
        <w:spacing w:line="360" w:lineRule="auto"/>
        <w:ind w:firstLine="420" w:firstLineChars="200"/>
        <w:rPr>
          <w:rFonts w:hint="eastAsia" w:ascii="宋体" w:hAnsi="宋体" w:cs="宋体"/>
          <w:szCs w:val="21"/>
          <w:u w:val="single"/>
        </w:rPr>
      </w:pPr>
      <w:r>
        <w:rPr>
          <w:rFonts w:hint="eastAsia" w:ascii="宋体" w:hAnsi="宋体" w:cs="宋体"/>
          <w:szCs w:val="21"/>
        </w:rPr>
        <w:t>（3）载明申请人未按照中标通知书、招标文件和投标文件约定签订合同或违反合同义务的条款和内容；</w:t>
      </w:r>
    </w:p>
    <w:p w14:paraId="7ECD4B21">
      <w:pPr>
        <w:spacing w:line="360" w:lineRule="auto"/>
        <w:ind w:firstLine="420" w:firstLineChars="200"/>
        <w:rPr>
          <w:rFonts w:hint="eastAsia" w:ascii="宋体" w:hAnsi="宋体" w:cs="宋体"/>
          <w:szCs w:val="21"/>
        </w:rPr>
      </w:pPr>
      <w:r>
        <w:rPr>
          <w:rFonts w:hint="eastAsia" w:ascii="宋体" w:hAnsi="宋体" w:cs="宋体"/>
          <w:szCs w:val="21"/>
        </w:rPr>
        <w:t>（4）付款通知中应声明不存在招标文件约定、合同文件约定或我国法律规定免除申请人或开立人支付责任的情形；</w:t>
      </w:r>
    </w:p>
    <w:p w14:paraId="75309A59">
      <w:pPr>
        <w:spacing w:line="360" w:lineRule="auto"/>
        <w:ind w:firstLine="420" w:firstLineChars="200"/>
        <w:rPr>
          <w:rFonts w:hint="eastAsia" w:ascii="宋体" w:hAnsi="宋体" w:cs="宋体"/>
          <w:szCs w:val="21"/>
        </w:rPr>
      </w:pPr>
      <w:r>
        <w:rPr>
          <w:rFonts w:hint="eastAsia" w:ascii="宋体" w:hAnsi="宋体" w:cs="宋体"/>
          <w:szCs w:val="21"/>
        </w:rPr>
        <w:t>（5）付款通知应在本保函有效期内到达的地址是：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1AC82153">
      <w:pPr>
        <w:spacing w:line="360" w:lineRule="auto"/>
        <w:ind w:firstLine="420" w:firstLineChars="200"/>
        <w:rPr>
          <w:rFonts w:hint="eastAsia" w:ascii="宋体" w:hAnsi="宋体" w:cs="宋体"/>
          <w:szCs w:val="21"/>
        </w:rPr>
      </w:pPr>
      <w:r>
        <w:rPr>
          <w:rFonts w:hint="eastAsia" w:ascii="宋体" w:hAnsi="宋体" w:cs="宋体"/>
          <w:szCs w:val="21"/>
        </w:rPr>
        <w:t>受益人发出的书面付款通知应由其为鉴明受益人法定代表人（负责人）或授权代理人签名加盖公章。</w:t>
      </w:r>
    </w:p>
    <w:p w14:paraId="4E9D31F9">
      <w:pPr>
        <w:spacing w:line="360" w:lineRule="auto"/>
        <w:ind w:firstLine="420" w:firstLineChars="200"/>
        <w:rPr>
          <w:rFonts w:hint="eastAsia" w:ascii="宋体" w:hAnsi="宋体" w:cs="宋体"/>
          <w:szCs w:val="21"/>
        </w:rPr>
      </w:pPr>
      <w:r>
        <w:rPr>
          <w:rFonts w:hint="eastAsia" w:ascii="宋体" w:hAnsi="宋体" w:cs="宋体"/>
          <w:szCs w:val="21"/>
        </w:rPr>
        <w:t xml:space="preserve">五、本保函项下的权利不得转让，不得设定担保。贵方未经我方书面同意转让本保函或其项下任何权利，对我方不发生法律效力。 </w:t>
      </w:r>
    </w:p>
    <w:p w14:paraId="20B77786">
      <w:pPr>
        <w:spacing w:line="360" w:lineRule="auto"/>
        <w:ind w:firstLine="420" w:firstLineChars="200"/>
        <w:rPr>
          <w:rFonts w:hint="eastAsia" w:ascii="宋体" w:hAnsi="宋体" w:cs="宋体"/>
          <w:szCs w:val="21"/>
        </w:rPr>
      </w:pPr>
      <w:r>
        <w:rPr>
          <w:rFonts w:hint="eastAsia" w:ascii="宋体" w:hAnsi="宋体" w:cs="宋体"/>
          <w:szCs w:val="21"/>
        </w:rPr>
        <w:t xml:space="preserve">六、与本保函有关的合同不成立、不生效、无效、被撤销、被解除，不影响本保函的独立有效。 </w:t>
      </w:r>
    </w:p>
    <w:p w14:paraId="6AF9C7E4">
      <w:pPr>
        <w:spacing w:line="360" w:lineRule="auto"/>
        <w:ind w:firstLine="420" w:firstLineChars="200"/>
        <w:rPr>
          <w:rFonts w:hint="eastAsia" w:ascii="宋体" w:hAnsi="宋体" w:cs="宋体"/>
          <w:szCs w:val="21"/>
        </w:rPr>
      </w:pPr>
      <w:r>
        <w:rPr>
          <w:rFonts w:hint="eastAsia" w:ascii="宋体" w:hAnsi="宋体" w:cs="宋体"/>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083C250C">
      <w:pPr>
        <w:spacing w:line="360" w:lineRule="auto"/>
        <w:ind w:firstLine="420" w:firstLineChars="200"/>
        <w:rPr>
          <w:rFonts w:hint="eastAsia" w:ascii="宋体" w:hAnsi="宋体" w:cs="宋体"/>
          <w:szCs w:val="21"/>
        </w:rPr>
      </w:pPr>
      <w:r>
        <w:rPr>
          <w:rFonts w:hint="eastAsia" w:ascii="宋体" w:hAnsi="宋体" w:cs="宋体"/>
          <w:szCs w:val="21"/>
        </w:rPr>
        <w:t>八、本保函适用的法律为中华人民共和国法律，争议裁判管辖地为中华人民共和国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 xml:space="preserve">。 </w:t>
      </w:r>
    </w:p>
    <w:p w14:paraId="7050C782">
      <w:pPr>
        <w:spacing w:line="360" w:lineRule="auto"/>
        <w:ind w:firstLine="420" w:firstLineChars="200"/>
        <w:rPr>
          <w:rFonts w:hint="eastAsia" w:ascii="宋体" w:hAnsi="宋体" w:cs="宋体"/>
          <w:szCs w:val="21"/>
        </w:rPr>
      </w:pPr>
      <w:r>
        <w:rPr>
          <w:rFonts w:hint="eastAsia" w:ascii="宋体" w:hAnsi="宋体" w:cs="宋体"/>
          <w:szCs w:val="21"/>
        </w:rPr>
        <w:t xml:space="preserve">九、本保函自我方法定代表人或授权代表签名并加盖公章之日起生效。 </w:t>
      </w:r>
    </w:p>
    <w:p w14:paraId="4DAEB352">
      <w:pPr>
        <w:spacing w:line="360" w:lineRule="auto"/>
        <w:ind w:firstLine="420" w:firstLineChars="200"/>
        <w:rPr>
          <w:rFonts w:hint="eastAsia" w:ascii="宋体" w:hAnsi="宋体" w:cs="宋体"/>
          <w:szCs w:val="21"/>
        </w:rPr>
      </w:pPr>
      <w:r>
        <w:rPr>
          <w:rFonts w:hint="eastAsia" w:ascii="宋体" w:hAnsi="宋体" w:cs="宋体"/>
          <w:szCs w:val="21"/>
        </w:rPr>
        <w:t xml:space="preserve">开 立 人：                              （公章） </w:t>
      </w:r>
    </w:p>
    <w:p w14:paraId="2A88CBC1">
      <w:pPr>
        <w:spacing w:line="360" w:lineRule="auto"/>
        <w:ind w:firstLine="420" w:firstLineChars="200"/>
        <w:rPr>
          <w:rFonts w:hint="eastAsia" w:ascii="宋体" w:hAnsi="宋体" w:cs="宋体"/>
          <w:szCs w:val="21"/>
        </w:rPr>
      </w:pPr>
      <w:r>
        <w:rPr>
          <w:rFonts w:hint="eastAsia" w:ascii="宋体" w:hAnsi="宋体" w:cs="宋体"/>
          <w:szCs w:val="21"/>
        </w:rPr>
        <w:t xml:space="preserve">法定代表人（或授权代表）：              （签名） </w:t>
      </w:r>
    </w:p>
    <w:p w14:paraId="644BAC81">
      <w:pPr>
        <w:spacing w:line="360" w:lineRule="auto"/>
        <w:ind w:firstLine="420" w:firstLineChars="200"/>
        <w:rPr>
          <w:rFonts w:hint="eastAsia" w:ascii="宋体" w:hAnsi="宋体" w:cs="宋体"/>
          <w:szCs w:val="21"/>
        </w:rPr>
      </w:pPr>
      <w:r>
        <w:rPr>
          <w:rFonts w:hint="eastAsia" w:ascii="宋体" w:hAnsi="宋体" w:cs="宋体"/>
          <w:szCs w:val="21"/>
        </w:rPr>
        <w:t xml:space="preserve">地    址：                                       </w:t>
      </w:r>
    </w:p>
    <w:p w14:paraId="5E833C1E">
      <w:pPr>
        <w:spacing w:line="360" w:lineRule="auto"/>
        <w:ind w:firstLine="420" w:firstLineChars="200"/>
        <w:rPr>
          <w:rFonts w:hint="eastAsia" w:ascii="宋体" w:hAnsi="宋体" w:cs="宋体"/>
          <w:szCs w:val="21"/>
        </w:rPr>
      </w:pPr>
      <w:r>
        <w:rPr>
          <w:rFonts w:hint="eastAsia" w:ascii="宋体" w:hAnsi="宋体" w:cs="宋体"/>
          <w:szCs w:val="21"/>
        </w:rPr>
        <w:t xml:space="preserve">邮政编码：                 </w:t>
      </w:r>
    </w:p>
    <w:p w14:paraId="5C1F6B80">
      <w:pPr>
        <w:spacing w:line="360" w:lineRule="auto"/>
        <w:ind w:firstLine="420" w:firstLineChars="200"/>
        <w:rPr>
          <w:rFonts w:hint="eastAsia" w:ascii="宋体" w:hAnsi="宋体" w:cs="宋体"/>
          <w:szCs w:val="21"/>
        </w:rPr>
      </w:pPr>
      <w:r>
        <w:rPr>
          <w:rFonts w:hint="eastAsia" w:ascii="宋体" w:hAnsi="宋体" w:cs="宋体"/>
          <w:szCs w:val="21"/>
        </w:rPr>
        <w:t xml:space="preserve">电    话：                 </w:t>
      </w:r>
    </w:p>
    <w:p w14:paraId="0B878A77">
      <w:pPr>
        <w:spacing w:line="360" w:lineRule="auto"/>
        <w:ind w:firstLine="420" w:firstLineChars="200"/>
        <w:rPr>
          <w:rFonts w:hint="eastAsia" w:ascii="宋体" w:hAnsi="宋体" w:cs="宋体"/>
          <w:szCs w:val="21"/>
        </w:rPr>
      </w:pPr>
      <w:r>
        <w:rPr>
          <w:rFonts w:hint="eastAsia" w:ascii="宋体" w:hAnsi="宋体" w:cs="宋体"/>
          <w:szCs w:val="21"/>
        </w:rPr>
        <w:t xml:space="preserve">传    真：                 </w:t>
      </w:r>
    </w:p>
    <w:p w14:paraId="308C704F">
      <w:pPr>
        <w:spacing w:line="360" w:lineRule="auto"/>
        <w:ind w:firstLine="420" w:firstLineChars="200"/>
        <w:rPr>
          <w:rFonts w:hint="eastAsia" w:ascii="宋体" w:hAnsi="宋体" w:cs="宋体"/>
          <w:szCs w:val="21"/>
        </w:rPr>
      </w:pPr>
      <w:r>
        <w:rPr>
          <w:rFonts w:hint="eastAsia" w:ascii="宋体" w:hAnsi="宋体" w:cs="宋体"/>
          <w:szCs w:val="21"/>
        </w:rPr>
        <w:t>开立时间：      年      月</w:t>
      </w:r>
      <w:r>
        <w:rPr>
          <w:rFonts w:hint="eastAsia" w:ascii="宋体" w:hAnsi="宋体" w:cs="宋体"/>
          <w:szCs w:val="21"/>
        </w:rPr>
        <w:br w:type="textWrapping"/>
      </w:r>
    </w:p>
    <w:p w14:paraId="2E17BEC8">
      <w:pPr>
        <w:spacing w:line="360" w:lineRule="auto"/>
        <w:ind w:firstLine="420" w:firstLineChars="200"/>
      </w:pPr>
      <w:r>
        <w:rPr>
          <w:rFonts w:hint="eastAsia" w:ascii="宋体" w:hAnsi="宋体" w:cs="宋体"/>
          <w:szCs w:val="21"/>
        </w:rPr>
        <w:br w:type="page"/>
      </w:r>
    </w:p>
    <w:p w14:paraId="170E38DB">
      <w:pPr>
        <w:spacing w:line="600" w:lineRule="exact"/>
        <w:jc w:val="center"/>
        <w:rPr>
          <w:rFonts w:hint="eastAsia" w:ascii="宋体" w:hAnsi="宋体" w:cs="黑体"/>
          <w:sz w:val="32"/>
          <w:szCs w:val="32"/>
          <w:lang w:bidi="ar"/>
        </w:rPr>
      </w:pPr>
      <w:bookmarkStart w:id="792" w:name="_Toc534185822"/>
      <w:bookmarkStart w:id="793" w:name="_Toc430530513"/>
      <w:bookmarkStart w:id="794" w:name="_Toc509218843"/>
      <w:bookmarkStart w:id="795" w:name="_Toc287620797"/>
      <w:bookmarkStart w:id="796" w:name="_Toc287607855"/>
      <w:bookmarkStart w:id="797" w:name="_Toc296503025"/>
      <w:bookmarkStart w:id="798" w:name="_Toc351203480"/>
      <w:bookmarkStart w:id="799" w:name="_Toc296890982"/>
      <w:r>
        <w:rPr>
          <w:rFonts w:hint="eastAsia" w:ascii="宋体" w:hAnsi="宋体" w:cs="黑体"/>
          <w:sz w:val="32"/>
          <w:szCs w:val="32"/>
          <w:lang w:bidi="ar"/>
        </w:rPr>
        <w:t>附件十一 质量保证金保函（如有）</w:t>
      </w:r>
    </w:p>
    <w:p w14:paraId="58A3B725">
      <w:pPr>
        <w:spacing w:line="360" w:lineRule="auto"/>
        <w:jc w:val="center"/>
        <w:textAlignment w:val="baseline"/>
        <w:rPr>
          <w:rFonts w:hint="eastAsia" w:ascii="宋体" w:hAnsi="宋体" w:cs="宋体"/>
          <w:szCs w:val="21"/>
        </w:rPr>
      </w:pPr>
    </w:p>
    <w:p w14:paraId="346AA049">
      <w:pPr>
        <w:spacing w:line="360" w:lineRule="auto"/>
        <w:jc w:val="center"/>
        <w:textAlignment w:val="baseline"/>
        <w:rPr>
          <w:rFonts w:hint="eastAsia" w:ascii="宋体" w:hAnsi="宋体" w:cs="宋体"/>
          <w:szCs w:val="21"/>
        </w:rPr>
      </w:pPr>
      <w:r>
        <w:rPr>
          <w:rFonts w:hint="eastAsia" w:ascii="宋体" w:hAnsi="宋体" w:cs="宋体"/>
          <w:szCs w:val="21"/>
        </w:rPr>
        <w:t>工程质量保函示范文本</w:t>
      </w:r>
    </w:p>
    <w:p w14:paraId="37F9F2D3">
      <w:pPr>
        <w:spacing w:line="360" w:lineRule="auto"/>
        <w:rPr>
          <w:rFonts w:hint="eastAsia" w:ascii="宋体" w:hAnsi="宋体" w:cs="宋体"/>
          <w:szCs w:val="21"/>
        </w:rPr>
      </w:pPr>
    </w:p>
    <w:p w14:paraId="7349FC2C">
      <w:pPr>
        <w:widowControl/>
        <w:spacing w:line="360" w:lineRule="auto"/>
        <w:rPr>
          <w:rFonts w:hint="eastAsia" w:ascii="宋体" w:hAnsi="宋体" w:cs="宋体"/>
          <w:szCs w:val="21"/>
        </w:rPr>
      </w:pPr>
      <w:r>
        <w:rPr>
          <w:rFonts w:hint="eastAsia" w:ascii="宋体" w:hAnsi="宋体" w:cs="宋体"/>
          <w:kern w:val="0"/>
          <w:szCs w:val="21"/>
          <w:u w:val="single"/>
        </w:rPr>
        <w:t xml:space="preserve">              </w:t>
      </w:r>
      <w:r>
        <w:rPr>
          <w:rFonts w:hint="eastAsia" w:ascii="宋体" w:hAnsi="宋体" w:cs="宋体"/>
          <w:kern w:val="0"/>
          <w:szCs w:val="21"/>
        </w:rPr>
        <w:t>（发包人名称）：</w:t>
      </w:r>
    </w:p>
    <w:p w14:paraId="5005D30F">
      <w:pPr>
        <w:spacing w:line="360" w:lineRule="auto"/>
        <w:ind w:firstLine="420" w:firstLineChars="200"/>
        <w:rPr>
          <w:rFonts w:hint="eastAsia" w:ascii="宋体" w:hAnsi="宋体" w:cs="宋体"/>
          <w:szCs w:val="21"/>
        </w:rPr>
      </w:pPr>
      <w:r>
        <w:rPr>
          <w:rFonts w:hint="eastAsia" w:ascii="宋体" w:hAnsi="宋体" w:cs="宋体"/>
          <w:szCs w:val="21"/>
        </w:rPr>
        <w:t>鉴于</w:t>
      </w:r>
      <w:r>
        <w:rPr>
          <w:rFonts w:hint="eastAsia" w:ascii="宋体" w:hAnsi="宋体" w:cs="宋体"/>
          <w:szCs w:val="21"/>
          <w:u w:val="single"/>
        </w:rPr>
        <w:t xml:space="preserve">                 </w:t>
      </w:r>
      <w:r>
        <w:rPr>
          <w:rFonts w:hint="eastAsia" w:ascii="宋体" w:hAnsi="宋体" w:cs="宋体"/>
          <w:szCs w:val="21"/>
        </w:rPr>
        <w:t>（发包人名称，以下简称“发包人”）与</w:t>
      </w:r>
      <w:r>
        <w:rPr>
          <w:rFonts w:hint="eastAsia" w:ascii="宋体" w:hAnsi="宋体" w:cs="宋体"/>
          <w:szCs w:val="21"/>
          <w:u w:val="single"/>
        </w:rPr>
        <w:t xml:space="preserve">                     </w:t>
      </w:r>
      <w:r>
        <w:rPr>
          <w:rFonts w:hint="eastAsia" w:ascii="宋体" w:hAnsi="宋体" w:cs="宋体"/>
          <w:szCs w:val="21"/>
        </w:rPr>
        <w:t>（承包人名称，以下简称“承包人”）于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日就</w:t>
      </w:r>
      <w:r>
        <w:rPr>
          <w:rFonts w:hint="eastAsia" w:ascii="宋体" w:hAnsi="宋体" w:cs="宋体"/>
          <w:szCs w:val="21"/>
          <w:u w:val="single"/>
        </w:rPr>
        <w:t xml:space="preserve">            </w:t>
      </w:r>
      <w:r>
        <w:rPr>
          <w:rFonts w:hint="eastAsia" w:ascii="宋体" w:hAnsi="宋体" w:cs="宋体"/>
          <w:szCs w:val="21"/>
        </w:rPr>
        <w:t>（项目名称）</w:t>
      </w:r>
      <w:r>
        <w:rPr>
          <w:rFonts w:hint="eastAsia" w:ascii="宋体" w:hAnsi="宋体" w:cs="宋体"/>
          <w:szCs w:val="21"/>
          <w:u w:val="single"/>
        </w:rPr>
        <w:t xml:space="preserve">        </w:t>
      </w:r>
      <w:r>
        <w:rPr>
          <w:rFonts w:hint="eastAsia" w:ascii="宋体" w:hAnsi="宋体" w:cs="宋体"/>
          <w:szCs w:val="21"/>
        </w:rPr>
        <w:t>标段（以下简称“本工程”）施工和有关事项协商一致共同签订《</w:t>
      </w:r>
      <w:r>
        <w:rPr>
          <w:rFonts w:hint="eastAsia" w:ascii="宋体" w:hAnsi="宋体" w:cs="宋体"/>
          <w:szCs w:val="21"/>
          <w:u w:val="single"/>
        </w:rPr>
        <w:t xml:space="preserve">              </w:t>
      </w:r>
      <w:r>
        <w:rPr>
          <w:rFonts w:hint="eastAsia" w:ascii="宋体" w:hAnsi="宋体" w:cs="宋体"/>
          <w:szCs w:val="21"/>
        </w:rPr>
        <w:t>》（合同名称），</w:t>
      </w:r>
      <w:r>
        <w:rPr>
          <w:rFonts w:hint="eastAsia" w:ascii="宋体" w:hAnsi="宋体" w:cs="宋体"/>
          <w:szCs w:val="21"/>
          <w:lang w:bidi="ar"/>
        </w:rPr>
        <w:t>我方愿意无条件地、不可撤销地就承包人履行与你方订立的合同，向你方提供担保。</w:t>
      </w:r>
    </w:p>
    <w:p w14:paraId="502704E6">
      <w:pPr>
        <w:spacing w:line="360" w:lineRule="auto"/>
        <w:ind w:firstLine="420" w:firstLineChars="200"/>
        <w:rPr>
          <w:rFonts w:hint="eastAsia" w:ascii="宋体" w:hAnsi="宋体" w:cs="宋体"/>
          <w:szCs w:val="21"/>
        </w:rPr>
      </w:pPr>
      <w:r>
        <w:rPr>
          <w:rFonts w:hint="eastAsia" w:ascii="宋体" w:hAnsi="宋体" w:cs="宋体"/>
          <w:szCs w:val="21"/>
          <w:lang w:bidi="ar"/>
        </w:rPr>
        <w:t>一、担保金额人民币（大写）</w:t>
      </w:r>
      <w:r>
        <w:rPr>
          <w:rFonts w:hint="eastAsia" w:ascii="宋体" w:hAnsi="宋体" w:cs="宋体"/>
          <w:szCs w:val="21"/>
          <w:u w:val="single"/>
          <w:lang w:bidi="ar"/>
        </w:rPr>
        <w:t xml:space="preserve">        </w:t>
      </w:r>
      <w:r>
        <w:rPr>
          <w:rFonts w:hint="eastAsia" w:ascii="宋体" w:hAnsi="宋体" w:cs="宋体"/>
          <w:szCs w:val="21"/>
          <w:lang w:bidi="ar"/>
        </w:rPr>
        <w:t xml:space="preserve"> 元（</w:t>
      </w:r>
      <w:r>
        <w:rPr>
          <w:rFonts w:hint="eastAsia" w:ascii="宋体" w:hAnsi="宋体" w:cs="宋体"/>
          <w:szCs w:val="21"/>
        </w:rPr>
        <w:t>¥</w:t>
      </w:r>
      <w:r>
        <w:rPr>
          <w:rFonts w:hint="eastAsia" w:ascii="宋体" w:hAnsi="宋体" w:cs="宋体"/>
          <w:szCs w:val="21"/>
          <w:u w:val="single"/>
          <w:lang w:bidi="ar"/>
        </w:rPr>
        <w:t xml:space="preserve">        </w:t>
      </w:r>
      <w:r>
        <w:rPr>
          <w:rFonts w:hint="eastAsia" w:ascii="宋体" w:hAnsi="宋体" w:cs="宋体"/>
          <w:szCs w:val="21"/>
          <w:lang w:bidi="ar"/>
        </w:rPr>
        <w:t>）。</w:t>
      </w:r>
    </w:p>
    <w:p w14:paraId="44DBAFC9">
      <w:pPr>
        <w:widowControl/>
        <w:spacing w:line="360" w:lineRule="auto"/>
        <w:ind w:firstLine="420" w:firstLineChars="200"/>
        <w:rPr>
          <w:rFonts w:hint="eastAsia" w:ascii="宋体" w:hAnsi="宋体" w:cs="宋体"/>
          <w:szCs w:val="21"/>
        </w:rPr>
      </w:pPr>
      <w:r>
        <w:rPr>
          <w:rFonts w:hint="eastAsia" w:ascii="宋体" w:hAnsi="宋体" w:cs="宋体"/>
          <w:szCs w:val="21"/>
        </w:rPr>
        <w:t>二、</w:t>
      </w:r>
      <w:r>
        <w:rPr>
          <w:rFonts w:hint="eastAsia" w:ascii="宋体" w:hAnsi="宋体" w:cs="宋体"/>
          <w:kern w:val="0"/>
          <w:szCs w:val="21"/>
          <w:lang w:bidi="ar"/>
        </w:rPr>
        <w:t>担保有效期</w:t>
      </w:r>
      <w:r>
        <w:rPr>
          <w:rFonts w:hint="eastAsia" w:ascii="宋体" w:hAnsi="宋体" w:cs="宋体"/>
          <w:szCs w:val="21"/>
        </w:rPr>
        <w:t>为以下第</w:t>
      </w:r>
      <w:r>
        <w:rPr>
          <w:rFonts w:hint="eastAsia" w:ascii="宋体" w:hAnsi="宋体" w:cs="宋体"/>
          <w:szCs w:val="21"/>
          <w:u w:val="single"/>
        </w:rPr>
        <w:t xml:space="preserve">              </w:t>
      </w:r>
      <w:r>
        <w:rPr>
          <w:rFonts w:hint="eastAsia" w:ascii="宋体" w:hAnsi="宋体" w:cs="宋体"/>
          <w:szCs w:val="21"/>
        </w:rPr>
        <w:t>种：</w:t>
      </w:r>
    </w:p>
    <w:p w14:paraId="3142072B">
      <w:pPr>
        <w:widowControl/>
        <w:spacing w:line="360" w:lineRule="auto"/>
        <w:ind w:firstLine="420" w:firstLineChars="200"/>
        <w:rPr>
          <w:rFonts w:hint="eastAsia" w:ascii="宋体" w:hAnsi="宋体" w:cs="宋体"/>
          <w:szCs w:val="21"/>
        </w:rPr>
      </w:pPr>
      <w:r>
        <w:rPr>
          <w:rFonts w:hint="eastAsia" w:ascii="宋体" w:hAnsi="宋体" w:cs="宋体"/>
          <w:szCs w:val="21"/>
        </w:rPr>
        <w:t>（1）本担保自</w:t>
      </w:r>
      <w:r>
        <w:rPr>
          <w:rFonts w:hint="eastAsia" w:ascii="宋体" w:hAnsi="宋体" w:cs="宋体"/>
          <w:szCs w:val="21"/>
          <w:u w:val="single"/>
        </w:rPr>
        <w:t xml:space="preserve">       </w:t>
      </w:r>
      <w:r>
        <w:rPr>
          <w:rFonts w:hint="eastAsia" w:ascii="宋体" w:hAnsi="宋体" w:cs="宋体"/>
          <w:szCs w:val="21"/>
        </w:rPr>
        <w:t>（生效日期）之日起生效，至</w:t>
      </w:r>
      <w:r>
        <w:rPr>
          <w:rFonts w:hint="eastAsia" w:ascii="宋体" w:hAnsi="宋体" w:cs="宋体"/>
          <w:szCs w:val="21"/>
          <w:u w:val="single"/>
        </w:rPr>
        <w:t xml:space="preserve">      </w:t>
      </w:r>
      <w:r>
        <w:rPr>
          <w:rFonts w:hint="eastAsia" w:ascii="宋体" w:hAnsi="宋体" w:cs="宋体"/>
          <w:szCs w:val="21"/>
        </w:rPr>
        <w:t>（失效日期）之日失效。</w:t>
      </w:r>
    </w:p>
    <w:p w14:paraId="1C59615A">
      <w:pPr>
        <w:widowControl/>
        <w:spacing w:line="360" w:lineRule="auto"/>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u w:val="single"/>
        </w:rPr>
        <w:t xml:space="preserve">                                             </w:t>
      </w:r>
      <w:r>
        <w:rPr>
          <w:rFonts w:hint="eastAsia" w:ascii="宋体" w:hAnsi="宋体" w:cs="宋体"/>
          <w:szCs w:val="21"/>
        </w:rPr>
        <w:t>。</w:t>
      </w:r>
    </w:p>
    <w:p w14:paraId="02864327">
      <w:pPr>
        <w:widowControl/>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三、在本担保有效期内，因</w:t>
      </w:r>
      <w:r>
        <w:rPr>
          <w:rFonts w:hint="eastAsia" w:ascii="宋体" w:hAnsi="宋体" w:cs="宋体"/>
          <w:szCs w:val="21"/>
        </w:rPr>
        <w:t>承包人工程质量不符合合同约定</w:t>
      </w:r>
      <w:r>
        <w:rPr>
          <w:rFonts w:hint="eastAsia" w:ascii="宋体" w:hAnsi="宋体" w:cs="宋体"/>
          <w:kern w:val="0"/>
          <w:szCs w:val="21"/>
          <w:lang w:bidi="ar"/>
        </w:rPr>
        <w:t>时，我方在收到你方以书面形式提出的在担保金额内的赔偿要求后，在7日内无条件支付，无须你方出具证明或陈述理由。</w:t>
      </w:r>
    </w:p>
    <w:p w14:paraId="565A2053">
      <w:pPr>
        <w:widowControl/>
        <w:spacing w:line="360" w:lineRule="auto"/>
        <w:ind w:firstLine="420" w:firstLineChars="200"/>
        <w:rPr>
          <w:rFonts w:hint="eastAsia" w:ascii="宋体" w:hAnsi="宋体" w:cs="宋体"/>
          <w:kern w:val="0"/>
          <w:szCs w:val="21"/>
          <w:lang w:bidi="ar"/>
        </w:rPr>
      </w:pPr>
    </w:p>
    <w:p w14:paraId="7F24A0F7">
      <w:pPr>
        <w:spacing w:line="360" w:lineRule="auto"/>
        <w:ind w:firstLine="420" w:firstLineChars="200"/>
        <w:rPr>
          <w:rFonts w:hint="eastAsia" w:ascii="宋体" w:hAnsi="宋体" w:cs="宋体"/>
          <w:szCs w:val="21"/>
        </w:rPr>
      </w:pPr>
      <w:r>
        <w:rPr>
          <w:rFonts w:hint="eastAsia" w:ascii="宋体" w:hAnsi="宋体" w:cs="宋体"/>
          <w:szCs w:val="21"/>
          <w:lang w:bidi="ar"/>
        </w:rPr>
        <w:t>担 保 人：</w:t>
      </w:r>
      <w:r>
        <w:rPr>
          <w:rFonts w:hint="eastAsia" w:ascii="宋体" w:hAnsi="宋体" w:cs="宋体"/>
          <w:szCs w:val="21"/>
          <w:u w:val="single"/>
          <w:lang w:bidi="ar"/>
        </w:rPr>
        <w:t xml:space="preserve">                              </w:t>
      </w:r>
      <w:r>
        <w:rPr>
          <w:rFonts w:hint="eastAsia" w:ascii="宋体" w:hAnsi="宋体" w:cs="宋体"/>
          <w:szCs w:val="21"/>
          <w:lang w:bidi="ar"/>
        </w:rPr>
        <w:t>（盖单位章）</w:t>
      </w:r>
    </w:p>
    <w:p w14:paraId="10D4C8C5">
      <w:pPr>
        <w:spacing w:line="360" w:lineRule="auto"/>
        <w:ind w:firstLine="420" w:firstLineChars="200"/>
        <w:rPr>
          <w:rFonts w:hint="eastAsia" w:ascii="宋体" w:hAnsi="宋体" w:cs="宋体"/>
          <w:szCs w:val="21"/>
        </w:rPr>
      </w:pPr>
      <w:r>
        <w:rPr>
          <w:rFonts w:hint="eastAsia" w:ascii="宋体" w:hAnsi="宋体" w:cs="宋体"/>
          <w:szCs w:val="21"/>
          <w:lang w:bidi="ar"/>
        </w:rPr>
        <w:t>法定代表人或其委托代理人：</w:t>
      </w:r>
      <w:r>
        <w:rPr>
          <w:rFonts w:hint="eastAsia" w:ascii="宋体" w:hAnsi="宋体" w:cs="宋体"/>
          <w:szCs w:val="21"/>
          <w:u w:val="single"/>
          <w:lang w:bidi="ar"/>
        </w:rPr>
        <w:t xml:space="preserve">                    </w:t>
      </w:r>
      <w:r>
        <w:rPr>
          <w:rFonts w:hint="eastAsia" w:ascii="宋体" w:hAnsi="宋体" w:cs="宋体"/>
          <w:szCs w:val="21"/>
          <w:lang w:bidi="ar"/>
        </w:rPr>
        <w:t>（签名）</w:t>
      </w:r>
    </w:p>
    <w:p w14:paraId="65687ACD">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地    址：</w:t>
      </w:r>
      <w:r>
        <w:rPr>
          <w:rFonts w:hint="eastAsia" w:ascii="宋体" w:hAnsi="宋体" w:cs="宋体"/>
          <w:szCs w:val="21"/>
          <w:u w:val="single"/>
        </w:rPr>
        <w:t xml:space="preserve">                                          </w:t>
      </w:r>
      <w:r>
        <w:rPr>
          <w:rFonts w:hint="eastAsia" w:ascii="宋体" w:hAnsi="宋体" w:cs="宋体"/>
          <w:szCs w:val="21"/>
        </w:rPr>
        <w:t xml:space="preserve"> </w:t>
      </w:r>
    </w:p>
    <w:p w14:paraId="1EED74AE">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邮政编码：</w:t>
      </w:r>
      <w:r>
        <w:rPr>
          <w:rFonts w:hint="eastAsia" w:ascii="宋体" w:hAnsi="宋体" w:cs="宋体"/>
          <w:szCs w:val="21"/>
          <w:u w:val="single"/>
        </w:rPr>
        <w:t xml:space="preserve">                                          </w:t>
      </w:r>
      <w:r>
        <w:rPr>
          <w:rFonts w:hint="eastAsia" w:ascii="宋体" w:hAnsi="宋体" w:cs="宋体"/>
          <w:szCs w:val="21"/>
        </w:rPr>
        <w:t xml:space="preserve"> </w:t>
      </w:r>
    </w:p>
    <w:p w14:paraId="3DEC340C">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电    话：</w:t>
      </w:r>
      <w:r>
        <w:rPr>
          <w:rFonts w:hint="eastAsia" w:ascii="宋体" w:hAnsi="宋体" w:cs="宋体"/>
          <w:szCs w:val="21"/>
          <w:u w:val="single"/>
        </w:rPr>
        <w:t xml:space="preserve">                                          </w:t>
      </w:r>
      <w:r>
        <w:rPr>
          <w:rFonts w:hint="eastAsia" w:ascii="宋体" w:hAnsi="宋体" w:cs="宋体"/>
          <w:szCs w:val="21"/>
        </w:rPr>
        <w:t xml:space="preserve"> </w:t>
      </w:r>
    </w:p>
    <w:p w14:paraId="259B29DB">
      <w:pPr>
        <w:overflowPunct w:val="0"/>
        <w:spacing w:line="360" w:lineRule="auto"/>
        <w:ind w:firstLine="420" w:firstLineChars="200"/>
        <w:rPr>
          <w:rFonts w:hint="eastAsia" w:ascii="宋体" w:hAnsi="宋体" w:cs="宋体"/>
          <w:szCs w:val="21"/>
        </w:rPr>
      </w:pPr>
      <w:r>
        <w:rPr>
          <w:rFonts w:hint="eastAsia" w:ascii="宋体" w:hAnsi="宋体" w:cs="宋体"/>
          <w:szCs w:val="21"/>
          <w:lang w:bidi="ar"/>
        </w:rPr>
        <w:t>传    真：</w:t>
      </w:r>
      <w:r>
        <w:rPr>
          <w:rFonts w:hint="eastAsia" w:ascii="宋体" w:hAnsi="宋体" w:cs="宋体"/>
          <w:szCs w:val="21"/>
          <w:u w:val="single"/>
        </w:rPr>
        <w:t xml:space="preserve">                                          </w:t>
      </w:r>
      <w:r>
        <w:rPr>
          <w:rFonts w:hint="eastAsia" w:ascii="宋体" w:hAnsi="宋体" w:cs="宋体"/>
          <w:szCs w:val="21"/>
        </w:rPr>
        <w:t xml:space="preserve"> </w:t>
      </w:r>
    </w:p>
    <w:p w14:paraId="535F9DE5">
      <w:pPr>
        <w:pStyle w:val="3"/>
        <w:spacing w:before="0" w:after="0" w:line="360" w:lineRule="auto"/>
        <w:jc w:val="center"/>
        <w:rPr>
          <w:rFonts w:hint="eastAsia" w:ascii="宋体" w:hAnsi="宋体" w:cs="宋体"/>
          <w:b w:val="0"/>
        </w:rPr>
      </w:pPr>
      <w:r>
        <w:rPr>
          <w:rFonts w:hint="eastAsia" w:ascii="宋体" w:hAnsi="宋体" w:cs="宋体"/>
          <w:kern w:val="2"/>
          <w:sz w:val="21"/>
          <w:szCs w:val="21"/>
          <w:u w:val="single"/>
          <w:lang w:bidi="ar"/>
        </w:rPr>
        <w:t xml:space="preserve">     </w:t>
      </w:r>
      <w:bookmarkStart w:id="800" w:name="_Toc13075"/>
      <w:r>
        <w:rPr>
          <w:rFonts w:hint="eastAsia" w:ascii="宋体" w:hAnsi="宋体" w:cs="宋体"/>
          <w:kern w:val="2"/>
          <w:sz w:val="21"/>
          <w:szCs w:val="21"/>
          <w:lang w:bidi="ar"/>
        </w:rPr>
        <w:t>年</w:t>
      </w:r>
      <w:r>
        <w:rPr>
          <w:rFonts w:hint="eastAsia" w:ascii="宋体" w:hAnsi="宋体" w:cs="宋体"/>
          <w:kern w:val="2"/>
          <w:sz w:val="21"/>
          <w:szCs w:val="21"/>
          <w:u w:val="single"/>
          <w:lang w:bidi="ar"/>
        </w:rPr>
        <w:t xml:space="preserve">     </w:t>
      </w:r>
      <w:r>
        <w:rPr>
          <w:rFonts w:hint="eastAsia" w:ascii="宋体" w:hAnsi="宋体" w:cs="宋体"/>
          <w:kern w:val="2"/>
          <w:sz w:val="21"/>
          <w:szCs w:val="21"/>
          <w:lang w:bidi="ar"/>
        </w:rPr>
        <w:t>月</w:t>
      </w:r>
      <w:r>
        <w:rPr>
          <w:rFonts w:hint="eastAsia" w:ascii="宋体" w:hAnsi="宋体" w:cs="宋体"/>
          <w:kern w:val="2"/>
          <w:sz w:val="21"/>
          <w:szCs w:val="21"/>
          <w:u w:val="single"/>
          <w:lang w:bidi="ar"/>
        </w:rPr>
        <w:t xml:space="preserve">     </w:t>
      </w:r>
      <w:r>
        <w:rPr>
          <w:rFonts w:hint="eastAsia" w:ascii="宋体" w:hAnsi="宋体" w:cs="宋体"/>
          <w:kern w:val="2"/>
          <w:sz w:val="21"/>
          <w:szCs w:val="21"/>
          <w:lang w:bidi="ar"/>
        </w:rPr>
        <w:t>日</w:t>
      </w:r>
      <w:r>
        <w:rPr>
          <w:rFonts w:hint="eastAsia" w:ascii="宋体" w:hAnsi="宋体" w:cs="宋体"/>
          <w:b w:val="0"/>
        </w:rPr>
        <w:br w:type="page"/>
      </w:r>
      <w:bookmarkStart w:id="801" w:name="_Toc57795999"/>
      <w:r>
        <w:rPr>
          <w:rFonts w:hint="eastAsia" w:ascii="宋体" w:hAnsi="宋体" w:cs="宋体"/>
          <w:bCs w:val="0"/>
        </w:rPr>
        <w:t>第五章  工程量清单</w:t>
      </w:r>
      <w:bookmarkEnd w:id="792"/>
      <w:bookmarkEnd w:id="793"/>
      <w:bookmarkEnd w:id="794"/>
      <w:bookmarkEnd w:id="795"/>
      <w:bookmarkEnd w:id="796"/>
      <w:bookmarkEnd w:id="800"/>
      <w:bookmarkEnd w:id="801"/>
    </w:p>
    <w:p w14:paraId="1C456CA4">
      <w:pPr>
        <w:snapToGrid w:val="0"/>
        <w:spacing w:line="360" w:lineRule="auto"/>
        <w:jc w:val="center"/>
        <w:rPr>
          <w:rFonts w:hint="eastAsia" w:ascii="宋体" w:hAnsi="宋体"/>
          <w:szCs w:val="21"/>
        </w:rPr>
      </w:pPr>
      <w:bookmarkStart w:id="802" w:name="招标文件05章工程量清单01"/>
      <w:bookmarkEnd w:id="802"/>
    </w:p>
    <w:p w14:paraId="10AF22E8">
      <w:pPr>
        <w:snapToGrid w:val="0"/>
        <w:spacing w:line="360" w:lineRule="auto"/>
        <w:jc w:val="center"/>
        <w:rPr>
          <w:rFonts w:hint="eastAsia" w:ascii="宋体" w:hAnsi="宋体"/>
          <w:szCs w:val="21"/>
        </w:rPr>
      </w:pPr>
      <w:r>
        <w:rPr>
          <w:rFonts w:hint="eastAsia" w:ascii="宋体" w:hAnsi="宋体"/>
          <w:szCs w:val="21"/>
        </w:rPr>
        <w:t>工程量清单等相关资料在</w:t>
      </w:r>
      <w:r>
        <w:rPr>
          <w:rFonts w:hint="eastAsia" w:ascii="宋体" w:hAnsi="宋体"/>
          <w:szCs w:val="21"/>
          <w:u w:val="single"/>
        </w:rPr>
        <w:t>重庆市公共资源交易网</w:t>
      </w:r>
      <w:r>
        <w:rPr>
          <w:rFonts w:hint="eastAsia" w:ascii="宋体" w:hAnsi="宋体"/>
          <w:szCs w:val="21"/>
        </w:rPr>
        <w:t>上下载。</w:t>
      </w:r>
    </w:p>
    <w:p w14:paraId="5D836945">
      <w:pPr>
        <w:autoSpaceDE w:val="0"/>
        <w:autoSpaceDN w:val="0"/>
        <w:adjustRightInd w:val="0"/>
        <w:snapToGrid w:val="0"/>
        <w:spacing w:line="360" w:lineRule="auto"/>
        <w:rPr>
          <w:rFonts w:ascii="宋体" w:hAnsi="宋体"/>
        </w:rPr>
      </w:pPr>
      <w:r>
        <w:rPr>
          <w:rFonts w:ascii="宋体" w:hAnsi="宋体"/>
          <w:sz w:val="24"/>
        </w:rPr>
        <w:br w:type="page"/>
      </w:r>
    </w:p>
    <w:p w14:paraId="0F13B76A">
      <w:pPr>
        <w:pStyle w:val="3"/>
        <w:spacing w:before="0" w:after="0" w:line="480" w:lineRule="auto"/>
        <w:jc w:val="center"/>
        <w:rPr>
          <w:rFonts w:hint="eastAsia" w:ascii="宋体" w:hAnsi="宋体"/>
          <w:sz w:val="52"/>
          <w:szCs w:val="52"/>
        </w:rPr>
      </w:pPr>
      <w:bookmarkStart w:id="803" w:name="_Toc57796000"/>
      <w:bookmarkStart w:id="804" w:name="_Toc509218844"/>
      <w:bookmarkStart w:id="805" w:name="_Toc14631"/>
      <w:bookmarkStart w:id="806" w:name="_Toc534185823"/>
      <w:r>
        <w:rPr>
          <w:rFonts w:hint="eastAsia" w:ascii="宋体" w:hAnsi="宋体"/>
          <w:sz w:val="52"/>
          <w:szCs w:val="52"/>
        </w:rPr>
        <w:t>第 二 卷</w:t>
      </w:r>
      <w:bookmarkEnd w:id="803"/>
      <w:bookmarkEnd w:id="804"/>
      <w:bookmarkEnd w:id="805"/>
      <w:bookmarkEnd w:id="806"/>
    </w:p>
    <w:p w14:paraId="4C9C4961">
      <w:pPr>
        <w:pStyle w:val="3"/>
        <w:spacing w:before="0" w:after="0" w:line="360" w:lineRule="auto"/>
        <w:jc w:val="center"/>
        <w:rPr>
          <w:rFonts w:hint="eastAsia"/>
          <w:sz w:val="48"/>
          <w:szCs w:val="48"/>
        </w:rPr>
      </w:pPr>
      <w:r>
        <w:rPr>
          <w:szCs w:val="20"/>
        </w:rPr>
        <w:br w:type="page"/>
      </w:r>
      <w:bookmarkStart w:id="807" w:name="招标文件06章图纸"/>
      <w:bookmarkEnd w:id="807"/>
      <w:bookmarkStart w:id="808" w:name="_Toc287607861"/>
      <w:bookmarkStart w:id="809" w:name="_Toc57796001"/>
      <w:bookmarkStart w:id="810" w:name="_Toc5696"/>
      <w:bookmarkStart w:id="811" w:name="_Toc287620803"/>
      <w:bookmarkStart w:id="812" w:name="_Toc509218846"/>
      <w:bookmarkStart w:id="813" w:name="_Toc534185825"/>
      <w:bookmarkStart w:id="814" w:name="_Toc430530519"/>
      <w:r>
        <w:rPr>
          <w:rFonts w:hint="eastAsia" w:ascii="宋体" w:hAnsi="宋体" w:cs="宋体"/>
          <w:bCs w:val="0"/>
        </w:rPr>
        <w:t>第六章  图纸</w:t>
      </w:r>
      <w:bookmarkEnd w:id="808"/>
      <w:bookmarkEnd w:id="809"/>
      <w:bookmarkEnd w:id="810"/>
      <w:bookmarkEnd w:id="811"/>
      <w:bookmarkEnd w:id="812"/>
      <w:bookmarkEnd w:id="813"/>
      <w:bookmarkEnd w:id="814"/>
    </w:p>
    <w:p w14:paraId="40FB88BD">
      <w:pPr>
        <w:spacing w:line="360" w:lineRule="auto"/>
        <w:jc w:val="center"/>
        <w:rPr>
          <w:rFonts w:hint="eastAsia" w:ascii="宋体" w:hAnsi="宋体"/>
          <w:szCs w:val="21"/>
        </w:rPr>
      </w:pPr>
    </w:p>
    <w:p w14:paraId="7EE11C90">
      <w:pPr>
        <w:spacing w:line="360" w:lineRule="auto"/>
        <w:jc w:val="center"/>
        <w:rPr>
          <w:rFonts w:ascii="宋体" w:hAnsi="宋体"/>
          <w:szCs w:val="21"/>
        </w:rPr>
      </w:pPr>
      <w:r>
        <w:rPr>
          <w:rFonts w:hint="eastAsia" w:ascii="宋体" w:hAnsi="宋体"/>
          <w:szCs w:val="21"/>
        </w:rPr>
        <w:t>图纸等相关资料在</w:t>
      </w:r>
      <w:r>
        <w:rPr>
          <w:rFonts w:hint="eastAsia" w:ascii="宋体" w:hAnsi="宋体"/>
          <w:szCs w:val="21"/>
          <w:u w:val="single"/>
        </w:rPr>
        <w:t>重庆市公共资源交易网</w:t>
      </w:r>
      <w:r>
        <w:rPr>
          <w:rFonts w:hint="eastAsia" w:ascii="宋体" w:hAnsi="宋体"/>
          <w:szCs w:val="21"/>
        </w:rPr>
        <w:t>上下载。</w:t>
      </w:r>
    </w:p>
    <w:p w14:paraId="43A0B723">
      <w:pPr>
        <w:spacing w:line="360" w:lineRule="auto"/>
        <w:rPr>
          <w:rFonts w:hint="eastAsia" w:ascii="宋体" w:hAnsi="宋体" w:cs="宋体"/>
        </w:rPr>
      </w:pPr>
      <w:r>
        <w:rPr>
          <w:rFonts w:ascii="宋体" w:hAnsi="宋体"/>
          <w:szCs w:val="20"/>
        </w:rPr>
        <w:br w:type="page"/>
      </w:r>
      <w:bookmarkStart w:id="815" w:name="招标文件06章图纸01"/>
      <w:bookmarkEnd w:id="815"/>
    </w:p>
    <w:p w14:paraId="2427D69B">
      <w:pPr>
        <w:pStyle w:val="3"/>
        <w:spacing w:before="0" w:after="0" w:line="480" w:lineRule="auto"/>
        <w:jc w:val="center"/>
        <w:rPr>
          <w:rFonts w:hint="eastAsia" w:ascii="宋体" w:hAnsi="宋体"/>
          <w:sz w:val="52"/>
          <w:szCs w:val="52"/>
        </w:rPr>
      </w:pPr>
      <w:bookmarkStart w:id="816" w:name="_Toc29671"/>
      <w:bookmarkStart w:id="817" w:name="_Toc57796002"/>
      <w:r>
        <w:rPr>
          <w:rFonts w:hint="eastAsia" w:ascii="宋体" w:hAnsi="宋体"/>
          <w:sz w:val="52"/>
          <w:szCs w:val="52"/>
        </w:rPr>
        <w:t>第 三 卷</w:t>
      </w:r>
      <w:bookmarkEnd w:id="816"/>
      <w:bookmarkEnd w:id="817"/>
    </w:p>
    <w:p w14:paraId="0E15EF16">
      <w:pPr>
        <w:pStyle w:val="3"/>
        <w:spacing w:before="0" w:after="0" w:line="360" w:lineRule="auto"/>
        <w:jc w:val="center"/>
        <w:rPr>
          <w:rFonts w:hint="eastAsia"/>
          <w:sz w:val="48"/>
          <w:szCs w:val="48"/>
        </w:rPr>
      </w:pPr>
      <w:bookmarkStart w:id="818" w:name="_Toc536782072"/>
      <w:bookmarkStart w:id="819" w:name="_Toc536773650"/>
      <w:bookmarkStart w:id="820" w:name="_Toc536781937"/>
      <w:bookmarkStart w:id="821" w:name="_Toc43278921"/>
      <w:bookmarkStart w:id="822" w:name="_Toc534185826"/>
      <w:bookmarkStart w:id="823" w:name="_Toc536781805"/>
      <w:bookmarkStart w:id="824" w:name="_Toc30239"/>
      <w:bookmarkStart w:id="825" w:name="_Toc37531145"/>
      <w:bookmarkStart w:id="826" w:name="_Toc536782206"/>
      <w:bookmarkStart w:id="827" w:name="_Toc536800736"/>
      <w:r>
        <w:rPr>
          <w:rFonts w:hint="eastAsia"/>
          <w:sz w:val="56"/>
          <w:szCs w:val="56"/>
        </w:rPr>
        <w:br w:type="page"/>
      </w:r>
      <w:bookmarkEnd w:id="818"/>
      <w:bookmarkEnd w:id="819"/>
      <w:bookmarkEnd w:id="820"/>
      <w:bookmarkEnd w:id="821"/>
      <w:bookmarkEnd w:id="822"/>
      <w:bookmarkEnd w:id="823"/>
      <w:bookmarkEnd w:id="824"/>
      <w:bookmarkEnd w:id="825"/>
      <w:bookmarkEnd w:id="826"/>
      <w:bookmarkEnd w:id="827"/>
      <w:bookmarkStart w:id="828" w:name="招标文件07章技术标准和要求"/>
      <w:bookmarkEnd w:id="828"/>
      <w:bookmarkStart w:id="829" w:name="_Toc29511"/>
      <w:bookmarkStart w:id="830" w:name="_Toc57796003"/>
      <w:r>
        <w:rPr>
          <w:rFonts w:hint="eastAsia" w:ascii="宋体" w:hAnsi="宋体" w:cs="宋体"/>
          <w:bCs w:val="0"/>
        </w:rPr>
        <w:t>第七章  技术标准和要求</w:t>
      </w:r>
      <w:bookmarkEnd w:id="829"/>
      <w:bookmarkEnd w:id="830"/>
      <w:bookmarkStart w:id="831" w:name="招标文件07章技术标准和要求01"/>
      <w:bookmarkEnd w:id="831"/>
      <w:bookmarkStart w:id="832" w:name="_Toc430530524"/>
      <w:bookmarkStart w:id="833" w:name="_Toc287620808"/>
    </w:p>
    <w:bookmarkEnd w:id="832"/>
    <w:bookmarkEnd w:id="833"/>
    <w:p w14:paraId="6823FF70">
      <w:pPr>
        <w:spacing w:line="360" w:lineRule="auto"/>
        <w:jc w:val="center"/>
        <w:rPr>
          <w:rFonts w:hint="eastAsia" w:ascii="宋体" w:hAnsi="宋体" w:cs="宋体"/>
          <w:i/>
        </w:rPr>
      </w:pPr>
    </w:p>
    <w:p w14:paraId="402C9CBE">
      <w:pPr>
        <w:spacing w:line="360" w:lineRule="auto"/>
        <w:jc w:val="center"/>
        <w:rPr>
          <w:rFonts w:hint="eastAsia" w:ascii="宋体" w:hAnsi="宋体" w:cs="宋体"/>
          <w:i/>
        </w:rPr>
      </w:pPr>
      <w:r>
        <w:rPr>
          <w:rFonts w:hint="eastAsia" w:ascii="宋体" w:hAnsi="宋体" w:cs="宋体"/>
          <w:i/>
        </w:rPr>
        <w:t>[提示：由招标人根据招标项目的实际情况编写。]</w:t>
      </w:r>
    </w:p>
    <w:p w14:paraId="0F544101">
      <w:pPr>
        <w:pStyle w:val="3"/>
        <w:spacing w:line="360" w:lineRule="auto"/>
        <w:jc w:val="center"/>
        <w:rPr>
          <w:rFonts w:ascii="宋体" w:hAnsi="宋体" w:cs="宋体"/>
          <w:b w:val="0"/>
          <w:sz w:val="48"/>
          <w:szCs w:val="48"/>
        </w:rPr>
      </w:pPr>
      <w:r>
        <w:rPr>
          <w:rFonts w:hint="eastAsia" w:ascii="宋体" w:hAnsi="宋体" w:cs="宋体"/>
          <w:b w:val="0"/>
          <w:sz w:val="48"/>
          <w:szCs w:val="48"/>
        </w:rPr>
        <w:br w:type="page"/>
      </w:r>
      <w:bookmarkStart w:id="834" w:name="_Toc1694"/>
      <w:bookmarkStart w:id="835" w:name="_Toc57796004"/>
      <w:r>
        <w:rPr>
          <w:rFonts w:hint="eastAsia" w:ascii="宋体" w:hAnsi="宋体" w:cs="宋体"/>
          <w:bCs w:val="0"/>
        </w:rPr>
        <w:t xml:space="preserve">第八章 </w:t>
      </w:r>
      <w:r>
        <w:rPr>
          <w:rFonts w:ascii="宋体" w:hAnsi="宋体" w:cs="宋体"/>
          <w:bCs w:val="0"/>
        </w:rPr>
        <w:t xml:space="preserve"> 工程量清单计量规则</w:t>
      </w:r>
      <w:bookmarkEnd w:id="834"/>
      <w:bookmarkEnd w:id="835"/>
    </w:p>
    <w:p w14:paraId="02C77659">
      <w:pPr>
        <w:spacing w:line="360" w:lineRule="auto"/>
        <w:jc w:val="center"/>
        <w:rPr>
          <w:rFonts w:hint="eastAsia" w:ascii="宋体" w:hAnsi="宋体"/>
          <w:i/>
        </w:rPr>
      </w:pPr>
      <w:bookmarkStart w:id="836" w:name="_Toc534185827"/>
      <w:bookmarkStart w:id="837" w:name="_Toc509218849"/>
      <w:r>
        <w:rPr>
          <w:rFonts w:hint="eastAsia" w:ascii="宋体" w:hAnsi="宋体"/>
          <w:i/>
        </w:rPr>
        <w:t>[提示：参照交通运输部和重庆市交通局发布的清单计量规范。]</w:t>
      </w:r>
    </w:p>
    <w:p w14:paraId="58A0DA09">
      <w:pPr>
        <w:spacing w:line="360" w:lineRule="auto"/>
        <w:jc w:val="center"/>
        <w:rPr>
          <w:rFonts w:hint="eastAsia" w:ascii="宋体" w:hAnsi="宋体"/>
          <w:szCs w:val="21"/>
        </w:rPr>
      </w:pPr>
      <w:r>
        <w:rPr>
          <w:rFonts w:hint="eastAsia" w:ascii="宋体" w:hAnsi="宋体"/>
          <w:szCs w:val="21"/>
        </w:rPr>
        <w:t>工程量清单计量规则等相关资料在</w:t>
      </w:r>
      <w:r>
        <w:rPr>
          <w:rFonts w:hint="eastAsia" w:ascii="宋体" w:hAnsi="宋体"/>
          <w:szCs w:val="21"/>
          <w:u w:val="single"/>
        </w:rPr>
        <w:t>重庆市公共资源交易网</w:t>
      </w:r>
      <w:r>
        <w:rPr>
          <w:rFonts w:hint="eastAsia" w:ascii="宋体" w:hAnsi="宋体"/>
          <w:szCs w:val="21"/>
        </w:rPr>
        <w:t>上下载。</w:t>
      </w:r>
    </w:p>
    <w:p w14:paraId="7F9B69CE">
      <w:pPr>
        <w:pStyle w:val="3"/>
        <w:spacing w:before="0" w:after="0" w:line="480" w:lineRule="auto"/>
        <w:jc w:val="center"/>
        <w:rPr>
          <w:rFonts w:hint="eastAsia" w:ascii="宋体" w:hAnsi="宋体"/>
          <w:sz w:val="52"/>
          <w:szCs w:val="52"/>
        </w:rPr>
      </w:pPr>
      <w:r>
        <w:rPr>
          <w:rFonts w:hint="eastAsia" w:ascii="宋体" w:hAnsi="宋体"/>
          <w:sz w:val="52"/>
          <w:szCs w:val="52"/>
        </w:rPr>
        <w:br w:type="page"/>
      </w:r>
      <w:bookmarkStart w:id="838" w:name="_Toc57796005"/>
      <w:bookmarkStart w:id="839" w:name="_Toc18667"/>
      <w:r>
        <w:rPr>
          <w:rFonts w:hint="eastAsia" w:ascii="宋体" w:hAnsi="宋体"/>
          <w:sz w:val="52"/>
          <w:szCs w:val="52"/>
        </w:rPr>
        <w:t>第 四 卷</w:t>
      </w:r>
      <w:bookmarkEnd w:id="836"/>
      <w:bookmarkEnd w:id="837"/>
      <w:bookmarkEnd w:id="838"/>
      <w:bookmarkEnd w:id="839"/>
    </w:p>
    <w:p w14:paraId="4A4244B9">
      <w:pPr>
        <w:pStyle w:val="3"/>
        <w:spacing w:before="0" w:after="0" w:line="360" w:lineRule="auto"/>
        <w:jc w:val="center"/>
        <w:rPr>
          <w:rFonts w:hint="eastAsia" w:ascii="宋体" w:hAnsi="宋体" w:cs="宋体"/>
          <w:b w:val="0"/>
          <w:sz w:val="48"/>
          <w:szCs w:val="48"/>
        </w:rPr>
      </w:pPr>
      <w:bookmarkStart w:id="840" w:name="招标文件08章投标文件格式"/>
      <w:bookmarkEnd w:id="840"/>
      <w:bookmarkStart w:id="841" w:name="_Toc509218852"/>
      <w:bookmarkStart w:id="842" w:name="_Toc287607865"/>
      <w:bookmarkStart w:id="843" w:name="_Toc534185829"/>
      <w:bookmarkStart w:id="844" w:name="_Toc430530528"/>
      <w:bookmarkStart w:id="845" w:name="_Toc287620812"/>
      <w:r>
        <w:rPr>
          <w:rFonts w:hint="eastAsia" w:ascii="宋体" w:hAnsi="宋体" w:cs="宋体"/>
          <w:b w:val="0"/>
          <w:sz w:val="48"/>
          <w:szCs w:val="48"/>
        </w:rPr>
        <w:br w:type="page"/>
      </w:r>
      <w:bookmarkStart w:id="846" w:name="_Toc57796006"/>
      <w:bookmarkStart w:id="847" w:name="_Toc15099"/>
      <w:r>
        <w:rPr>
          <w:rFonts w:hint="eastAsia" w:ascii="宋体" w:hAnsi="宋体" w:cs="宋体"/>
          <w:bCs w:val="0"/>
        </w:rPr>
        <w:t>第九章  投标文件格式</w:t>
      </w:r>
      <w:bookmarkEnd w:id="841"/>
      <w:bookmarkEnd w:id="842"/>
      <w:bookmarkEnd w:id="843"/>
      <w:bookmarkEnd w:id="844"/>
      <w:bookmarkEnd w:id="845"/>
      <w:bookmarkEnd w:id="846"/>
      <w:bookmarkEnd w:id="847"/>
    </w:p>
    <w:p w14:paraId="57EC75C3">
      <w:pPr>
        <w:spacing w:line="360" w:lineRule="auto"/>
        <w:jc w:val="center"/>
        <w:outlineLvl w:val="0"/>
        <w:rPr>
          <w:rFonts w:ascii="宋体" w:hAnsi="宋体"/>
          <w:szCs w:val="20"/>
        </w:rPr>
      </w:pPr>
      <w:r>
        <w:rPr>
          <w:rFonts w:hint="eastAsia" w:ascii="宋体" w:hAnsi="宋体" w:cs="宋体"/>
          <w:szCs w:val="20"/>
        </w:rPr>
        <w:br w:type="page"/>
      </w:r>
      <w:bookmarkStart w:id="848" w:name="_Toc22448"/>
      <w:bookmarkStart w:id="849" w:name="_Toc26611"/>
      <w:bookmarkStart w:id="850" w:name="_Toc28692"/>
      <w:r>
        <w:rPr>
          <w:rFonts w:hint="eastAsia" w:ascii="宋体" w:hAnsi="宋体"/>
          <w:b/>
          <w:bCs/>
          <w:sz w:val="36"/>
          <w:szCs w:val="36"/>
        </w:rPr>
        <w:t>目  录</w:t>
      </w:r>
      <w:bookmarkEnd w:id="848"/>
      <w:bookmarkEnd w:id="849"/>
      <w:bookmarkEnd w:id="850"/>
    </w:p>
    <w:p w14:paraId="236CD672">
      <w:pPr>
        <w:spacing w:line="360" w:lineRule="auto"/>
        <w:outlineLvl w:val="0"/>
        <w:rPr>
          <w:rFonts w:ascii="宋体" w:hAnsi="宋体"/>
          <w:b/>
        </w:rPr>
      </w:pPr>
      <w:bookmarkStart w:id="851" w:name="_Toc4249"/>
      <w:bookmarkStart w:id="852" w:name="_Toc22705"/>
      <w:bookmarkStart w:id="853" w:name="_Toc19549"/>
      <w:r>
        <w:rPr>
          <w:rFonts w:hint="eastAsia" w:ascii="宋体" w:hAnsi="宋体"/>
          <w:b/>
        </w:rPr>
        <w:t>一</w:t>
      </w:r>
      <w:r>
        <w:rPr>
          <w:rFonts w:ascii="宋体" w:hAnsi="宋体"/>
          <w:b/>
        </w:rPr>
        <w:t>、投标函部分</w:t>
      </w:r>
      <w:bookmarkEnd w:id="851"/>
      <w:bookmarkEnd w:id="852"/>
      <w:bookmarkEnd w:id="853"/>
    </w:p>
    <w:p w14:paraId="0FC62F30">
      <w:pPr>
        <w:spacing w:line="360" w:lineRule="auto"/>
        <w:ind w:firstLine="420" w:firstLineChars="200"/>
        <w:rPr>
          <w:rFonts w:ascii="宋体" w:hAnsi="宋体"/>
        </w:rPr>
      </w:pPr>
      <w:r>
        <w:rPr>
          <w:rFonts w:ascii="宋体" w:hAnsi="宋体"/>
        </w:rPr>
        <w:t>（一）投标函</w:t>
      </w:r>
    </w:p>
    <w:p w14:paraId="1412A519">
      <w:pPr>
        <w:spacing w:line="360" w:lineRule="auto"/>
        <w:ind w:firstLine="420" w:firstLineChars="200"/>
        <w:rPr>
          <w:rFonts w:ascii="宋体" w:hAnsi="宋体"/>
        </w:rPr>
      </w:pPr>
      <w:r>
        <w:rPr>
          <w:rFonts w:ascii="宋体" w:hAnsi="宋体"/>
        </w:rPr>
        <w:t>（二）投标函附录</w:t>
      </w:r>
    </w:p>
    <w:p w14:paraId="3EBBE6E6">
      <w:pPr>
        <w:spacing w:line="360" w:lineRule="auto"/>
        <w:ind w:firstLine="420" w:firstLineChars="200"/>
        <w:rPr>
          <w:rFonts w:ascii="宋体" w:hAnsi="宋体"/>
        </w:rPr>
      </w:pPr>
      <w:r>
        <w:rPr>
          <w:rFonts w:ascii="宋体" w:hAnsi="宋体"/>
        </w:rPr>
        <w:t>（三）</w:t>
      </w:r>
      <w:r>
        <w:rPr>
          <w:rFonts w:hint="eastAsia" w:ascii="宋体" w:hAnsi="宋体"/>
        </w:rPr>
        <w:t>法定代表人身份证明或附有法定代表人身份证明的授权委托书</w:t>
      </w:r>
    </w:p>
    <w:p w14:paraId="0203907D">
      <w:pPr>
        <w:spacing w:line="360" w:lineRule="auto"/>
        <w:ind w:firstLine="420" w:firstLineChars="200"/>
        <w:rPr>
          <w:rFonts w:ascii="宋体" w:hAnsi="宋体"/>
        </w:rPr>
      </w:pPr>
      <w:r>
        <w:rPr>
          <w:rFonts w:ascii="宋体" w:hAnsi="宋体"/>
        </w:rPr>
        <w:t>（四）</w:t>
      </w:r>
      <w:r>
        <w:rPr>
          <w:rFonts w:hint="eastAsia" w:ascii="宋体" w:hAnsi="宋体"/>
        </w:rPr>
        <w:t>低价风险担保提交承诺书（如有）</w:t>
      </w:r>
    </w:p>
    <w:p w14:paraId="4A670A60">
      <w:pPr>
        <w:spacing w:line="360" w:lineRule="auto"/>
        <w:outlineLvl w:val="0"/>
        <w:rPr>
          <w:rFonts w:ascii="宋体" w:hAnsi="宋体"/>
          <w:b/>
        </w:rPr>
      </w:pPr>
      <w:bookmarkStart w:id="854" w:name="_Toc11376"/>
      <w:bookmarkStart w:id="855" w:name="_Toc17235"/>
      <w:bookmarkStart w:id="856" w:name="_Toc147"/>
      <w:r>
        <w:rPr>
          <w:rFonts w:hint="eastAsia" w:ascii="宋体" w:hAnsi="宋体"/>
          <w:b/>
        </w:rPr>
        <w:t>二</w:t>
      </w:r>
      <w:r>
        <w:rPr>
          <w:rFonts w:ascii="宋体" w:hAnsi="宋体"/>
          <w:b/>
        </w:rPr>
        <w:t>、</w:t>
      </w:r>
      <w:r>
        <w:rPr>
          <w:rFonts w:hint="eastAsia" w:ascii="宋体" w:hAnsi="宋体"/>
          <w:b/>
        </w:rPr>
        <w:t>经济</w:t>
      </w:r>
      <w:r>
        <w:rPr>
          <w:rFonts w:ascii="宋体" w:hAnsi="宋体"/>
          <w:b/>
        </w:rPr>
        <w:t>部分</w:t>
      </w:r>
      <w:bookmarkEnd w:id="854"/>
      <w:bookmarkEnd w:id="855"/>
      <w:bookmarkEnd w:id="856"/>
    </w:p>
    <w:p w14:paraId="4D1E949E">
      <w:pPr>
        <w:spacing w:line="360" w:lineRule="auto"/>
        <w:ind w:firstLine="420" w:firstLineChars="200"/>
        <w:rPr>
          <w:rFonts w:ascii="宋体" w:hAnsi="宋体"/>
        </w:rPr>
      </w:pPr>
      <w:r>
        <w:rPr>
          <w:rFonts w:hint="eastAsia" w:ascii="宋体" w:hAnsi="宋体"/>
        </w:rPr>
        <w:t>已标价工程量清单</w:t>
      </w:r>
    </w:p>
    <w:p w14:paraId="0C13BCAA">
      <w:pPr>
        <w:spacing w:line="360" w:lineRule="auto"/>
        <w:outlineLvl w:val="0"/>
        <w:rPr>
          <w:rFonts w:ascii="宋体" w:hAnsi="宋体"/>
          <w:b/>
        </w:rPr>
      </w:pPr>
      <w:bookmarkStart w:id="857" w:name="_Toc4042"/>
      <w:bookmarkStart w:id="858" w:name="_Toc18615"/>
      <w:bookmarkStart w:id="859" w:name="_Toc13920"/>
      <w:r>
        <w:rPr>
          <w:rFonts w:hint="eastAsia" w:ascii="宋体" w:hAnsi="宋体"/>
          <w:b/>
        </w:rPr>
        <w:t>三</w:t>
      </w:r>
      <w:r>
        <w:rPr>
          <w:rFonts w:ascii="宋体" w:hAnsi="宋体"/>
          <w:b/>
        </w:rPr>
        <w:t>、</w:t>
      </w:r>
      <w:r>
        <w:rPr>
          <w:rFonts w:hint="eastAsia" w:ascii="宋体" w:hAnsi="宋体"/>
          <w:b/>
        </w:rPr>
        <w:t>商务</w:t>
      </w:r>
      <w:r>
        <w:rPr>
          <w:rFonts w:ascii="宋体" w:hAnsi="宋体"/>
          <w:b/>
        </w:rPr>
        <w:t>部分（不设置</w:t>
      </w:r>
      <w:r>
        <w:rPr>
          <w:rFonts w:hint="eastAsia" w:ascii="宋体" w:hAnsi="宋体"/>
          <w:b/>
        </w:rPr>
        <w:t>商务部分</w:t>
      </w:r>
      <w:r>
        <w:rPr>
          <w:rFonts w:ascii="宋体" w:hAnsi="宋体"/>
          <w:b/>
        </w:rPr>
        <w:t>评审的不设此部分）</w:t>
      </w:r>
      <w:bookmarkEnd w:id="857"/>
      <w:bookmarkEnd w:id="858"/>
      <w:bookmarkEnd w:id="859"/>
    </w:p>
    <w:p w14:paraId="3517ACA7">
      <w:pPr>
        <w:spacing w:line="360" w:lineRule="auto"/>
        <w:outlineLvl w:val="0"/>
        <w:rPr>
          <w:rFonts w:ascii="宋体" w:hAnsi="宋体"/>
          <w:b/>
        </w:rPr>
      </w:pPr>
      <w:bookmarkStart w:id="860" w:name="_Toc32260"/>
      <w:bookmarkStart w:id="861" w:name="_Toc16201"/>
      <w:bookmarkStart w:id="862" w:name="_Toc11772"/>
      <w:r>
        <w:rPr>
          <w:rFonts w:hint="eastAsia" w:ascii="宋体" w:hAnsi="宋体"/>
          <w:b/>
        </w:rPr>
        <w:t>四</w:t>
      </w:r>
      <w:r>
        <w:rPr>
          <w:rFonts w:ascii="宋体" w:hAnsi="宋体"/>
          <w:b/>
        </w:rPr>
        <w:t>、技术部分（不设置</w:t>
      </w:r>
      <w:r>
        <w:rPr>
          <w:rFonts w:hint="eastAsia" w:ascii="宋体" w:hAnsi="宋体"/>
          <w:b/>
        </w:rPr>
        <w:t>技术方案</w:t>
      </w:r>
      <w:r>
        <w:rPr>
          <w:rFonts w:ascii="宋体" w:hAnsi="宋体"/>
          <w:b/>
        </w:rPr>
        <w:t>评审的不设此部分）</w:t>
      </w:r>
      <w:bookmarkEnd w:id="860"/>
      <w:bookmarkEnd w:id="861"/>
      <w:bookmarkEnd w:id="862"/>
    </w:p>
    <w:p w14:paraId="5781F44F">
      <w:pPr>
        <w:spacing w:line="360" w:lineRule="auto"/>
        <w:ind w:firstLine="420" w:firstLineChars="200"/>
        <w:rPr>
          <w:rFonts w:hint="eastAsia" w:ascii="宋体" w:hAnsi="宋体"/>
        </w:rPr>
      </w:pPr>
      <w:r>
        <w:rPr>
          <w:rFonts w:hint="eastAsia" w:ascii="宋体" w:hAnsi="宋体"/>
        </w:rPr>
        <w:t>技术方案</w:t>
      </w:r>
    </w:p>
    <w:p w14:paraId="636D4765">
      <w:pPr>
        <w:spacing w:line="360" w:lineRule="auto"/>
        <w:outlineLvl w:val="0"/>
        <w:rPr>
          <w:rFonts w:ascii="宋体" w:hAnsi="宋体"/>
          <w:b/>
        </w:rPr>
      </w:pPr>
      <w:bookmarkStart w:id="863" w:name="_Toc29469"/>
      <w:bookmarkStart w:id="864" w:name="_Toc3727"/>
      <w:bookmarkStart w:id="865" w:name="_Toc211"/>
      <w:r>
        <w:rPr>
          <w:rFonts w:hint="eastAsia" w:ascii="宋体" w:hAnsi="宋体"/>
          <w:b/>
        </w:rPr>
        <w:t>五</w:t>
      </w:r>
      <w:r>
        <w:rPr>
          <w:rFonts w:ascii="宋体" w:hAnsi="宋体"/>
          <w:b/>
        </w:rPr>
        <w:t>、</w:t>
      </w:r>
      <w:r>
        <w:rPr>
          <w:rFonts w:hint="eastAsia" w:ascii="宋体" w:hAnsi="宋体"/>
          <w:b/>
        </w:rPr>
        <w:t>资格审查部分</w:t>
      </w:r>
      <w:bookmarkEnd w:id="863"/>
      <w:bookmarkEnd w:id="864"/>
      <w:bookmarkEnd w:id="865"/>
    </w:p>
    <w:p w14:paraId="55036E8F">
      <w:pPr>
        <w:spacing w:line="360" w:lineRule="auto"/>
        <w:ind w:firstLine="420" w:firstLineChars="200"/>
        <w:rPr>
          <w:rFonts w:ascii="宋体" w:hAnsi="宋体"/>
        </w:rPr>
      </w:pPr>
      <w:r>
        <w:rPr>
          <w:rFonts w:ascii="宋体" w:hAnsi="宋体"/>
        </w:rPr>
        <w:t>（一）</w:t>
      </w:r>
      <w:r>
        <w:rPr>
          <w:rFonts w:hint="eastAsia" w:ascii="宋体" w:hAnsi="宋体"/>
        </w:rPr>
        <w:t>法定代表人身份证明或附有法定代表人身份证明的授权委托书</w:t>
      </w:r>
    </w:p>
    <w:p w14:paraId="336810ED">
      <w:pPr>
        <w:spacing w:line="360" w:lineRule="auto"/>
        <w:ind w:firstLine="420" w:firstLineChars="200"/>
        <w:rPr>
          <w:rFonts w:ascii="宋体" w:hAnsi="宋体"/>
        </w:rPr>
      </w:pPr>
      <w:r>
        <w:rPr>
          <w:rFonts w:ascii="宋体" w:hAnsi="宋体"/>
        </w:rPr>
        <w:t>（二）联合体协议书</w:t>
      </w:r>
      <w:r>
        <w:rPr>
          <w:rFonts w:hint="eastAsia" w:ascii="宋体" w:hAnsi="宋体"/>
        </w:rPr>
        <w:t>（如有）</w:t>
      </w:r>
    </w:p>
    <w:p w14:paraId="6CDFFF10">
      <w:pPr>
        <w:spacing w:line="360" w:lineRule="auto"/>
        <w:ind w:firstLine="420" w:firstLineChars="200"/>
        <w:rPr>
          <w:rFonts w:ascii="宋体" w:hAnsi="宋体"/>
        </w:rPr>
      </w:pPr>
      <w:r>
        <w:rPr>
          <w:rFonts w:ascii="宋体" w:hAnsi="宋体"/>
        </w:rPr>
        <w:t>（三）投标人基本情况表</w:t>
      </w:r>
    </w:p>
    <w:p w14:paraId="6DF20D0B">
      <w:pPr>
        <w:spacing w:line="360" w:lineRule="auto"/>
        <w:ind w:firstLine="420" w:firstLineChars="200"/>
        <w:rPr>
          <w:rFonts w:ascii="宋体" w:hAnsi="宋体"/>
        </w:rPr>
      </w:pPr>
      <w:r>
        <w:rPr>
          <w:rFonts w:ascii="宋体" w:hAnsi="宋体"/>
        </w:rPr>
        <w:t>（四）项目管理机构</w:t>
      </w:r>
    </w:p>
    <w:p w14:paraId="5DD96681">
      <w:pPr>
        <w:spacing w:line="360" w:lineRule="auto"/>
        <w:ind w:firstLine="420" w:firstLineChars="200"/>
        <w:rPr>
          <w:rFonts w:ascii="宋体" w:hAnsi="宋体"/>
        </w:rPr>
      </w:pPr>
      <w:r>
        <w:rPr>
          <w:rFonts w:ascii="宋体" w:hAnsi="宋体"/>
        </w:rPr>
        <w:t>（五）近年财务状况表</w:t>
      </w:r>
    </w:p>
    <w:p w14:paraId="3B0DF9EA">
      <w:pPr>
        <w:spacing w:line="360" w:lineRule="auto"/>
        <w:ind w:firstLine="420" w:firstLineChars="200"/>
        <w:rPr>
          <w:rFonts w:ascii="宋体" w:hAnsi="宋体"/>
        </w:rPr>
      </w:pPr>
      <w:r>
        <w:rPr>
          <w:rFonts w:ascii="宋体" w:hAnsi="宋体"/>
        </w:rPr>
        <w:t>（六）类似项目情况表</w:t>
      </w:r>
    </w:p>
    <w:p w14:paraId="400066D5">
      <w:pPr>
        <w:spacing w:line="360" w:lineRule="auto"/>
        <w:ind w:firstLine="420" w:firstLineChars="200"/>
        <w:rPr>
          <w:rFonts w:ascii="宋体" w:hAnsi="宋体"/>
        </w:rPr>
      </w:pPr>
      <w:r>
        <w:rPr>
          <w:rFonts w:ascii="宋体" w:hAnsi="宋体"/>
        </w:rPr>
        <w:t>（七）</w:t>
      </w:r>
      <w:r>
        <w:rPr>
          <w:rFonts w:hint="eastAsia" w:ascii="宋体" w:hAnsi="宋体"/>
        </w:rPr>
        <w:t>承诺</w:t>
      </w:r>
    </w:p>
    <w:p w14:paraId="725FF67E">
      <w:pPr>
        <w:spacing w:line="360" w:lineRule="auto"/>
        <w:ind w:firstLine="420" w:firstLineChars="200"/>
        <w:rPr>
          <w:rFonts w:hint="eastAsia" w:ascii="宋体" w:hAnsi="宋体"/>
        </w:rPr>
      </w:pPr>
      <w:r>
        <w:rPr>
          <w:rFonts w:ascii="宋体" w:hAnsi="宋体"/>
        </w:rPr>
        <w:t>（</w:t>
      </w:r>
      <w:r>
        <w:rPr>
          <w:rFonts w:hint="eastAsia" w:ascii="宋体" w:hAnsi="宋体"/>
        </w:rPr>
        <w:t>八</w:t>
      </w:r>
      <w:r>
        <w:rPr>
          <w:rFonts w:ascii="宋体" w:hAnsi="宋体"/>
        </w:rPr>
        <w:t>）其他资料</w:t>
      </w:r>
    </w:p>
    <w:p w14:paraId="60B3DC32">
      <w:pPr>
        <w:pStyle w:val="4"/>
        <w:spacing w:line="360" w:lineRule="auto"/>
        <w:jc w:val="center"/>
        <w:rPr>
          <w:rFonts w:ascii="宋体" w:hAnsi="宋体"/>
          <w:b w:val="0"/>
          <w:bCs w:val="0"/>
          <w:sz w:val="44"/>
          <w:szCs w:val="44"/>
        </w:rPr>
      </w:pPr>
      <w:r>
        <w:rPr>
          <w:rFonts w:hint="eastAsia" w:ascii="宋体" w:hAnsi="宋体"/>
        </w:rPr>
        <w:br w:type="page"/>
      </w:r>
      <w:bookmarkStart w:id="866" w:name="_Toc33106472"/>
      <w:bookmarkStart w:id="867" w:name="_Toc57796007"/>
      <w:bookmarkStart w:id="868" w:name="_Toc30232"/>
      <w:r>
        <w:rPr>
          <w:rFonts w:hint="eastAsia" w:ascii="宋体" w:hAnsi="宋体"/>
          <w:b w:val="0"/>
          <w:bCs w:val="0"/>
          <w:sz w:val="44"/>
          <w:szCs w:val="44"/>
        </w:rPr>
        <w:t>一、投标函部分</w:t>
      </w:r>
      <w:bookmarkEnd w:id="866"/>
      <w:bookmarkEnd w:id="867"/>
      <w:bookmarkEnd w:id="868"/>
    </w:p>
    <w:p w14:paraId="2E558623">
      <w:pPr>
        <w:rPr>
          <w:rFonts w:hint="eastAsia" w:ascii="宋体" w:hAnsi="宋体"/>
        </w:rPr>
      </w:pPr>
      <w:r>
        <w:rPr>
          <w:rFonts w:hint="eastAsia" w:ascii="宋体" w:hAnsi="宋体"/>
        </w:rPr>
        <w:br w:type="page"/>
      </w:r>
    </w:p>
    <w:p w14:paraId="053A2E4B">
      <w:pPr>
        <w:pStyle w:val="2"/>
        <w:rPr>
          <w:rFonts w:hint="eastAsia" w:ascii="宋体" w:hAnsi="宋体"/>
        </w:rPr>
      </w:pPr>
    </w:p>
    <w:p w14:paraId="095F8AE5">
      <w:pPr>
        <w:spacing w:line="360" w:lineRule="auto"/>
        <w:jc w:val="center"/>
        <w:outlineLvl w:val="1"/>
        <w:rPr>
          <w:rFonts w:hint="eastAsia" w:ascii="宋体" w:hAnsi="宋体"/>
          <w:kern w:val="0"/>
          <w:sz w:val="32"/>
          <w:szCs w:val="32"/>
          <w:u w:val="single"/>
        </w:rPr>
      </w:pPr>
      <w:bookmarkStart w:id="869" w:name="_Toc536800771"/>
      <w:bookmarkStart w:id="870" w:name="_Toc509218853"/>
      <w:bookmarkStart w:id="871" w:name="_Toc534185830"/>
      <w:r>
        <w:rPr>
          <w:rFonts w:hint="eastAsia" w:ascii="宋体" w:hAnsi="宋体"/>
          <w:b/>
          <w:sz w:val="32"/>
          <w:szCs w:val="32"/>
        </w:rPr>
        <w:t xml:space="preserve"> </w:t>
      </w:r>
      <w:r>
        <w:rPr>
          <w:rFonts w:hint="eastAsia" w:ascii="宋体" w:hAnsi="宋体"/>
          <w:kern w:val="0"/>
          <w:sz w:val="32"/>
          <w:szCs w:val="32"/>
          <w:u w:val="single"/>
        </w:rPr>
        <w:t xml:space="preserve">                   </w:t>
      </w:r>
      <w:bookmarkStart w:id="872" w:name="_Toc22125"/>
      <w:bookmarkStart w:id="873" w:name="_Toc21880"/>
      <w:bookmarkStart w:id="874" w:name="_Toc15500"/>
      <w:bookmarkStart w:id="875" w:name="_Toc12086"/>
      <w:bookmarkStart w:id="876" w:name="_Toc13151"/>
      <w:bookmarkStart w:id="877" w:name="_Toc3879"/>
      <w:bookmarkStart w:id="878" w:name="_Toc27099"/>
      <w:r>
        <w:rPr>
          <w:rFonts w:hint="eastAsia" w:ascii="宋体" w:hAnsi="宋体"/>
          <w:kern w:val="0"/>
          <w:sz w:val="32"/>
          <w:szCs w:val="32"/>
          <w:u w:val="single"/>
        </w:rPr>
        <w:t>（项目名称）</w:t>
      </w:r>
      <w:bookmarkEnd w:id="872"/>
      <w:bookmarkEnd w:id="873"/>
      <w:bookmarkEnd w:id="874"/>
      <w:bookmarkEnd w:id="875"/>
      <w:bookmarkEnd w:id="876"/>
      <w:bookmarkEnd w:id="877"/>
      <w:bookmarkEnd w:id="878"/>
    </w:p>
    <w:p w14:paraId="7F604EFA">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910DC0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97A0CCD">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6F1867DA">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D0686E0">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64C1F78D">
      <w:pPr>
        <w:autoSpaceDE w:val="0"/>
        <w:autoSpaceDN w:val="0"/>
        <w:adjustRightInd w:val="0"/>
        <w:snapToGrid w:val="0"/>
        <w:spacing w:line="360" w:lineRule="auto"/>
        <w:jc w:val="left"/>
        <w:rPr>
          <w:rFonts w:ascii="宋体" w:hAnsi="宋体"/>
          <w:kern w:val="0"/>
          <w:sz w:val="16"/>
          <w:szCs w:val="16"/>
        </w:rPr>
      </w:pPr>
    </w:p>
    <w:p w14:paraId="709233ED">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投标函部分</w:t>
      </w:r>
    </w:p>
    <w:p w14:paraId="12B73605">
      <w:pPr>
        <w:autoSpaceDE w:val="0"/>
        <w:autoSpaceDN w:val="0"/>
        <w:adjustRightInd w:val="0"/>
        <w:snapToGrid w:val="0"/>
        <w:spacing w:line="360" w:lineRule="auto"/>
        <w:jc w:val="left"/>
        <w:rPr>
          <w:rFonts w:ascii="宋体" w:hAnsi="宋体"/>
          <w:b/>
          <w:kern w:val="0"/>
          <w:sz w:val="20"/>
          <w:szCs w:val="20"/>
        </w:rPr>
      </w:pPr>
    </w:p>
    <w:p w14:paraId="74BC89C8">
      <w:pPr>
        <w:autoSpaceDE w:val="0"/>
        <w:autoSpaceDN w:val="0"/>
        <w:adjustRightInd w:val="0"/>
        <w:snapToGrid w:val="0"/>
        <w:spacing w:line="360" w:lineRule="auto"/>
        <w:jc w:val="left"/>
        <w:rPr>
          <w:rFonts w:ascii="宋体" w:hAnsi="宋体"/>
          <w:b/>
          <w:kern w:val="0"/>
          <w:sz w:val="20"/>
          <w:szCs w:val="20"/>
        </w:rPr>
      </w:pPr>
    </w:p>
    <w:p w14:paraId="5460AA83">
      <w:pPr>
        <w:autoSpaceDE w:val="0"/>
        <w:autoSpaceDN w:val="0"/>
        <w:adjustRightInd w:val="0"/>
        <w:snapToGrid w:val="0"/>
        <w:spacing w:line="360" w:lineRule="auto"/>
        <w:jc w:val="left"/>
        <w:rPr>
          <w:rFonts w:ascii="宋体" w:hAnsi="宋体"/>
          <w:b/>
          <w:kern w:val="0"/>
          <w:sz w:val="20"/>
          <w:szCs w:val="20"/>
        </w:rPr>
      </w:pPr>
    </w:p>
    <w:p w14:paraId="57B5DAF5">
      <w:pPr>
        <w:autoSpaceDE w:val="0"/>
        <w:autoSpaceDN w:val="0"/>
        <w:adjustRightInd w:val="0"/>
        <w:snapToGrid w:val="0"/>
        <w:spacing w:line="360" w:lineRule="auto"/>
        <w:jc w:val="left"/>
        <w:rPr>
          <w:rFonts w:ascii="宋体" w:hAnsi="宋体"/>
          <w:b/>
          <w:kern w:val="0"/>
          <w:sz w:val="20"/>
          <w:szCs w:val="20"/>
        </w:rPr>
      </w:pPr>
    </w:p>
    <w:p w14:paraId="0E620834">
      <w:pPr>
        <w:autoSpaceDE w:val="0"/>
        <w:autoSpaceDN w:val="0"/>
        <w:adjustRightInd w:val="0"/>
        <w:snapToGrid w:val="0"/>
        <w:spacing w:line="360" w:lineRule="auto"/>
        <w:jc w:val="left"/>
        <w:rPr>
          <w:rFonts w:ascii="宋体" w:hAnsi="宋体"/>
          <w:b/>
          <w:kern w:val="0"/>
          <w:sz w:val="20"/>
          <w:szCs w:val="20"/>
        </w:rPr>
      </w:pPr>
    </w:p>
    <w:p w14:paraId="1B812485">
      <w:pPr>
        <w:autoSpaceDE w:val="0"/>
        <w:autoSpaceDN w:val="0"/>
        <w:adjustRightInd w:val="0"/>
        <w:snapToGrid w:val="0"/>
        <w:spacing w:line="360" w:lineRule="auto"/>
        <w:jc w:val="left"/>
        <w:rPr>
          <w:rFonts w:ascii="宋体" w:hAnsi="宋体"/>
          <w:b/>
          <w:kern w:val="0"/>
          <w:sz w:val="20"/>
          <w:szCs w:val="20"/>
        </w:rPr>
      </w:pPr>
    </w:p>
    <w:p w14:paraId="30A6C3E4">
      <w:pPr>
        <w:autoSpaceDE w:val="0"/>
        <w:autoSpaceDN w:val="0"/>
        <w:adjustRightInd w:val="0"/>
        <w:snapToGrid w:val="0"/>
        <w:spacing w:line="360" w:lineRule="auto"/>
        <w:jc w:val="left"/>
        <w:rPr>
          <w:rFonts w:ascii="宋体" w:hAnsi="宋体"/>
          <w:b/>
          <w:kern w:val="0"/>
          <w:sz w:val="20"/>
          <w:szCs w:val="20"/>
        </w:rPr>
      </w:pPr>
    </w:p>
    <w:p w14:paraId="5A8D8A4E">
      <w:pPr>
        <w:autoSpaceDE w:val="0"/>
        <w:autoSpaceDN w:val="0"/>
        <w:adjustRightInd w:val="0"/>
        <w:snapToGrid w:val="0"/>
        <w:spacing w:line="360" w:lineRule="auto"/>
        <w:jc w:val="left"/>
        <w:rPr>
          <w:rFonts w:ascii="宋体" w:hAnsi="宋体"/>
          <w:b/>
          <w:kern w:val="0"/>
          <w:sz w:val="20"/>
          <w:szCs w:val="20"/>
        </w:rPr>
      </w:pPr>
    </w:p>
    <w:p w14:paraId="29288C7D">
      <w:pPr>
        <w:autoSpaceDE w:val="0"/>
        <w:autoSpaceDN w:val="0"/>
        <w:adjustRightInd w:val="0"/>
        <w:snapToGrid w:val="0"/>
        <w:spacing w:line="360" w:lineRule="auto"/>
        <w:jc w:val="left"/>
        <w:rPr>
          <w:rFonts w:ascii="宋体" w:hAnsi="宋体"/>
          <w:b/>
          <w:kern w:val="0"/>
          <w:sz w:val="20"/>
          <w:szCs w:val="20"/>
        </w:rPr>
      </w:pPr>
    </w:p>
    <w:p w14:paraId="7D3287DF">
      <w:pPr>
        <w:autoSpaceDE w:val="0"/>
        <w:autoSpaceDN w:val="0"/>
        <w:adjustRightInd w:val="0"/>
        <w:snapToGrid w:val="0"/>
        <w:spacing w:line="360" w:lineRule="auto"/>
        <w:jc w:val="left"/>
        <w:rPr>
          <w:rFonts w:ascii="宋体" w:hAnsi="宋体"/>
          <w:b/>
          <w:kern w:val="0"/>
          <w:sz w:val="20"/>
          <w:szCs w:val="20"/>
        </w:rPr>
      </w:pPr>
    </w:p>
    <w:p w14:paraId="70A981F2">
      <w:pPr>
        <w:autoSpaceDE w:val="0"/>
        <w:autoSpaceDN w:val="0"/>
        <w:adjustRightInd w:val="0"/>
        <w:snapToGrid w:val="0"/>
        <w:spacing w:line="360" w:lineRule="auto"/>
        <w:jc w:val="left"/>
        <w:rPr>
          <w:rFonts w:ascii="宋体" w:hAnsi="宋体"/>
          <w:b/>
          <w:kern w:val="0"/>
          <w:sz w:val="20"/>
          <w:szCs w:val="20"/>
        </w:rPr>
      </w:pPr>
    </w:p>
    <w:p w14:paraId="380A1597">
      <w:pPr>
        <w:tabs>
          <w:tab w:val="left" w:pos="6080"/>
          <w:tab w:val="left" w:pos="6640"/>
        </w:tabs>
        <w:autoSpaceDE w:val="0"/>
        <w:autoSpaceDN w:val="0"/>
        <w:adjustRightInd w:val="0"/>
        <w:snapToGrid w:val="0"/>
        <w:spacing w:after="156" w:afterLines="50" w:line="360" w:lineRule="auto"/>
        <w:jc w:val="center"/>
        <w:outlineLvl w:val="1"/>
        <w:rPr>
          <w:rFonts w:ascii="宋体" w:hAnsi="宋体"/>
          <w:w w:val="99"/>
          <w:kern w:val="0"/>
          <w:sz w:val="28"/>
          <w:szCs w:val="28"/>
        </w:rPr>
      </w:pPr>
      <w:bookmarkStart w:id="879" w:name="_Toc5958"/>
      <w:bookmarkStart w:id="880" w:name="_Toc18322"/>
      <w:bookmarkStart w:id="881" w:name="_Toc26187"/>
      <w:bookmarkStart w:id="882" w:name="_Toc876"/>
      <w:bookmarkStart w:id="883" w:name="_Toc16205"/>
      <w:bookmarkStart w:id="884" w:name="_Toc14999"/>
      <w:bookmarkStart w:id="885" w:name="_Toc32676"/>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bookmarkEnd w:id="879"/>
      <w:bookmarkEnd w:id="880"/>
      <w:bookmarkEnd w:id="881"/>
      <w:bookmarkEnd w:id="882"/>
      <w:bookmarkEnd w:id="883"/>
      <w:bookmarkEnd w:id="884"/>
      <w:bookmarkEnd w:id="885"/>
    </w:p>
    <w:p w14:paraId="59B9FAEF">
      <w:pPr>
        <w:tabs>
          <w:tab w:val="left" w:pos="6080"/>
          <w:tab w:val="left" w:pos="6640"/>
        </w:tabs>
        <w:autoSpaceDE w:val="0"/>
        <w:autoSpaceDN w:val="0"/>
        <w:adjustRightInd w:val="0"/>
        <w:snapToGrid w:val="0"/>
        <w:spacing w:after="156" w:afterLines="50" w:line="360" w:lineRule="auto"/>
        <w:jc w:val="center"/>
        <w:outlineLvl w:val="1"/>
        <w:rPr>
          <w:rFonts w:ascii="宋体" w:hAnsi="宋体"/>
          <w:kern w:val="0"/>
          <w:sz w:val="28"/>
          <w:szCs w:val="28"/>
        </w:rPr>
      </w:pPr>
      <w:bookmarkStart w:id="886" w:name="_Toc7552"/>
      <w:bookmarkStart w:id="887" w:name="_Toc24539"/>
      <w:bookmarkStart w:id="888" w:name="_Toc3707"/>
      <w:bookmarkStart w:id="889" w:name="_Toc5417"/>
      <w:bookmarkStart w:id="890" w:name="_Toc16306"/>
      <w:bookmarkStart w:id="891" w:name="_Toc22528"/>
      <w:bookmarkStart w:id="892" w:name="_Toc11182"/>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bookmarkEnd w:id="886"/>
      <w:bookmarkEnd w:id="887"/>
      <w:bookmarkEnd w:id="888"/>
      <w:bookmarkEnd w:id="889"/>
      <w:bookmarkEnd w:id="890"/>
      <w:bookmarkEnd w:id="891"/>
      <w:bookmarkEnd w:id="892"/>
    </w:p>
    <w:p w14:paraId="4D32A33D">
      <w:pPr>
        <w:tabs>
          <w:tab w:val="left" w:pos="2580"/>
          <w:tab w:val="left" w:pos="5940"/>
        </w:tabs>
        <w:autoSpaceDE w:val="0"/>
        <w:autoSpaceDN w:val="0"/>
        <w:adjustRightInd w:val="0"/>
        <w:snapToGrid w:val="0"/>
        <w:spacing w:line="360" w:lineRule="auto"/>
        <w:ind w:firstLine="2940"/>
        <w:jc w:val="left"/>
        <w:rPr>
          <w:rFonts w:hint="eastAsia" w:ascii="宋体" w:hAnsi="宋体" w:cs="宋体"/>
          <w:bCs/>
        </w:rPr>
      </w:pPr>
      <w:r>
        <w:rPr>
          <w:rFonts w:hint="eastAsia" w:ascii="宋体" w:hAnsi="宋体"/>
          <w:w w:val="99"/>
          <w:kern w:val="0"/>
          <w:sz w:val="28"/>
          <w:szCs w:val="28"/>
          <w:u w:val="single"/>
        </w:rPr>
        <w:t xml:space="preserve">    </w:t>
      </w:r>
      <w:r>
        <w:rPr>
          <w:rFonts w:hint="eastAsia" w:ascii="宋体" w:hAnsi="宋体"/>
          <w:w w:val="99"/>
          <w:kern w:val="0"/>
          <w:sz w:val="28"/>
          <w:szCs w:val="28"/>
        </w:rPr>
        <w:t>年</w:t>
      </w:r>
      <w:r>
        <w:rPr>
          <w:rFonts w:hint="eastAsia" w:ascii="宋体" w:hAnsi="宋体"/>
          <w:w w:val="99"/>
          <w:kern w:val="0"/>
          <w:sz w:val="28"/>
          <w:szCs w:val="28"/>
          <w:u w:val="single"/>
        </w:rPr>
        <w:t xml:space="preserve">    </w:t>
      </w:r>
      <w:r>
        <w:rPr>
          <w:rFonts w:hint="eastAsia" w:ascii="宋体" w:hAnsi="宋体"/>
          <w:w w:val="99"/>
          <w:kern w:val="0"/>
          <w:sz w:val="28"/>
          <w:szCs w:val="28"/>
        </w:rPr>
        <w:t>月</w:t>
      </w:r>
      <w:r>
        <w:rPr>
          <w:rFonts w:hint="eastAsia" w:ascii="宋体" w:hAnsi="宋体"/>
          <w:w w:val="99"/>
          <w:kern w:val="0"/>
          <w:sz w:val="28"/>
          <w:szCs w:val="28"/>
          <w:u w:val="single"/>
        </w:rPr>
        <w:t xml:space="preserve">    </w:t>
      </w:r>
      <w:r>
        <w:rPr>
          <w:rFonts w:hint="eastAsia" w:ascii="宋体" w:hAnsi="宋体"/>
          <w:w w:val="99"/>
          <w:kern w:val="0"/>
          <w:sz w:val="28"/>
          <w:szCs w:val="28"/>
        </w:rPr>
        <w:t>日</w:t>
      </w:r>
      <w:r>
        <w:rPr>
          <w:rFonts w:ascii="宋体" w:hAnsi="宋体"/>
        </w:rPr>
        <w:br w:type="page"/>
      </w:r>
      <w:bookmarkEnd w:id="869"/>
      <w:bookmarkEnd w:id="870"/>
      <w:bookmarkEnd w:id="871"/>
      <w:bookmarkStart w:id="893" w:name="_Toc277082642"/>
      <w:bookmarkStart w:id="894" w:name="_Toc224103494"/>
      <w:bookmarkStart w:id="895" w:name="_Toc430530529"/>
      <w:bookmarkStart w:id="896" w:name="_Toc287620813"/>
      <w:bookmarkStart w:id="897" w:name="_Toc287607866"/>
    </w:p>
    <w:bookmarkEnd w:id="893"/>
    <w:bookmarkEnd w:id="894"/>
    <w:bookmarkEnd w:id="895"/>
    <w:bookmarkEnd w:id="896"/>
    <w:bookmarkEnd w:id="897"/>
    <w:p w14:paraId="3C99E1E8">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目  录</w:t>
      </w:r>
    </w:p>
    <w:p w14:paraId="125005BB">
      <w:pPr>
        <w:autoSpaceDE w:val="0"/>
        <w:autoSpaceDN w:val="0"/>
        <w:adjustRightInd w:val="0"/>
        <w:snapToGrid w:val="0"/>
        <w:spacing w:line="360" w:lineRule="auto"/>
        <w:jc w:val="left"/>
        <w:rPr>
          <w:rFonts w:ascii="宋体" w:hAnsi="宋体"/>
          <w:kern w:val="0"/>
          <w:sz w:val="24"/>
          <w:szCs w:val="21"/>
        </w:rPr>
      </w:pPr>
    </w:p>
    <w:p w14:paraId="6D916F3D">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（一）投标函</w:t>
      </w:r>
    </w:p>
    <w:p w14:paraId="562534AD">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（二）投标函附录</w:t>
      </w:r>
    </w:p>
    <w:p w14:paraId="7C1CF68E">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（三）</w:t>
      </w:r>
      <w:r>
        <w:rPr>
          <w:rFonts w:hint="eastAsia" w:ascii="宋体" w:hAnsi="宋体"/>
          <w:kern w:val="0"/>
          <w:sz w:val="24"/>
        </w:rPr>
        <w:t>法定代表人身份证明或附有法定代表人身份证明的授权委托书</w:t>
      </w:r>
    </w:p>
    <w:p w14:paraId="65BB6FD7">
      <w:pPr>
        <w:autoSpaceDE w:val="0"/>
        <w:autoSpaceDN w:val="0"/>
        <w:adjustRightInd w:val="0"/>
        <w:spacing w:line="360" w:lineRule="auto"/>
        <w:ind w:firstLine="480" w:firstLineChars="200"/>
        <w:jc w:val="left"/>
        <w:rPr>
          <w:rFonts w:ascii="宋体" w:hAnsi="宋体"/>
          <w:kern w:val="0"/>
          <w:sz w:val="24"/>
        </w:rPr>
      </w:pPr>
      <w:r>
        <w:rPr>
          <w:rFonts w:ascii="宋体" w:hAnsi="宋体"/>
          <w:kern w:val="0"/>
          <w:sz w:val="24"/>
        </w:rPr>
        <w:t>（四）</w:t>
      </w:r>
      <w:r>
        <w:rPr>
          <w:rFonts w:hint="eastAsia" w:ascii="宋体" w:hAnsi="宋体"/>
          <w:kern w:val="0"/>
          <w:sz w:val="24"/>
        </w:rPr>
        <w:t>低价风险担保提交承诺书（如有）</w:t>
      </w:r>
    </w:p>
    <w:p w14:paraId="156D1978">
      <w:pPr>
        <w:pStyle w:val="5"/>
        <w:spacing w:before="0" w:after="0" w:line="360" w:lineRule="auto"/>
        <w:jc w:val="center"/>
        <w:rPr>
          <w:rFonts w:hint="eastAsia" w:ascii="宋体" w:hAnsi="宋体" w:cs="宋体"/>
          <w:b w:val="0"/>
        </w:rPr>
      </w:pPr>
      <w:r>
        <w:rPr>
          <w:rFonts w:hint="eastAsia" w:ascii="宋体" w:hAnsi="宋体" w:cs="宋体"/>
          <w:kern w:val="0"/>
          <w:sz w:val="28"/>
          <w:szCs w:val="28"/>
          <w:u w:val="single"/>
        </w:rPr>
        <w:br w:type="page"/>
      </w:r>
      <w:bookmarkStart w:id="898" w:name="_Toc536800772"/>
      <w:bookmarkStart w:id="899" w:name="_Toc287620814"/>
      <w:bookmarkStart w:id="900" w:name="_Toc287607867"/>
      <w:bookmarkStart w:id="901" w:name="_Toc534185831"/>
      <w:bookmarkStart w:id="902" w:name="_Toc277082643"/>
      <w:bookmarkStart w:id="903" w:name="_Toc224103495"/>
      <w:bookmarkStart w:id="904" w:name="_Toc6232"/>
      <w:bookmarkStart w:id="905" w:name="_Toc57796008"/>
      <w:bookmarkStart w:id="906" w:name="_Toc430530530"/>
      <w:bookmarkStart w:id="907" w:name="_Toc509218854"/>
      <w:r>
        <w:rPr>
          <w:rFonts w:hint="eastAsia" w:ascii="宋体" w:hAnsi="宋体" w:cs="宋体"/>
          <w:b w:val="0"/>
          <w:bCs w:val="0"/>
        </w:rPr>
        <w:t>（一）投标函</w:t>
      </w:r>
      <w:bookmarkEnd w:id="898"/>
      <w:bookmarkEnd w:id="899"/>
      <w:bookmarkEnd w:id="900"/>
      <w:bookmarkEnd w:id="901"/>
      <w:bookmarkEnd w:id="902"/>
      <w:bookmarkEnd w:id="903"/>
      <w:bookmarkEnd w:id="904"/>
      <w:bookmarkEnd w:id="905"/>
      <w:bookmarkEnd w:id="906"/>
      <w:bookmarkEnd w:id="907"/>
    </w:p>
    <w:p w14:paraId="2D6EFB32">
      <w:pPr>
        <w:tabs>
          <w:tab w:val="left" w:pos="2640"/>
        </w:tabs>
        <w:autoSpaceDE w:val="0"/>
        <w:autoSpaceDN w:val="0"/>
        <w:adjustRightInd w:val="0"/>
        <w:spacing w:line="380" w:lineRule="exact"/>
        <w:rPr>
          <w:rFonts w:hint="eastAsia" w:ascii="宋体" w:hAnsi="宋体" w:cs="宋体"/>
          <w:snapToGrid w:val="0"/>
          <w:kern w:val="0"/>
          <w:szCs w:val="21"/>
        </w:rPr>
      </w:pPr>
      <w:r>
        <w:rPr>
          <w:rFonts w:hint="eastAsia" w:ascii="宋体" w:hAnsi="宋体" w:cs="宋体"/>
          <w:snapToGrid w:val="0"/>
          <w:kern w:val="0"/>
          <w:szCs w:val="21"/>
          <w:u w:val="single"/>
        </w:rPr>
        <w:tab/>
      </w:r>
      <w:r>
        <w:rPr>
          <w:rFonts w:hint="eastAsia" w:ascii="宋体" w:hAnsi="宋体" w:cs="宋体"/>
          <w:snapToGrid w:val="0"/>
          <w:kern w:val="0"/>
          <w:szCs w:val="21"/>
          <w:u w:val="single"/>
        </w:rPr>
        <w:t>（招标人名称）</w:t>
      </w:r>
      <w:r>
        <w:rPr>
          <w:rFonts w:hint="eastAsia" w:ascii="宋体" w:hAnsi="宋体" w:cs="宋体"/>
          <w:snapToGrid w:val="0"/>
          <w:kern w:val="0"/>
          <w:szCs w:val="21"/>
        </w:rPr>
        <w:t>：</w:t>
      </w:r>
    </w:p>
    <w:p w14:paraId="6CC18FEA">
      <w:pPr>
        <w:spacing w:line="380" w:lineRule="exact"/>
        <w:ind w:firstLine="420" w:firstLineChars="200"/>
        <w:rPr>
          <w:rFonts w:ascii="宋体" w:hAnsi="宋体"/>
          <w:szCs w:val="21"/>
        </w:rPr>
      </w:pPr>
      <w:r>
        <w:rPr>
          <w:rFonts w:hint="eastAsia" w:ascii="宋体" w:hAnsi="宋体" w:cs="宋体"/>
          <w:snapToGrid w:val="0"/>
          <w:kern w:val="0"/>
          <w:szCs w:val="21"/>
        </w:rPr>
        <w:t xml:space="preserve">1. </w:t>
      </w:r>
      <w:r>
        <w:rPr>
          <w:rFonts w:ascii="宋体" w:hAnsi="宋体"/>
          <w:szCs w:val="21"/>
        </w:rPr>
        <w:t>我方已仔细研究了</w:t>
      </w:r>
      <w:r>
        <w:rPr>
          <w:rFonts w:hint="eastAsia" w:ascii="宋体" w:hAnsi="宋体"/>
          <w:szCs w:val="21"/>
          <w:u w:val="single"/>
        </w:rPr>
        <w:t xml:space="preserve">  </w:t>
      </w:r>
      <w:r>
        <w:rPr>
          <w:rFonts w:hint="eastAsia" w:ascii="宋体" w:hAnsi="宋体"/>
          <w:u w:val="single"/>
        </w:rPr>
        <w:t xml:space="preserve">       （</w:t>
      </w:r>
      <w:r>
        <w:rPr>
          <w:rFonts w:ascii="宋体" w:hAnsi="宋体"/>
          <w:u w:val="single"/>
        </w:rPr>
        <w:t>项目名称</w:t>
      </w:r>
      <w:r>
        <w:rPr>
          <w:rFonts w:hint="eastAsia" w:ascii="宋体" w:hAnsi="宋体"/>
          <w:u w:val="single"/>
        </w:rPr>
        <w:t>）</w:t>
      </w:r>
      <w:r>
        <w:rPr>
          <w:rFonts w:ascii="宋体" w:hAnsi="宋体"/>
          <w:szCs w:val="21"/>
        </w:rPr>
        <w:t>招标文件的全部内容，</w:t>
      </w:r>
      <w:r>
        <w:rPr>
          <w:rFonts w:ascii="宋体" w:hAnsi="宋体"/>
          <w:snapToGrid w:val="0"/>
          <w:kern w:val="0"/>
          <w:szCs w:val="21"/>
        </w:rPr>
        <w:t>愿意以人民币（大写）</w:t>
      </w:r>
      <w:r>
        <w:rPr>
          <w:rFonts w:hint="eastAsia" w:ascii="宋体" w:hAnsi="宋体"/>
          <w:snapToGrid w:val="0"/>
          <w:kern w:val="0"/>
          <w:szCs w:val="21"/>
          <w:u w:val="single"/>
        </w:rPr>
        <w:t xml:space="preserve">           </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rPr>
        <w:t>）的投标总报价</w:t>
      </w:r>
      <w:r>
        <w:rPr>
          <w:rFonts w:hint="eastAsia" w:ascii="宋体" w:hAnsi="宋体"/>
          <w:snapToGrid w:val="0"/>
          <w:kern w:val="0"/>
          <w:szCs w:val="21"/>
        </w:rPr>
        <w:t>进行报价（其中，□暂估价为</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hint="eastAsia" w:ascii="宋体" w:hAnsi="宋体"/>
          <w:snapToGrid w:val="0"/>
          <w:kern w:val="0"/>
          <w:szCs w:val="21"/>
        </w:rPr>
        <w:t>□</w:t>
      </w:r>
      <w:r>
        <w:rPr>
          <w:rFonts w:hint="eastAsia" w:ascii="宋体" w:hAnsi="宋体"/>
          <w:snapToGrid w:val="0"/>
          <w:kern w:val="0"/>
          <w:szCs w:val="21"/>
          <w:u w:val="single"/>
        </w:rPr>
        <w:t>暂列金额为</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，安全生产费为</w:t>
      </w:r>
      <w:r>
        <w:rPr>
          <w:rFonts w:ascii="宋体" w:hAnsi="宋体"/>
          <w:snapToGrid w:val="0"/>
          <w:kern w:val="0"/>
          <w:szCs w:val="21"/>
        </w:rPr>
        <w:t>¥</w:t>
      </w:r>
      <w:r>
        <w:rPr>
          <w:rFonts w:ascii="宋体" w:hAnsi="宋体"/>
          <w:snapToGrid w:val="0"/>
          <w:kern w:val="0"/>
          <w:szCs w:val="21"/>
          <w:u w:val="single"/>
        </w:rPr>
        <w:tab/>
      </w:r>
      <w:r>
        <w:rPr>
          <w:rFonts w:hint="eastAsia" w:ascii="宋体" w:hAnsi="宋体"/>
          <w:snapToGrid w:val="0"/>
          <w:kern w:val="0"/>
          <w:szCs w:val="21"/>
          <w:u w:val="single"/>
        </w:rPr>
        <w:t xml:space="preserve">        </w:t>
      </w:r>
      <w:r>
        <w:rPr>
          <w:rFonts w:hint="eastAsia" w:ascii="宋体" w:hAnsi="宋体"/>
          <w:snapToGrid w:val="0"/>
          <w:kern w:val="0"/>
          <w:szCs w:val="21"/>
        </w:rPr>
        <w:t>）</w:t>
      </w:r>
      <w:r>
        <w:rPr>
          <w:rFonts w:ascii="宋体" w:hAnsi="宋体"/>
          <w:szCs w:val="21"/>
        </w:rPr>
        <w:t>，</w:t>
      </w:r>
      <w:r>
        <w:rPr>
          <w:rFonts w:ascii="宋体" w:hAnsi="宋体"/>
          <w:snapToGrid w:val="0"/>
          <w:kern w:val="0"/>
          <w:szCs w:val="21"/>
        </w:rPr>
        <w:t>该工程</w:t>
      </w:r>
      <w:r>
        <w:rPr>
          <w:rFonts w:ascii="宋体" w:hAnsi="宋体"/>
          <w:snapToGrid w:val="0"/>
          <w:kern w:val="0"/>
        </w:rPr>
        <w:t>项目经理为</w:t>
      </w:r>
      <w:r>
        <w:rPr>
          <w:rFonts w:hint="eastAsia" w:ascii="宋体" w:hAnsi="宋体"/>
          <w:snapToGrid w:val="0"/>
          <w:kern w:val="0"/>
          <w:u w:val="single"/>
        </w:rPr>
        <w:t xml:space="preserve">        </w:t>
      </w:r>
      <w:r>
        <w:rPr>
          <w:rFonts w:hint="eastAsia" w:ascii="宋体" w:hAnsi="宋体"/>
          <w:snapToGrid w:val="0"/>
          <w:kern w:val="0"/>
        </w:rPr>
        <w:t>，项目总工为</w:t>
      </w:r>
      <w:r>
        <w:rPr>
          <w:rFonts w:hint="eastAsia" w:ascii="宋体" w:hAnsi="宋体"/>
          <w:snapToGrid w:val="0"/>
          <w:kern w:val="0"/>
          <w:u w:val="single"/>
        </w:rPr>
        <w:t xml:space="preserve">        </w:t>
      </w:r>
      <w:r>
        <w:rPr>
          <w:rFonts w:hint="eastAsia" w:ascii="宋体" w:hAnsi="宋体"/>
          <w:snapToGrid w:val="0"/>
          <w:kern w:val="0"/>
          <w:szCs w:val="21"/>
        </w:rPr>
        <w:t>，□设计负责人为：</w:t>
      </w:r>
      <w:r>
        <w:rPr>
          <w:rFonts w:hint="eastAsia" w:ascii="宋体" w:hAnsi="宋体"/>
          <w:snapToGrid w:val="0"/>
          <w:kern w:val="0"/>
          <w:u w:val="single"/>
        </w:rPr>
        <w:t xml:space="preserve">        </w:t>
      </w:r>
      <w:r>
        <w:rPr>
          <w:rFonts w:hint="eastAsia" w:ascii="宋体" w:hAnsi="宋体"/>
          <w:snapToGrid w:val="0"/>
          <w:kern w:val="0"/>
          <w:szCs w:val="21"/>
        </w:rPr>
        <w:t>，委托代理人为：</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zCs w:val="21"/>
        </w:rPr>
        <w:t>工期：</w:t>
      </w:r>
      <w:r>
        <w:rPr>
          <w:rFonts w:hint="eastAsia" w:ascii="宋体" w:hAnsi="宋体"/>
          <w:szCs w:val="21"/>
          <w:u w:val="single"/>
        </w:rPr>
        <w:t xml:space="preserve">        </w:t>
      </w:r>
      <w:r>
        <w:rPr>
          <w:rFonts w:hint="eastAsia" w:ascii="宋体" w:hAnsi="宋体"/>
          <w:szCs w:val="21"/>
        </w:rPr>
        <w:t>，缺陷责任期：</w:t>
      </w:r>
      <w:r>
        <w:rPr>
          <w:rFonts w:hint="eastAsia" w:ascii="宋体" w:hAnsi="宋体"/>
          <w:szCs w:val="21"/>
          <w:u w:val="single"/>
        </w:rPr>
        <w:t xml:space="preserve">        </w:t>
      </w:r>
      <w:r>
        <w:rPr>
          <w:rFonts w:hint="eastAsia" w:ascii="宋体" w:hAnsi="宋体"/>
          <w:szCs w:val="21"/>
        </w:rPr>
        <w:t>，</w:t>
      </w:r>
      <w:r>
        <w:rPr>
          <w:rFonts w:ascii="宋体" w:hAnsi="宋体"/>
          <w:szCs w:val="21"/>
        </w:rPr>
        <w:t>按合同约定实施和完成承包工程，修补工程中的任何缺陷</w:t>
      </w:r>
      <w:r>
        <w:rPr>
          <w:rFonts w:hint="eastAsia" w:ascii="宋体" w:hAnsi="宋体"/>
          <w:szCs w:val="21"/>
        </w:rPr>
        <w:t>，</w:t>
      </w:r>
      <w:r>
        <w:rPr>
          <w:rFonts w:ascii="宋体" w:hAnsi="宋体"/>
          <w:szCs w:val="21"/>
        </w:rPr>
        <w:t xml:space="preserve"> 工程质量</w:t>
      </w:r>
      <w:r>
        <w:rPr>
          <w:rFonts w:hint="eastAsia" w:ascii="宋体" w:hAnsi="宋体"/>
          <w:szCs w:val="21"/>
        </w:rPr>
        <w:t>：</w:t>
      </w:r>
      <w:r>
        <w:rPr>
          <w:rFonts w:ascii="宋体" w:hAnsi="宋体"/>
          <w:szCs w:val="21"/>
          <w:u w:val="single"/>
        </w:rPr>
        <w:t xml:space="preserve"> </w:t>
      </w:r>
      <w:r>
        <w:rPr>
          <w:rFonts w:hint="eastAsia" w:ascii="宋体" w:hAnsi="宋体"/>
          <w:szCs w:val="21"/>
          <w:u w:val="single"/>
        </w:rPr>
        <w:t>　　　　</w:t>
      </w:r>
      <w:r>
        <w:rPr>
          <w:rFonts w:hint="eastAsia" w:ascii="宋体" w:hAnsi="宋体"/>
          <w:szCs w:val="21"/>
        </w:rPr>
        <w:t>，安全目标：</w:t>
      </w:r>
      <w:r>
        <w:rPr>
          <w:rFonts w:hint="eastAsia" w:ascii="宋体" w:hAnsi="宋体"/>
          <w:szCs w:val="21"/>
          <w:u w:val="single"/>
        </w:rPr>
        <w:t>　　　　　</w:t>
      </w:r>
      <w:r>
        <w:rPr>
          <w:rFonts w:ascii="宋体" w:hAnsi="宋体"/>
          <w:szCs w:val="21"/>
        </w:rPr>
        <w:t>。</w:t>
      </w:r>
    </w:p>
    <w:p w14:paraId="545EACB3">
      <w:pPr>
        <w:autoSpaceDE w:val="0"/>
        <w:autoSpaceDN w:val="0"/>
        <w:adjustRightInd w:val="0"/>
        <w:spacing w:line="380" w:lineRule="exact"/>
        <w:ind w:firstLine="420" w:firstLineChars="200"/>
        <w:rPr>
          <w:rFonts w:hint="eastAsia" w:ascii="宋体" w:hAnsi="宋体" w:cs="宋体"/>
          <w:snapToGrid w:val="0"/>
          <w:kern w:val="0"/>
          <w:szCs w:val="21"/>
        </w:rPr>
      </w:pPr>
      <w:r>
        <w:rPr>
          <w:rFonts w:hint="eastAsia" w:ascii="宋体" w:hAnsi="宋体" w:cs="宋体"/>
          <w:snapToGrid w:val="0"/>
          <w:kern w:val="0"/>
          <w:szCs w:val="21"/>
        </w:rPr>
        <w:t>2. 我方承诺响应招标文件规定的投标有效期，在投标有效期内不修改、撤销投标文件。</w:t>
      </w:r>
    </w:p>
    <w:p w14:paraId="503869DF">
      <w:pPr>
        <w:tabs>
          <w:tab w:val="left" w:pos="2730"/>
          <w:tab w:val="left" w:pos="7980"/>
        </w:tabs>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w:t>
      </w:r>
      <w:r>
        <w:rPr>
          <w:rFonts w:hint="eastAsia" w:ascii="宋体" w:hAnsi="宋体"/>
          <w:snapToGrid w:val="0"/>
          <w:kern w:val="0"/>
          <w:szCs w:val="21"/>
        </w:rPr>
        <w:t xml:space="preserve">. </w:t>
      </w:r>
      <w:r>
        <w:rPr>
          <w:rFonts w:ascii="宋体" w:hAnsi="宋体"/>
          <w:snapToGrid w:val="0"/>
          <w:kern w:val="0"/>
          <w:szCs w:val="21"/>
        </w:rPr>
        <w:t>随同本投标函提交投标保证金一份，金额为人民币（大写）</w:t>
      </w:r>
      <w:r>
        <w:rPr>
          <w:rFonts w:hint="eastAsia" w:ascii="宋体" w:hAnsi="宋体"/>
          <w:szCs w:val="21"/>
          <w:u w:val="single"/>
        </w:rPr>
        <w:t xml:space="preserve">　　　      </w:t>
      </w:r>
      <w:r>
        <w:rPr>
          <w:rFonts w:ascii="宋体" w:hAnsi="宋体"/>
          <w:snapToGrid w:val="0"/>
          <w:kern w:val="0"/>
          <w:szCs w:val="21"/>
        </w:rPr>
        <w:t>（¥</w:t>
      </w:r>
      <w:r>
        <w:rPr>
          <w:rFonts w:hint="eastAsia" w:ascii="宋体" w:hAnsi="宋体"/>
          <w:szCs w:val="21"/>
          <w:u w:val="single"/>
        </w:rPr>
        <w:t>　　　</w:t>
      </w:r>
      <w:r>
        <w:rPr>
          <w:rFonts w:ascii="宋体" w:hAnsi="宋体"/>
          <w:snapToGrid w:val="0"/>
          <w:kern w:val="0"/>
          <w:szCs w:val="21"/>
        </w:rPr>
        <w:t>）。投标保证金</w:t>
      </w:r>
      <w:r>
        <w:rPr>
          <w:rFonts w:hint="eastAsia" w:ascii="宋体" w:hAnsi="宋体"/>
          <w:snapToGrid w:val="0"/>
          <w:kern w:val="0"/>
          <w:szCs w:val="21"/>
        </w:rPr>
        <w:t>有效期</w:t>
      </w:r>
      <w:r>
        <w:rPr>
          <w:rFonts w:ascii="宋体" w:hAnsi="宋体"/>
          <w:snapToGrid w:val="0"/>
          <w:kern w:val="0"/>
          <w:szCs w:val="21"/>
        </w:rPr>
        <w:t>与投标</w:t>
      </w:r>
      <w:r>
        <w:rPr>
          <w:rFonts w:hint="eastAsia" w:ascii="宋体" w:hAnsi="宋体"/>
          <w:snapToGrid w:val="0"/>
          <w:kern w:val="0"/>
          <w:szCs w:val="21"/>
        </w:rPr>
        <w:t>有效期</w:t>
      </w:r>
      <w:r>
        <w:rPr>
          <w:rFonts w:ascii="宋体" w:hAnsi="宋体"/>
          <w:snapToGrid w:val="0"/>
          <w:kern w:val="0"/>
          <w:szCs w:val="21"/>
        </w:rPr>
        <w:t>一致，在此期间，若我方违反招投标有关法律、法规及本招标文件的相关规定，投标保证金的受益人为招标人。</w:t>
      </w:r>
    </w:p>
    <w:p w14:paraId="1E2BD027">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w:t>
      </w:r>
      <w:r>
        <w:rPr>
          <w:rFonts w:hint="eastAsia" w:ascii="宋体" w:hAnsi="宋体"/>
          <w:snapToGrid w:val="0"/>
          <w:kern w:val="0"/>
          <w:szCs w:val="21"/>
        </w:rPr>
        <w:t xml:space="preserve">. </w:t>
      </w:r>
      <w:r>
        <w:rPr>
          <w:rFonts w:ascii="宋体" w:hAnsi="宋体"/>
          <w:snapToGrid w:val="0"/>
          <w:kern w:val="0"/>
          <w:szCs w:val="21"/>
        </w:rPr>
        <w:t>如我方中标：</w:t>
      </w:r>
    </w:p>
    <w:p w14:paraId="1074FD31">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（1）我方承诺在收到中标通知书后，在中标通知书规定的期限内与你方签订合同。</w:t>
      </w:r>
    </w:p>
    <w:p w14:paraId="61E829A8">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（2）随同本投标函递交的投标函附录属于合同文件的组成部分。</w:t>
      </w:r>
    </w:p>
    <w:p w14:paraId="456AC277">
      <w:pPr>
        <w:autoSpaceDE w:val="0"/>
        <w:autoSpaceDN w:val="0"/>
        <w:adjustRightInd w:val="0"/>
        <w:spacing w:line="380" w:lineRule="exact"/>
        <w:ind w:firstLine="420" w:firstLineChars="200"/>
        <w:rPr>
          <w:rFonts w:ascii="宋体" w:hAnsi="宋体"/>
          <w:snapToGrid w:val="0"/>
          <w:kern w:val="0"/>
          <w:sz w:val="10"/>
          <w:szCs w:val="10"/>
        </w:rPr>
      </w:pPr>
      <w:r>
        <w:rPr>
          <w:rFonts w:ascii="宋体" w:hAnsi="宋体"/>
          <w:snapToGrid w:val="0"/>
          <w:kern w:val="0"/>
          <w:szCs w:val="21"/>
        </w:rPr>
        <w:t>（3）我方承诺按照招标文件规定向你方递交</w:t>
      </w:r>
      <w:r>
        <w:rPr>
          <w:rFonts w:hint="eastAsia" w:ascii="宋体" w:hAnsi="宋体"/>
          <w:snapToGrid w:val="0"/>
          <w:kern w:val="0"/>
          <w:szCs w:val="21"/>
        </w:rPr>
        <w:t>履约保证金</w:t>
      </w:r>
      <w:r>
        <w:rPr>
          <w:rFonts w:ascii="宋体" w:hAnsi="宋体"/>
          <w:snapToGrid w:val="0"/>
          <w:kern w:val="0"/>
          <w:szCs w:val="21"/>
        </w:rPr>
        <w:t>。</w:t>
      </w:r>
    </w:p>
    <w:p w14:paraId="5A6C8FAB">
      <w:pPr>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（4）我方承诺在合同约定的期限内完成并移交全部合同工程。</w:t>
      </w:r>
    </w:p>
    <w:p w14:paraId="5C11F060">
      <w:pPr>
        <w:autoSpaceDE w:val="0"/>
        <w:autoSpaceDN w:val="0"/>
        <w:adjustRightInd w:val="0"/>
        <w:spacing w:line="380" w:lineRule="exact"/>
        <w:ind w:firstLine="420" w:firstLineChars="200"/>
        <w:rPr>
          <w:rFonts w:ascii="宋体" w:hAnsi="宋体"/>
          <w:snapToGrid w:val="0"/>
          <w:kern w:val="0"/>
          <w:sz w:val="10"/>
          <w:szCs w:val="10"/>
        </w:rPr>
      </w:pPr>
      <w:r>
        <w:rPr>
          <w:rFonts w:hint="eastAsia" w:ascii="宋体" w:hAnsi="宋体"/>
          <w:snapToGrid w:val="0"/>
          <w:kern w:val="0"/>
          <w:szCs w:val="21"/>
        </w:rPr>
        <w:t>（5）我方承诺以不低于招标文件第七章 技术标准和要求中所列的技术指标和参数要求完成全部合同工程。</w:t>
      </w:r>
    </w:p>
    <w:p w14:paraId="12296BB6">
      <w:pPr>
        <w:autoSpaceDE w:val="0"/>
        <w:autoSpaceDN w:val="0"/>
        <w:adjustRightInd w:val="0"/>
        <w:spacing w:line="380" w:lineRule="exact"/>
        <w:ind w:firstLine="420" w:firstLineChars="200"/>
        <w:rPr>
          <w:rFonts w:hint="eastAsia" w:ascii="宋体" w:hAnsi="宋体"/>
          <w:snapToGrid w:val="0"/>
          <w:kern w:val="0"/>
          <w:szCs w:val="21"/>
          <w:u w:val="single"/>
        </w:rPr>
      </w:pPr>
      <w:r>
        <w:rPr>
          <w:rFonts w:ascii="宋体" w:hAnsi="宋体"/>
          <w:snapToGrid w:val="0"/>
          <w:kern w:val="0"/>
          <w:szCs w:val="21"/>
        </w:rPr>
        <w:t>5</w:t>
      </w:r>
      <w:r>
        <w:rPr>
          <w:rFonts w:hint="eastAsia" w:ascii="宋体" w:hAnsi="宋体"/>
          <w:snapToGrid w:val="0"/>
          <w:kern w:val="0"/>
          <w:szCs w:val="21"/>
        </w:rPr>
        <w:t xml:space="preserve">. </w:t>
      </w:r>
      <w:r>
        <w:rPr>
          <w:rFonts w:ascii="宋体" w:hAnsi="宋体"/>
          <w:snapToGrid w:val="0"/>
          <w:kern w:val="0"/>
          <w:szCs w:val="21"/>
        </w:rPr>
        <w:t>我方</w:t>
      </w:r>
      <w:r>
        <w:rPr>
          <w:rFonts w:ascii="宋体" w:hAnsi="宋体"/>
          <w:snapToGrid w:val="0"/>
          <w:spacing w:val="-2"/>
          <w:kern w:val="0"/>
          <w:szCs w:val="21"/>
        </w:rPr>
        <w:t>在此声明，所递交的投标文件及有关资料内容完整、真实和准确，且不存在第二章</w:t>
      </w:r>
      <w:r>
        <w:rPr>
          <w:rFonts w:hint="eastAsia" w:ascii="宋体" w:hAnsi="宋体"/>
          <w:snapToGrid w:val="0"/>
          <w:spacing w:val="-2"/>
          <w:kern w:val="0"/>
          <w:szCs w:val="21"/>
        </w:rPr>
        <w:t>“</w:t>
      </w:r>
      <w:r>
        <w:rPr>
          <w:rFonts w:ascii="宋体" w:hAnsi="宋体"/>
          <w:snapToGrid w:val="0"/>
          <w:spacing w:val="-2"/>
          <w:kern w:val="0"/>
          <w:szCs w:val="21"/>
        </w:rPr>
        <w:t>投标人</w:t>
      </w:r>
      <w:r>
        <w:rPr>
          <w:rFonts w:ascii="宋体" w:hAnsi="宋体"/>
          <w:snapToGrid w:val="0"/>
          <w:kern w:val="0"/>
          <w:szCs w:val="21"/>
        </w:rPr>
        <w:t>须知</w:t>
      </w:r>
      <w:r>
        <w:rPr>
          <w:rFonts w:hint="eastAsia" w:ascii="宋体" w:hAnsi="宋体"/>
          <w:snapToGrid w:val="0"/>
          <w:kern w:val="0"/>
          <w:szCs w:val="21"/>
        </w:rPr>
        <w:t>”</w:t>
      </w:r>
      <w:r>
        <w:rPr>
          <w:rFonts w:ascii="宋体" w:hAnsi="宋体"/>
          <w:snapToGrid w:val="0"/>
          <w:kern w:val="0"/>
          <w:szCs w:val="21"/>
        </w:rPr>
        <w:t>第 1.4.3 项规定的任何一种情形。同时我方承诺接受招标文件及附件、</w:t>
      </w:r>
      <w:r>
        <w:rPr>
          <w:rFonts w:hint="eastAsia" w:ascii="宋体" w:hAnsi="宋体"/>
          <w:snapToGrid w:val="0"/>
          <w:kern w:val="0"/>
          <w:szCs w:val="21"/>
        </w:rPr>
        <w:t>澄清</w:t>
      </w:r>
      <w:r>
        <w:rPr>
          <w:rFonts w:ascii="宋体" w:hAnsi="宋体"/>
          <w:snapToGrid w:val="0"/>
          <w:kern w:val="0"/>
          <w:szCs w:val="21"/>
        </w:rPr>
        <w:t>及</w:t>
      </w:r>
      <w:r>
        <w:rPr>
          <w:rFonts w:hint="eastAsia" w:ascii="宋体" w:hAnsi="宋体"/>
          <w:snapToGrid w:val="0"/>
          <w:kern w:val="0"/>
          <w:szCs w:val="21"/>
        </w:rPr>
        <w:t>修改</w:t>
      </w:r>
      <w:r>
        <w:rPr>
          <w:rFonts w:ascii="宋体" w:hAnsi="宋体"/>
          <w:snapToGrid w:val="0"/>
          <w:kern w:val="0"/>
          <w:szCs w:val="21"/>
        </w:rPr>
        <w:t>通知中所有的内容。</w:t>
      </w:r>
    </w:p>
    <w:p w14:paraId="68C9E276">
      <w:pPr>
        <w:tabs>
          <w:tab w:val="left" w:pos="5985"/>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6</w:t>
      </w:r>
      <w:r>
        <w:rPr>
          <w:rFonts w:hint="eastAsia" w:ascii="宋体" w:hAnsi="宋体"/>
          <w:snapToGrid w:val="0"/>
          <w:kern w:val="0"/>
          <w:szCs w:val="21"/>
        </w:rPr>
        <w:t xml:space="preserve">. </w:t>
      </w:r>
      <w:r>
        <w:rPr>
          <w:rFonts w:ascii="宋体" w:hAnsi="宋体"/>
          <w:snapToGrid w:val="0"/>
          <w:w w:val="200"/>
          <w:kern w:val="0"/>
          <w:szCs w:val="21"/>
          <w:u w:val="single"/>
        </w:rPr>
        <w:t xml:space="preserve"> </w:t>
      </w:r>
      <w:r>
        <w:rPr>
          <w:rFonts w:ascii="宋体" w:hAnsi="宋体"/>
          <w:snapToGrid w:val="0"/>
          <w:kern w:val="0"/>
          <w:szCs w:val="21"/>
          <w:u w:val="single"/>
        </w:rPr>
        <w:tab/>
      </w:r>
      <w:r>
        <w:rPr>
          <w:rFonts w:ascii="宋体" w:hAnsi="宋体"/>
          <w:snapToGrid w:val="0"/>
          <w:kern w:val="0"/>
          <w:szCs w:val="21"/>
          <w:u w:val="single"/>
        </w:rPr>
        <w:t>（其他补充说明）</w:t>
      </w:r>
      <w:r>
        <w:rPr>
          <w:rFonts w:ascii="宋体" w:hAnsi="宋体"/>
          <w:snapToGrid w:val="0"/>
          <w:kern w:val="0"/>
          <w:szCs w:val="21"/>
        </w:rPr>
        <w:t>。</w:t>
      </w:r>
    </w:p>
    <w:p w14:paraId="1583E2FC">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4F7258FF">
      <w:pPr>
        <w:tabs>
          <w:tab w:val="left" w:pos="7140"/>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法定代表人</w:t>
      </w:r>
      <w:r>
        <w:rPr>
          <w:rFonts w:hint="eastAsia" w:ascii="宋体" w:hAnsi="宋体"/>
          <w:snapToGrid w:val="0"/>
          <w:kern w:val="0"/>
          <w:szCs w:val="21"/>
        </w:rPr>
        <w:t>或其委托代理人</w:t>
      </w:r>
      <w:r>
        <w:rPr>
          <w:rFonts w:ascii="宋体" w:hAnsi="宋体"/>
          <w:snapToGrid w:val="0"/>
          <w:kern w:val="0"/>
          <w:szCs w:val="21"/>
        </w:rPr>
        <w:t>：</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p>
    <w:p w14:paraId="45057941">
      <w:pPr>
        <w:tabs>
          <w:tab w:val="left" w:pos="7035"/>
          <w:tab w:val="left" w:pos="7560"/>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地</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769B091">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网</w:t>
      </w:r>
      <w:r>
        <w:rPr>
          <w:rFonts w:hint="eastAsia" w:ascii="宋体" w:hAnsi="宋体"/>
          <w:snapToGrid w:val="0"/>
          <w:kern w:val="0"/>
          <w:szCs w:val="21"/>
        </w:rPr>
        <w:t xml:space="preserve">    </w:t>
      </w:r>
      <w:r>
        <w:rPr>
          <w:rFonts w:ascii="宋体" w:hAnsi="宋体"/>
          <w:snapToGrid w:val="0"/>
          <w:kern w:val="0"/>
          <w:szCs w:val="21"/>
        </w:rPr>
        <w:t>址：</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005B0CD3">
      <w:pPr>
        <w:tabs>
          <w:tab w:val="left" w:pos="8300"/>
        </w:tabs>
        <w:autoSpaceDE w:val="0"/>
        <w:autoSpaceDN w:val="0"/>
        <w:adjustRightInd w:val="0"/>
        <w:spacing w:line="380" w:lineRule="exact"/>
        <w:ind w:firstLine="420" w:firstLineChars="200"/>
        <w:jc w:val="left"/>
        <w:rPr>
          <w:rFonts w:ascii="宋体" w:hAnsi="宋体"/>
          <w:snapToGrid w:val="0"/>
          <w:kern w:val="0"/>
          <w:szCs w:val="21"/>
        </w:rPr>
      </w:pPr>
      <w:r>
        <w:rPr>
          <w:rFonts w:hint="eastAsia" w:ascii="宋体" w:hAnsi="宋体"/>
          <w:snapToGrid w:val="0"/>
          <w:kern w:val="0"/>
          <w:szCs w:val="21"/>
        </w:rPr>
        <w:t>单位电话（座机）：</w:t>
      </w:r>
      <w:r>
        <w:rPr>
          <w:rFonts w:hint="eastAsia" w:ascii="宋体" w:hAnsi="宋体"/>
          <w:snapToGrid w:val="0"/>
          <w:kern w:val="0"/>
          <w:szCs w:val="21"/>
          <w:u w:val="single"/>
        </w:rPr>
        <w:t xml:space="preserve">                      </w:t>
      </w:r>
      <w:r>
        <w:rPr>
          <w:rFonts w:hint="eastAsia" w:ascii="宋体" w:hAnsi="宋体"/>
          <w:snapToGrid w:val="0"/>
          <w:kern w:val="0"/>
          <w:szCs w:val="21"/>
        </w:rPr>
        <w:t>委托代理人电话（手机）：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p>
    <w:p w14:paraId="47B4194C">
      <w:pPr>
        <w:tabs>
          <w:tab w:val="left" w:pos="8300"/>
        </w:tabs>
        <w:autoSpaceDE w:val="0"/>
        <w:autoSpaceDN w:val="0"/>
        <w:adjustRightInd w:val="0"/>
        <w:spacing w:line="380" w:lineRule="exact"/>
        <w:ind w:firstLine="420" w:firstLineChars="200"/>
        <w:rPr>
          <w:rFonts w:ascii="宋体" w:hAnsi="宋体"/>
          <w:snapToGrid w:val="0"/>
          <w:kern w:val="0"/>
          <w:szCs w:val="21"/>
        </w:rPr>
      </w:pPr>
      <w:r>
        <w:rPr>
          <w:rFonts w:ascii="宋体" w:hAnsi="宋体"/>
          <w:snapToGrid w:val="0"/>
          <w:kern w:val="0"/>
          <w:szCs w:val="21"/>
        </w:rPr>
        <w:t>传</w:t>
      </w:r>
      <w:r>
        <w:rPr>
          <w:rFonts w:hint="eastAsia" w:ascii="宋体" w:hAnsi="宋体"/>
          <w:snapToGrid w:val="0"/>
          <w:kern w:val="0"/>
          <w:szCs w:val="21"/>
        </w:rPr>
        <w:t xml:space="preserve">    </w:t>
      </w:r>
      <w:r>
        <w:rPr>
          <w:rFonts w:ascii="宋体" w:hAnsi="宋体"/>
          <w:snapToGrid w:val="0"/>
          <w:kern w:val="0"/>
          <w:szCs w:val="21"/>
        </w:rPr>
        <w:t>真：</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1A894576">
      <w:pPr>
        <w:tabs>
          <w:tab w:val="left" w:pos="8300"/>
        </w:tabs>
        <w:autoSpaceDE w:val="0"/>
        <w:autoSpaceDN w:val="0"/>
        <w:adjustRightInd w:val="0"/>
        <w:spacing w:line="380" w:lineRule="exact"/>
        <w:ind w:firstLine="420" w:firstLineChars="200"/>
        <w:rPr>
          <w:rFonts w:ascii="宋体" w:hAnsi="宋体"/>
          <w:snapToGrid w:val="0"/>
          <w:kern w:val="0"/>
          <w:sz w:val="20"/>
          <w:szCs w:val="20"/>
        </w:rPr>
      </w:pPr>
      <w:r>
        <w:rPr>
          <w:rFonts w:ascii="宋体" w:hAnsi="宋体"/>
          <w:snapToGrid w:val="0"/>
          <w:kern w:val="0"/>
          <w:szCs w:val="21"/>
        </w:rPr>
        <w:t>邮政编码：</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p>
    <w:p w14:paraId="366A35B2">
      <w:pPr>
        <w:tabs>
          <w:tab w:val="left" w:pos="8300"/>
        </w:tabs>
        <w:autoSpaceDE w:val="0"/>
        <w:autoSpaceDN w:val="0"/>
        <w:adjustRightInd w:val="0"/>
        <w:spacing w:line="380" w:lineRule="exact"/>
        <w:ind w:firstLine="420" w:firstLineChars="200"/>
        <w:jc w:val="right"/>
        <w:rPr>
          <w:rFonts w:ascii="宋体" w:hAnsi="宋体"/>
          <w:snapToGrid w:val="0"/>
          <w:kern w:val="0"/>
          <w:sz w:val="20"/>
          <w:szCs w:val="20"/>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708BF1A9">
      <w:pPr>
        <w:pStyle w:val="5"/>
        <w:spacing w:before="0" w:line="360" w:lineRule="auto"/>
        <w:jc w:val="center"/>
        <w:rPr>
          <w:rFonts w:ascii="宋体" w:hAnsi="宋体"/>
          <w:snapToGrid w:val="0"/>
          <w:kern w:val="0"/>
          <w:szCs w:val="21"/>
        </w:rPr>
      </w:pPr>
      <w:r>
        <w:rPr>
          <w:rFonts w:hint="eastAsia" w:ascii="宋体" w:hAnsi="宋体" w:cs="宋体"/>
          <w:snapToGrid w:val="0"/>
        </w:rPr>
        <w:br w:type="page"/>
      </w:r>
      <w:bookmarkStart w:id="908" w:name="_Toc57796009"/>
      <w:bookmarkStart w:id="909" w:name="_Toc25971"/>
      <w:bookmarkStart w:id="910" w:name="_Toc534185832"/>
      <w:bookmarkStart w:id="911" w:name="_Toc509218855"/>
      <w:bookmarkStart w:id="912" w:name="_Toc287620816"/>
      <w:bookmarkStart w:id="913" w:name="_Toc277082645"/>
      <w:bookmarkStart w:id="914" w:name="_Toc430530532"/>
      <w:bookmarkStart w:id="915" w:name="_Toc224103497"/>
      <w:bookmarkStart w:id="916" w:name="_Toc287607869"/>
      <w:r>
        <w:rPr>
          <w:rFonts w:hint="eastAsia" w:ascii="宋体" w:hAnsi="宋体" w:cs="宋体"/>
          <w:b w:val="0"/>
          <w:bCs w:val="0"/>
        </w:rPr>
        <w:t>（二）投标函附录</w:t>
      </w:r>
      <w:bookmarkEnd w:id="908"/>
      <w:bookmarkEnd w:id="909"/>
      <w:bookmarkEnd w:id="910"/>
      <w:bookmarkEnd w:id="911"/>
    </w:p>
    <w:tbl>
      <w:tblPr>
        <w:tblStyle w:val="31"/>
        <w:tblW w:w="8677"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429"/>
        <w:gridCol w:w="1392"/>
        <w:gridCol w:w="3286"/>
        <w:gridCol w:w="850"/>
      </w:tblGrid>
      <w:tr w14:paraId="4F4800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cantSplit/>
          <w:jc w:val="center"/>
        </w:trPr>
        <w:tc>
          <w:tcPr>
            <w:tcW w:w="720" w:type="dxa"/>
            <w:vAlign w:val="top"/>
          </w:tcPr>
          <w:p w14:paraId="5ACCC71A">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序号</w:t>
            </w:r>
          </w:p>
        </w:tc>
        <w:tc>
          <w:tcPr>
            <w:tcW w:w="2429" w:type="dxa"/>
            <w:vAlign w:val="top"/>
          </w:tcPr>
          <w:p w14:paraId="28446898">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条款名称</w:t>
            </w:r>
          </w:p>
        </w:tc>
        <w:tc>
          <w:tcPr>
            <w:tcW w:w="1392" w:type="dxa"/>
            <w:tcBorders>
              <w:right w:val="single" w:color="auto" w:sz="4" w:space="0"/>
            </w:tcBorders>
            <w:vAlign w:val="center"/>
          </w:tcPr>
          <w:p w14:paraId="7566421D">
            <w:pPr>
              <w:autoSpaceDE w:val="0"/>
              <w:autoSpaceDN w:val="0"/>
              <w:adjustRightInd w:val="0"/>
              <w:spacing w:line="360" w:lineRule="auto"/>
              <w:jc w:val="center"/>
              <w:rPr>
                <w:rFonts w:ascii="宋体" w:hAnsi="宋体" w:cs="ILDESA+ËÎÌå"/>
                <w:b/>
                <w:bCs/>
                <w:spacing w:val="1"/>
                <w:szCs w:val="22"/>
                <w:lang w:eastAsia="en-US"/>
              </w:rPr>
            </w:pPr>
            <w:r>
              <w:rPr>
                <w:rFonts w:hint="eastAsia" w:ascii="宋体" w:hAnsi="宋体" w:cs="ILDESA+ËÎÌå"/>
                <w:b/>
                <w:bCs/>
                <w:spacing w:val="1"/>
                <w:szCs w:val="22"/>
              </w:rPr>
              <w:t>合同</w:t>
            </w:r>
            <w:r>
              <w:rPr>
                <w:rFonts w:ascii="宋体" w:hAnsi="宋体" w:cs="ILDESA+ËÎÌå"/>
                <w:b/>
                <w:bCs/>
                <w:spacing w:val="1"/>
                <w:szCs w:val="22"/>
                <w:lang w:eastAsia="en-US"/>
              </w:rPr>
              <w:t>条目号</w:t>
            </w:r>
          </w:p>
        </w:tc>
        <w:tc>
          <w:tcPr>
            <w:tcW w:w="3286" w:type="dxa"/>
            <w:tcBorders>
              <w:left w:val="single" w:color="auto" w:sz="4" w:space="0"/>
            </w:tcBorders>
            <w:vAlign w:val="center"/>
          </w:tcPr>
          <w:p w14:paraId="4C294AF4">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约定内容</w:t>
            </w:r>
          </w:p>
        </w:tc>
        <w:tc>
          <w:tcPr>
            <w:tcW w:w="850" w:type="dxa"/>
            <w:vAlign w:val="center"/>
          </w:tcPr>
          <w:p w14:paraId="1F24D017">
            <w:pPr>
              <w:autoSpaceDE w:val="0"/>
              <w:autoSpaceDN w:val="0"/>
              <w:adjustRightInd w:val="0"/>
              <w:spacing w:line="360" w:lineRule="auto"/>
              <w:jc w:val="center"/>
              <w:rPr>
                <w:rFonts w:ascii="宋体" w:hAnsi="宋体" w:cs="ILDESA+ËÎÌå"/>
                <w:b/>
                <w:bCs/>
                <w:spacing w:val="1"/>
                <w:szCs w:val="22"/>
                <w:lang w:eastAsia="en-US"/>
              </w:rPr>
            </w:pPr>
            <w:r>
              <w:rPr>
                <w:rFonts w:ascii="宋体" w:hAnsi="宋体" w:cs="ILDESA+ËÎÌå"/>
                <w:b/>
                <w:bCs/>
                <w:spacing w:val="1"/>
                <w:szCs w:val="22"/>
                <w:lang w:eastAsia="en-US"/>
              </w:rPr>
              <w:t>备注</w:t>
            </w:r>
          </w:p>
        </w:tc>
      </w:tr>
      <w:tr w14:paraId="6443BE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3FB6B7BF">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w:t>
            </w:r>
          </w:p>
        </w:tc>
        <w:tc>
          <w:tcPr>
            <w:tcW w:w="2429" w:type="dxa"/>
            <w:vAlign w:val="center"/>
          </w:tcPr>
          <w:p w14:paraId="312E7686">
            <w:pPr>
              <w:autoSpaceDE w:val="0"/>
              <w:autoSpaceDN w:val="0"/>
              <w:adjustRightInd w:val="0"/>
              <w:spacing w:line="400" w:lineRule="exact"/>
              <w:jc w:val="center"/>
              <w:rPr>
                <w:rFonts w:ascii="宋体" w:hAnsi="宋体"/>
                <w:snapToGrid w:val="0"/>
                <w:kern w:val="0"/>
                <w:szCs w:val="21"/>
              </w:rPr>
            </w:pPr>
            <w:r>
              <w:rPr>
                <w:rFonts w:ascii="宋体" w:hAnsi="宋体" w:cs="ILDESA+ËÎÌå"/>
                <w:spacing w:val="1"/>
                <w:szCs w:val="22"/>
                <w:lang w:eastAsia="en-US"/>
              </w:rPr>
              <w:t>缺陷责任期</w:t>
            </w:r>
          </w:p>
        </w:tc>
        <w:tc>
          <w:tcPr>
            <w:tcW w:w="1392" w:type="dxa"/>
            <w:tcBorders>
              <w:right w:val="single" w:color="auto" w:sz="4" w:space="0"/>
            </w:tcBorders>
            <w:vAlign w:val="center"/>
          </w:tcPr>
          <w:p w14:paraId="05B5EACD">
            <w:pPr>
              <w:spacing w:line="400" w:lineRule="exact"/>
              <w:jc w:val="center"/>
              <w:rPr>
                <w:rFonts w:ascii="宋体" w:hAnsi="宋体" w:cs="ILDESA+ËÎÌå"/>
                <w:szCs w:val="22"/>
              </w:rPr>
            </w:pPr>
            <w:r>
              <w:rPr>
                <w:rFonts w:hint="eastAsia" w:ascii="宋体" w:hAnsi="宋体" w:cs="ILDESA+ËÎÌå"/>
                <w:szCs w:val="22"/>
              </w:rPr>
              <w:t>1.1.4.5</w:t>
            </w:r>
          </w:p>
        </w:tc>
        <w:tc>
          <w:tcPr>
            <w:tcW w:w="3286" w:type="dxa"/>
            <w:tcBorders>
              <w:left w:val="single" w:color="auto" w:sz="4" w:space="0"/>
            </w:tcBorders>
            <w:vAlign w:val="center"/>
          </w:tcPr>
          <w:p w14:paraId="2DBABC3E">
            <w:pPr>
              <w:spacing w:line="400" w:lineRule="exact"/>
              <w:ind w:firstLine="105" w:firstLineChars="50"/>
              <w:rPr>
                <w:rFonts w:ascii="宋体" w:hAnsi="宋体" w:cs="ILDESA+ËÎÌå"/>
                <w:szCs w:val="22"/>
              </w:rPr>
            </w:pPr>
            <w:r>
              <w:rPr>
                <w:rFonts w:ascii="宋体" w:hAnsi="宋体" w:cs="ILDESA+ËÎÌå"/>
                <w:szCs w:val="22"/>
              </w:rPr>
              <w:t>自实际交工日期起计算</w:t>
            </w:r>
            <w:r>
              <w:rPr>
                <w:rFonts w:ascii="宋体" w:hAnsi="宋体" w:cs="ILDESA+ËÎÌå"/>
                <w:szCs w:val="22"/>
                <w:u w:val="single"/>
              </w:rPr>
              <w:t xml:space="preserve">    </w:t>
            </w:r>
            <w:r>
              <w:rPr>
                <w:rFonts w:hint="eastAsia" w:ascii="宋体" w:hAnsi="宋体" w:cs="ILDESA+ËÎÌå"/>
                <w:szCs w:val="22"/>
                <w:u w:val="single"/>
              </w:rPr>
              <w:t>月</w:t>
            </w:r>
          </w:p>
        </w:tc>
        <w:tc>
          <w:tcPr>
            <w:tcW w:w="850" w:type="dxa"/>
            <w:vAlign w:val="center"/>
          </w:tcPr>
          <w:p w14:paraId="2E683F08">
            <w:pPr>
              <w:tabs>
                <w:tab w:val="left" w:pos="2190"/>
              </w:tabs>
              <w:autoSpaceDE w:val="0"/>
              <w:autoSpaceDN w:val="0"/>
              <w:adjustRightInd w:val="0"/>
              <w:spacing w:line="400" w:lineRule="exact"/>
              <w:jc w:val="center"/>
              <w:rPr>
                <w:rFonts w:ascii="宋体" w:hAnsi="宋体"/>
                <w:snapToGrid w:val="0"/>
                <w:kern w:val="0"/>
                <w:szCs w:val="21"/>
              </w:rPr>
            </w:pPr>
          </w:p>
        </w:tc>
      </w:tr>
      <w:tr w14:paraId="0971FE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3DD4A1E5">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2</w:t>
            </w:r>
          </w:p>
        </w:tc>
        <w:tc>
          <w:tcPr>
            <w:tcW w:w="2429" w:type="dxa"/>
            <w:vAlign w:val="center"/>
          </w:tcPr>
          <w:p w14:paraId="11E3E64E">
            <w:pPr>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逾期交工违约金</w:t>
            </w:r>
          </w:p>
        </w:tc>
        <w:tc>
          <w:tcPr>
            <w:tcW w:w="1392" w:type="dxa"/>
            <w:tcBorders>
              <w:right w:val="single" w:color="auto" w:sz="4" w:space="0"/>
            </w:tcBorders>
            <w:vAlign w:val="center"/>
          </w:tcPr>
          <w:p w14:paraId="4CA75892">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11.5（3）</w:t>
            </w:r>
          </w:p>
        </w:tc>
        <w:tc>
          <w:tcPr>
            <w:tcW w:w="3286" w:type="dxa"/>
            <w:tcBorders>
              <w:left w:val="single" w:color="auto" w:sz="4" w:space="0"/>
            </w:tcBorders>
            <w:vAlign w:val="center"/>
          </w:tcPr>
          <w:p w14:paraId="33B1F432">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元/天</w:t>
            </w:r>
          </w:p>
        </w:tc>
        <w:tc>
          <w:tcPr>
            <w:tcW w:w="850" w:type="dxa"/>
            <w:vAlign w:val="center"/>
          </w:tcPr>
          <w:p w14:paraId="447F994E">
            <w:pPr>
              <w:tabs>
                <w:tab w:val="left" w:pos="1560"/>
              </w:tabs>
              <w:autoSpaceDE w:val="0"/>
              <w:autoSpaceDN w:val="0"/>
              <w:adjustRightInd w:val="0"/>
              <w:spacing w:line="400" w:lineRule="exact"/>
              <w:jc w:val="center"/>
              <w:rPr>
                <w:rFonts w:ascii="宋体" w:hAnsi="宋体"/>
                <w:snapToGrid w:val="0"/>
                <w:kern w:val="0"/>
                <w:szCs w:val="21"/>
              </w:rPr>
            </w:pPr>
          </w:p>
        </w:tc>
      </w:tr>
      <w:tr w14:paraId="24FCA5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43317739">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3</w:t>
            </w:r>
          </w:p>
        </w:tc>
        <w:tc>
          <w:tcPr>
            <w:tcW w:w="2429" w:type="dxa"/>
            <w:vAlign w:val="center"/>
          </w:tcPr>
          <w:p w14:paraId="4BC79545">
            <w:pPr>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逾期交工违约金限额</w:t>
            </w:r>
          </w:p>
        </w:tc>
        <w:tc>
          <w:tcPr>
            <w:tcW w:w="1392" w:type="dxa"/>
            <w:tcBorders>
              <w:right w:val="single" w:color="auto" w:sz="4" w:space="0"/>
            </w:tcBorders>
            <w:vAlign w:val="center"/>
          </w:tcPr>
          <w:p w14:paraId="0606DED8">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11.5（3）</w:t>
            </w:r>
          </w:p>
        </w:tc>
        <w:tc>
          <w:tcPr>
            <w:tcW w:w="3286" w:type="dxa"/>
            <w:tcBorders>
              <w:left w:val="single" w:color="auto" w:sz="4" w:space="0"/>
            </w:tcBorders>
            <w:vAlign w:val="center"/>
          </w:tcPr>
          <w:p w14:paraId="2AD51FDA">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%签约合同价</w:t>
            </w:r>
          </w:p>
        </w:tc>
        <w:tc>
          <w:tcPr>
            <w:tcW w:w="850" w:type="dxa"/>
            <w:vAlign w:val="center"/>
          </w:tcPr>
          <w:p w14:paraId="0609D3D4">
            <w:pPr>
              <w:autoSpaceDE w:val="0"/>
              <w:autoSpaceDN w:val="0"/>
              <w:adjustRightInd w:val="0"/>
              <w:spacing w:line="400" w:lineRule="exact"/>
              <w:jc w:val="center"/>
              <w:rPr>
                <w:rFonts w:ascii="宋体" w:hAnsi="宋体"/>
                <w:snapToGrid w:val="0"/>
                <w:kern w:val="0"/>
                <w:szCs w:val="21"/>
              </w:rPr>
            </w:pPr>
          </w:p>
        </w:tc>
      </w:tr>
      <w:tr w14:paraId="0E833D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1EF6856E">
            <w:pPr>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4</w:t>
            </w:r>
          </w:p>
        </w:tc>
        <w:tc>
          <w:tcPr>
            <w:tcW w:w="2429" w:type="dxa"/>
            <w:vAlign w:val="center"/>
          </w:tcPr>
          <w:p w14:paraId="1F50216E">
            <w:pPr>
              <w:autoSpaceDE w:val="0"/>
              <w:autoSpaceDN w:val="0"/>
              <w:adjustRightInd w:val="0"/>
              <w:spacing w:line="400" w:lineRule="exact"/>
              <w:jc w:val="center"/>
              <w:rPr>
                <w:rFonts w:ascii="宋体" w:hAnsi="宋体"/>
                <w:snapToGrid w:val="0"/>
                <w:kern w:val="0"/>
                <w:szCs w:val="21"/>
              </w:rPr>
            </w:pPr>
            <w:r>
              <w:rPr>
                <w:rFonts w:ascii="宋体" w:hAnsi="宋体" w:cs="ILDESA+ËÎÌå"/>
                <w:spacing w:val="1"/>
                <w:szCs w:val="22"/>
                <w:lang w:eastAsia="en-US"/>
              </w:rPr>
              <w:t>提前交工的奖金</w:t>
            </w:r>
          </w:p>
        </w:tc>
        <w:tc>
          <w:tcPr>
            <w:tcW w:w="1392" w:type="dxa"/>
            <w:tcBorders>
              <w:right w:val="single" w:color="auto" w:sz="4" w:space="0"/>
            </w:tcBorders>
            <w:vAlign w:val="center"/>
          </w:tcPr>
          <w:p w14:paraId="3A3DBB81">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11.6</w:t>
            </w:r>
          </w:p>
        </w:tc>
        <w:tc>
          <w:tcPr>
            <w:tcW w:w="3286" w:type="dxa"/>
            <w:tcBorders>
              <w:left w:val="single" w:color="auto" w:sz="4" w:space="0"/>
            </w:tcBorders>
            <w:vAlign w:val="center"/>
          </w:tcPr>
          <w:p w14:paraId="64A01CEA">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元/天</w:t>
            </w:r>
          </w:p>
        </w:tc>
        <w:tc>
          <w:tcPr>
            <w:tcW w:w="850" w:type="dxa"/>
            <w:vAlign w:val="center"/>
          </w:tcPr>
          <w:p w14:paraId="7388EB7D">
            <w:pPr>
              <w:autoSpaceDE w:val="0"/>
              <w:autoSpaceDN w:val="0"/>
              <w:adjustRightInd w:val="0"/>
              <w:spacing w:line="400" w:lineRule="exact"/>
              <w:jc w:val="center"/>
              <w:rPr>
                <w:rFonts w:ascii="宋体" w:hAnsi="宋体"/>
                <w:snapToGrid w:val="0"/>
                <w:kern w:val="0"/>
                <w:szCs w:val="21"/>
              </w:rPr>
            </w:pPr>
          </w:p>
        </w:tc>
      </w:tr>
      <w:tr w14:paraId="170A77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330720F3">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5</w:t>
            </w:r>
          </w:p>
        </w:tc>
        <w:tc>
          <w:tcPr>
            <w:tcW w:w="2429" w:type="dxa"/>
            <w:vAlign w:val="center"/>
          </w:tcPr>
          <w:p w14:paraId="6DC73545">
            <w:pPr>
              <w:tabs>
                <w:tab w:val="left" w:pos="2051"/>
              </w:tabs>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提前交工的奖金限额</w:t>
            </w:r>
          </w:p>
        </w:tc>
        <w:tc>
          <w:tcPr>
            <w:tcW w:w="1392" w:type="dxa"/>
            <w:tcBorders>
              <w:right w:val="single" w:color="auto" w:sz="4" w:space="0"/>
            </w:tcBorders>
            <w:vAlign w:val="center"/>
          </w:tcPr>
          <w:p w14:paraId="2B6D9C7B">
            <w:pPr>
              <w:spacing w:line="400" w:lineRule="exact"/>
              <w:jc w:val="center"/>
              <w:rPr>
                <w:rFonts w:hint="eastAsia" w:ascii="宋体" w:hAnsi="宋体" w:cs="ILDESA+ËÎÌå"/>
                <w:szCs w:val="22"/>
              </w:rPr>
            </w:pPr>
            <w:r>
              <w:rPr>
                <w:rFonts w:hint="eastAsia" w:ascii="宋体" w:hAnsi="宋体" w:cs="ILDESA+ËÎÌå"/>
                <w:szCs w:val="22"/>
              </w:rPr>
              <w:t>11.6</w:t>
            </w:r>
          </w:p>
        </w:tc>
        <w:tc>
          <w:tcPr>
            <w:tcW w:w="3286" w:type="dxa"/>
            <w:tcBorders>
              <w:left w:val="single" w:color="auto" w:sz="4" w:space="0"/>
            </w:tcBorders>
            <w:vAlign w:val="center"/>
          </w:tcPr>
          <w:p w14:paraId="66D3A465">
            <w:pPr>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%签约合同价</w:t>
            </w:r>
          </w:p>
        </w:tc>
        <w:tc>
          <w:tcPr>
            <w:tcW w:w="850" w:type="dxa"/>
            <w:vAlign w:val="center"/>
          </w:tcPr>
          <w:p w14:paraId="4BB912DE">
            <w:pPr>
              <w:tabs>
                <w:tab w:val="left" w:pos="2051"/>
              </w:tabs>
              <w:autoSpaceDE w:val="0"/>
              <w:autoSpaceDN w:val="0"/>
              <w:adjustRightInd w:val="0"/>
              <w:spacing w:line="400" w:lineRule="exact"/>
              <w:jc w:val="center"/>
              <w:rPr>
                <w:rFonts w:ascii="宋体" w:hAnsi="宋体"/>
                <w:snapToGrid w:val="0"/>
                <w:kern w:val="0"/>
                <w:szCs w:val="21"/>
              </w:rPr>
            </w:pPr>
          </w:p>
        </w:tc>
      </w:tr>
      <w:tr w14:paraId="10D934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668F6A10">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6</w:t>
            </w:r>
          </w:p>
        </w:tc>
        <w:tc>
          <w:tcPr>
            <w:tcW w:w="2429" w:type="dxa"/>
            <w:vAlign w:val="center"/>
          </w:tcPr>
          <w:p w14:paraId="3B00FEEA">
            <w:pPr>
              <w:tabs>
                <w:tab w:val="left" w:pos="2051"/>
              </w:tabs>
              <w:autoSpaceDE w:val="0"/>
              <w:autoSpaceDN w:val="0"/>
              <w:adjustRightInd w:val="0"/>
              <w:spacing w:line="400" w:lineRule="exact"/>
              <w:jc w:val="center"/>
              <w:rPr>
                <w:rFonts w:ascii="宋体" w:hAnsi="宋体"/>
                <w:snapToGrid w:val="0"/>
                <w:kern w:val="0"/>
                <w:szCs w:val="21"/>
              </w:rPr>
            </w:pPr>
            <w:r>
              <w:rPr>
                <w:rFonts w:ascii="宋体" w:hAnsi="宋体" w:cs="ILDESA+ËÎÌå"/>
                <w:szCs w:val="22"/>
                <w:lang w:eastAsia="en-US"/>
              </w:rPr>
              <w:t>价格调整的差额计算</w:t>
            </w:r>
          </w:p>
        </w:tc>
        <w:tc>
          <w:tcPr>
            <w:tcW w:w="1392" w:type="dxa"/>
            <w:tcBorders>
              <w:right w:val="single" w:color="auto" w:sz="4" w:space="0"/>
            </w:tcBorders>
            <w:vAlign w:val="center"/>
          </w:tcPr>
          <w:p w14:paraId="356BA8D7">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16.1.1</w:t>
            </w:r>
          </w:p>
        </w:tc>
        <w:tc>
          <w:tcPr>
            <w:tcW w:w="3286" w:type="dxa"/>
            <w:tcBorders>
              <w:left w:val="single" w:color="auto" w:sz="4" w:space="0"/>
            </w:tcBorders>
            <w:vAlign w:val="center"/>
          </w:tcPr>
          <w:p w14:paraId="230CB035">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lang w:eastAsia="en-US"/>
              </w:rPr>
              <w:t>见价格指数和权重表</w:t>
            </w:r>
          </w:p>
        </w:tc>
        <w:tc>
          <w:tcPr>
            <w:tcW w:w="850" w:type="dxa"/>
            <w:vAlign w:val="center"/>
          </w:tcPr>
          <w:p w14:paraId="1E4D8436">
            <w:pPr>
              <w:tabs>
                <w:tab w:val="left" w:pos="2051"/>
              </w:tabs>
              <w:autoSpaceDE w:val="0"/>
              <w:autoSpaceDN w:val="0"/>
              <w:adjustRightInd w:val="0"/>
              <w:spacing w:line="400" w:lineRule="exact"/>
              <w:jc w:val="center"/>
              <w:rPr>
                <w:rFonts w:ascii="宋体" w:hAnsi="宋体"/>
                <w:snapToGrid w:val="0"/>
                <w:kern w:val="0"/>
                <w:szCs w:val="21"/>
              </w:rPr>
            </w:pPr>
          </w:p>
        </w:tc>
      </w:tr>
      <w:tr w14:paraId="5757A3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77A7AED5">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7</w:t>
            </w:r>
          </w:p>
        </w:tc>
        <w:tc>
          <w:tcPr>
            <w:tcW w:w="2429" w:type="dxa"/>
            <w:vAlign w:val="center"/>
          </w:tcPr>
          <w:p w14:paraId="7CEB01FE">
            <w:pPr>
              <w:tabs>
                <w:tab w:val="left" w:pos="2051"/>
              </w:tabs>
              <w:autoSpaceDE w:val="0"/>
              <w:autoSpaceDN w:val="0"/>
              <w:adjustRightInd w:val="0"/>
              <w:spacing w:line="400" w:lineRule="exact"/>
              <w:jc w:val="center"/>
              <w:rPr>
                <w:rFonts w:ascii="宋体" w:hAnsi="宋体" w:cs="ILDESA+ËÎÌå"/>
                <w:szCs w:val="22"/>
                <w:lang w:eastAsia="en-US"/>
              </w:rPr>
            </w:pPr>
            <w:r>
              <w:rPr>
                <w:rFonts w:ascii="宋体" w:hAnsi="宋体" w:cs="ILDESA+ËÎÌå"/>
                <w:szCs w:val="22"/>
                <w:lang w:eastAsia="en-US"/>
              </w:rPr>
              <w:t>开工预付款金额</w:t>
            </w:r>
          </w:p>
        </w:tc>
        <w:tc>
          <w:tcPr>
            <w:tcW w:w="1392" w:type="dxa"/>
            <w:tcBorders>
              <w:right w:val="single" w:color="auto" w:sz="4" w:space="0"/>
            </w:tcBorders>
            <w:vAlign w:val="center"/>
          </w:tcPr>
          <w:p w14:paraId="736E805B">
            <w:pPr>
              <w:tabs>
                <w:tab w:val="left" w:pos="2051"/>
              </w:tabs>
              <w:autoSpaceDE w:val="0"/>
              <w:autoSpaceDN w:val="0"/>
              <w:adjustRightInd w:val="0"/>
              <w:spacing w:line="400" w:lineRule="exact"/>
              <w:jc w:val="center"/>
              <w:rPr>
                <w:rFonts w:hint="eastAsia" w:ascii="宋体" w:hAnsi="宋体" w:cs="ILDESA+ËÎÌå"/>
                <w:szCs w:val="22"/>
              </w:rPr>
            </w:pPr>
            <w:r>
              <w:rPr>
                <w:rFonts w:hint="eastAsia" w:ascii="宋体" w:hAnsi="宋体" w:cs="ILDESA+ËÎÌå"/>
                <w:szCs w:val="22"/>
              </w:rPr>
              <w:t>17.2.1</w:t>
            </w:r>
          </w:p>
        </w:tc>
        <w:tc>
          <w:tcPr>
            <w:tcW w:w="3286" w:type="dxa"/>
            <w:tcBorders>
              <w:left w:val="single" w:color="auto" w:sz="4" w:space="0"/>
            </w:tcBorders>
            <w:vAlign w:val="center"/>
          </w:tcPr>
          <w:p w14:paraId="29E35067">
            <w:pPr>
              <w:tabs>
                <w:tab w:val="left" w:pos="2051"/>
              </w:tabs>
              <w:autoSpaceDE w:val="0"/>
              <w:autoSpaceDN w:val="0"/>
              <w:adjustRightInd w:val="0"/>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%签约合同价</w:t>
            </w:r>
          </w:p>
        </w:tc>
        <w:tc>
          <w:tcPr>
            <w:tcW w:w="850" w:type="dxa"/>
            <w:vAlign w:val="center"/>
          </w:tcPr>
          <w:p w14:paraId="240F85F4">
            <w:pPr>
              <w:tabs>
                <w:tab w:val="left" w:pos="2051"/>
              </w:tabs>
              <w:autoSpaceDE w:val="0"/>
              <w:autoSpaceDN w:val="0"/>
              <w:adjustRightInd w:val="0"/>
              <w:spacing w:line="400" w:lineRule="exact"/>
              <w:jc w:val="center"/>
              <w:rPr>
                <w:rFonts w:ascii="宋体" w:hAnsi="宋体"/>
                <w:snapToGrid w:val="0"/>
                <w:kern w:val="0"/>
                <w:szCs w:val="21"/>
              </w:rPr>
            </w:pPr>
          </w:p>
        </w:tc>
      </w:tr>
      <w:tr w14:paraId="007A2A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518465A2">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8</w:t>
            </w:r>
          </w:p>
        </w:tc>
        <w:tc>
          <w:tcPr>
            <w:tcW w:w="2429" w:type="dxa"/>
            <w:vAlign w:val="center"/>
          </w:tcPr>
          <w:p w14:paraId="18F9AC14">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zCs w:val="22"/>
              </w:rPr>
              <w:t>材料、设备预付款比例</w:t>
            </w:r>
          </w:p>
        </w:tc>
        <w:tc>
          <w:tcPr>
            <w:tcW w:w="1392" w:type="dxa"/>
            <w:tcBorders>
              <w:right w:val="single" w:color="auto" w:sz="4" w:space="0"/>
            </w:tcBorders>
            <w:vAlign w:val="center"/>
          </w:tcPr>
          <w:p w14:paraId="07E9307E">
            <w:pPr>
              <w:spacing w:line="400" w:lineRule="exact"/>
              <w:jc w:val="center"/>
              <w:rPr>
                <w:rFonts w:ascii="宋体" w:hAnsi="宋体" w:cs="ILDESA+ËÎÌå"/>
                <w:szCs w:val="22"/>
              </w:rPr>
            </w:pPr>
            <w:r>
              <w:rPr>
                <w:rFonts w:hint="eastAsia" w:ascii="宋体" w:hAnsi="宋体" w:cs="ILDESA+ËÎÌå"/>
                <w:szCs w:val="22"/>
              </w:rPr>
              <w:t>17.2.1</w:t>
            </w:r>
          </w:p>
        </w:tc>
        <w:tc>
          <w:tcPr>
            <w:tcW w:w="3286" w:type="dxa"/>
            <w:tcBorders>
              <w:left w:val="single" w:color="auto" w:sz="4" w:space="0"/>
            </w:tcBorders>
            <w:vAlign w:val="center"/>
          </w:tcPr>
          <w:p w14:paraId="0C5A8F49">
            <w:pPr>
              <w:spacing w:line="400" w:lineRule="exact"/>
              <w:ind w:firstLine="105" w:firstLineChars="50"/>
              <w:rPr>
                <w:rFonts w:ascii="宋体" w:hAnsi="宋体" w:cs="ILDESA+ËÎÌå"/>
                <w:szCs w:val="22"/>
              </w:rPr>
            </w:pPr>
            <w:r>
              <w:rPr>
                <w:rFonts w:ascii="宋体" w:hAnsi="宋体" w:cs="ILDESA+ËÎÌå"/>
                <w:szCs w:val="22"/>
                <w:u w:val="single"/>
              </w:rPr>
              <w:t xml:space="preserve">    </w:t>
            </w:r>
            <w:r>
              <w:rPr>
                <w:rFonts w:ascii="宋体" w:hAnsi="宋体" w:cs="ILDESA+ËÎÌå"/>
                <w:szCs w:val="22"/>
              </w:rPr>
              <w:t>等主要材料、设备单据所列费用的</w:t>
            </w:r>
            <w:r>
              <w:rPr>
                <w:rFonts w:ascii="宋体" w:hAnsi="宋体" w:cs="ILDESA+ËÎÌå"/>
                <w:szCs w:val="22"/>
                <w:u w:val="single"/>
              </w:rPr>
              <w:t xml:space="preserve">    </w:t>
            </w:r>
            <w:r>
              <w:rPr>
                <w:rFonts w:ascii="宋体" w:hAnsi="宋体" w:cs="ILDESA+ËÎÌå"/>
                <w:szCs w:val="22"/>
              </w:rPr>
              <w:t>%</w:t>
            </w:r>
          </w:p>
        </w:tc>
        <w:tc>
          <w:tcPr>
            <w:tcW w:w="850" w:type="dxa"/>
            <w:vAlign w:val="center"/>
          </w:tcPr>
          <w:p w14:paraId="698209B4">
            <w:pPr>
              <w:tabs>
                <w:tab w:val="left" w:pos="2051"/>
              </w:tabs>
              <w:autoSpaceDE w:val="0"/>
              <w:autoSpaceDN w:val="0"/>
              <w:adjustRightInd w:val="0"/>
              <w:spacing w:line="400" w:lineRule="exact"/>
              <w:jc w:val="center"/>
              <w:rPr>
                <w:rFonts w:ascii="宋体" w:hAnsi="宋体"/>
                <w:snapToGrid w:val="0"/>
                <w:kern w:val="0"/>
                <w:szCs w:val="21"/>
              </w:rPr>
            </w:pPr>
          </w:p>
        </w:tc>
      </w:tr>
      <w:tr w14:paraId="5F4863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25B5BAF8">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9</w:t>
            </w:r>
          </w:p>
        </w:tc>
        <w:tc>
          <w:tcPr>
            <w:tcW w:w="2429" w:type="dxa"/>
            <w:vAlign w:val="center"/>
          </w:tcPr>
          <w:p w14:paraId="7374FD88">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zCs w:val="22"/>
              </w:rPr>
              <w:t>进度付款证书最低限额</w:t>
            </w:r>
          </w:p>
        </w:tc>
        <w:tc>
          <w:tcPr>
            <w:tcW w:w="1392" w:type="dxa"/>
            <w:tcBorders>
              <w:right w:val="single" w:color="auto" w:sz="4" w:space="0"/>
            </w:tcBorders>
            <w:vAlign w:val="center"/>
          </w:tcPr>
          <w:p w14:paraId="1F4F5318">
            <w:pPr>
              <w:spacing w:line="400" w:lineRule="exact"/>
              <w:jc w:val="center"/>
              <w:rPr>
                <w:rFonts w:hint="eastAsia" w:ascii="宋体" w:hAnsi="宋体" w:cs="ILDESA+ËÎÌå"/>
                <w:szCs w:val="22"/>
              </w:rPr>
            </w:pPr>
            <w:r>
              <w:rPr>
                <w:rFonts w:hint="eastAsia" w:ascii="宋体" w:hAnsi="宋体" w:cs="ILDESA+ËÎÌå"/>
                <w:szCs w:val="22"/>
              </w:rPr>
              <w:t>17.3.3</w:t>
            </w:r>
          </w:p>
        </w:tc>
        <w:tc>
          <w:tcPr>
            <w:tcW w:w="3286" w:type="dxa"/>
            <w:tcBorders>
              <w:left w:val="single" w:color="auto" w:sz="4" w:space="0"/>
            </w:tcBorders>
            <w:vAlign w:val="center"/>
          </w:tcPr>
          <w:p w14:paraId="26886D61">
            <w:pPr>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rPr>
              <w:t xml:space="preserve"> </w:t>
            </w:r>
            <w:r>
              <w:rPr>
                <w:rFonts w:ascii="宋体" w:hAnsi="宋体" w:cs="ILDESA+ËÎÌå"/>
                <w:szCs w:val="22"/>
                <w:lang w:eastAsia="en-US"/>
              </w:rPr>
              <w:t>%签约合同价或</w:t>
            </w:r>
            <w:r>
              <w:rPr>
                <w:rFonts w:ascii="宋体" w:hAnsi="宋体" w:cs="ILDESA+ËÎÌå"/>
                <w:szCs w:val="22"/>
                <w:u w:val="single"/>
              </w:rPr>
              <w:t xml:space="preserve">    </w:t>
            </w:r>
            <w:r>
              <w:rPr>
                <w:rFonts w:ascii="宋体" w:hAnsi="宋体" w:cs="ILDESA+ËÎÌå"/>
                <w:szCs w:val="22"/>
                <w:lang w:eastAsia="en-US"/>
              </w:rPr>
              <w:t>万元</w:t>
            </w:r>
          </w:p>
        </w:tc>
        <w:tc>
          <w:tcPr>
            <w:tcW w:w="850" w:type="dxa"/>
            <w:vAlign w:val="center"/>
          </w:tcPr>
          <w:p w14:paraId="14534396">
            <w:pPr>
              <w:tabs>
                <w:tab w:val="left" w:pos="2051"/>
              </w:tabs>
              <w:autoSpaceDE w:val="0"/>
              <w:autoSpaceDN w:val="0"/>
              <w:adjustRightInd w:val="0"/>
              <w:spacing w:line="400" w:lineRule="exact"/>
              <w:jc w:val="center"/>
              <w:rPr>
                <w:rFonts w:ascii="宋体" w:hAnsi="宋体"/>
                <w:snapToGrid w:val="0"/>
                <w:kern w:val="0"/>
                <w:szCs w:val="21"/>
              </w:rPr>
            </w:pPr>
          </w:p>
        </w:tc>
      </w:tr>
      <w:tr w14:paraId="5C5CA52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3EA5E616">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10</w:t>
            </w:r>
          </w:p>
        </w:tc>
        <w:tc>
          <w:tcPr>
            <w:tcW w:w="2429" w:type="dxa"/>
            <w:vAlign w:val="center"/>
          </w:tcPr>
          <w:p w14:paraId="299EA927">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zCs w:val="22"/>
              </w:rPr>
              <w:t>逾期付款违约金的利率</w:t>
            </w:r>
          </w:p>
        </w:tc>
        <w:tc>
          <w:tcPr>
            <w:tcW w:w="1392" w:type="dxa"/>
            <w:tcBorders>
              <w:right w:val="single" w:color="auto" w:sz="4" w:space="0"/>
            </w:tcBorders>
            <w:vAlign w:val="center"/>
          </w:tcPr>
          <w:p w14:paraId="46CFA815">
            <w:pPr>
              <w:spacing w:line="400" w:lineRule="exact"/>
              <w:jc w:val="center"/>
              <w:rPr>
                <w:rFonts w:hint="eastAsia" w:ascii="宋体" w:hAnsi="宋体" w:cs="ILDESA+ËÎÌå"/>
                <w:szCs w:val="22"/>
              </w:rPr>
            </w:pPr>
            <w:r>
              <w:rPr>
                <w:rFonts w:hint="eastAsia" w:ascii="宋体" w:hAnsi="宋体" w:cs="ILDESA+ËÎÌå"/>
                <w:szCs w:val="22"/>
              </w:rPr>
              <w:t>17.3.3</w:t>
            </w:r>
          </w:p>
        </w:tc>
        <w:tc>
          <w:tcPr>
            <w:tcW w:w="3286" w:type="dxa"/>
            <w:tcBorders>
              <w:left w:val="single" w:color="auto" w:sz="4" w:space="0"/>
            </w:tcBorders>
            <w:vAlign w:val="center"/>
          </w:tcPr>
          <w:p w14:paraId="49091819">
            <w:pPr>
              <w:spacing w:line="400" w:lineRule="exact"/>
              <w:ind w:firstLine="105" w:firstLineChars="50"/>
              <w:rPr>
                <w:rFonts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‰/天</w:t>
            </w:r>
          </w:p>
        </w:tc>
        <w:tc>
          <w:tcPr>
            <w:tcW w:w="850" w:type="dxa"/>
            <w:vAlign w:val="center"/>
          </w:tcPr>
          <w:p w14:paraId="47C7287B">
            <w:pPr>
              <w:tabs>
                <w:tab w:val="left" w:pos="2051"/>
              </w:tabs>
              <w:autoSpaceDE w:val="0"/>
              <w:autoSpaceDN w:val="0"/>
              <w:adjustRightInd w:val="0"/>
              <w:spacing w:line="400" w:lineRule="exact"/>
              <w:jc w:val="center"/>
              <w:rPr>
                <w:rFonts w:ascii="宋体" w:hAnsi="宋体"/>
                <w:snapToGrid w:val="0"/>
                <w:kern w:val="0"/>
                <w:szCs w:val="21"/>
              </w:rPr>
            </w:pPr>
          </w:p>
        </w:tc>
      </w:tr>
      <w:tr w14:paraId="136A12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618C605A">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11</w:t>
            </w:r>
          </w:p>
        </w:tc>
        <w:tc>
          <w:tcPr>
            <w:tcW w:w="2429" w:type="dxa"/>
            <w:vAlign w:val="center"/>
          </w:tcPr>
          <w:p w14:paraId="536D36BC">
            <w:pPr>
              <w:tabs>
                <w:tab w:val="left" w:pos="2051"/>
              </w:tabs>
              <w:autoSpaceDE w:val="0"/>
              <w:autoSpaceDN w:val="0"/>
              <w:adjustRightInd w:val="0"/>
              <w:spacing w:line="400" w:lineRule="exact"/>
              <w:jc w:val="center"/>
              <w:rPr>
                <w:rFonts w:ascii="宋体" w:hAnsi="宋体" w:cs="ILDESA+ËÎÌå"/>
                <w:szCs w:val="22"/>
              </w:rPr>
            </w:pPr>
            <w:r>
              <w:rPr>
                <w:rFonts w:ascii="宋体" w:hAnsi="宋体" w:cs="ILDESA+ËÎÌå"/>
                <w:spacing w:val="1"/>
                <w:szCs w:val="22"/>
                <w:lang w:eastAsia="en-US"/>
              </w:rPr>
              <w:t>质量保证金金额</w:t>
            </w:r>
          </w:p>
        </w:tc>
        <w:tc>
          <w:tcPr>
            <w:tcW w:w="1392" w:type="dxa"/>
            <w:tcBorders>
              <w:right w:val="single" w:color="auto" w:sz="4" w:space="0"/>
            </w:tcBorders>
            <w:vAlign w:val="center"/>
          </w:tcPr>
          <w:p w14:paraId="4B4144E6">
            <w:pPr>
              <w:spacing w:line="400" w:lineRule="exact"/>
              <w:jc w:val="center"/>
              <w:rPr>
                <w:rFonts w:hint="eastAsia" w:ascii="宋体" w:hAnsi="宋体" w:cs="ILDESA+ËÎÌå"/>
                <w:szCs w:val="22"/>
              </w:rPr>
            </w:pPr>
            <w:r>
              <w:rPr>
                <w:rFonts w:hint="eastAsia" w:ascii="宋体" w:hAnsi="宋体" w:cs="ILDESA+ËÎÌå"/>
                <w:szCs w:val="22"/>
              </w:rPr>
              <w:t>17.4.1</w:t>
            </w:r>
          </w:p>
        </w:tc>
        <w:tc>
          <w:tcPr>
            <w:tcW w:w="3286" w:type="dxa"/>
            <w:tcBorders>
              <w:left w:val="single" w:color="auto" w:sz="4" w:space="0"/>
            </w:tcBorders>
            <w:vAlign w:val="center"/>
          </w:tcPr>
          <w:p w14:paraId="5FD2F725">
            <w:pPr>
              <w:spacing w:line="400" w:lineRule="exact"/>
              <w:ind w:firstLine="105" w:firstLineChars="50"/>
              <w:rPr>
                <w:rFonts w:hint="eastAsia" w:ascii="宋体" w:hAnsi="宋体" w:cs="ILDESA+ËÎÌå"/>
                <w:szCs w:val="22"/>
                <w:lang w:eastAsia="en-US"/>
              </w:rPr>
            </w:pPr>
            <w:r>
              <w:rPr>
                <w:rFonts w:ascii="宋体" w:hAnsi="宋体" w:cs="ILDESA+ËÎÌå"/>
                <w:szCs w:val="22"/>
                <w:u w:val="single"/>
              </w:rPr>
              <w:t xml:space="preserve">    </w:t>
            </w:r>
            <w:r>
              <w:rPr>
                <w:rFonts w:ascii="宋体" w:hAnsi="宋体" w:cs="ILDESA+ËÎÌå"/>
                <w:szCs w:val="22"/>
                <w:lang w:eastAsia="en-US"/>
              </w:rPr>
              <w:t>%</w:t>
            </w:r>
            <w:r>
              <w:rPr>
                <w:rFonts w:hint="eastAsia" w:ascii="宋体" w:hAnsi="宋体" w:cs="ILDESA+ËÎÌå"/>
                <w:szCs w:val="22"/>
                <w:lang w:eastAsia="en-US"/>
              </w:rPr>
              <w:t>合同价格</w:t>
            </w:r>
          </w:p>
        </w:tc>
        <w:tc>
          <w:tcPr>
            <w:tcW w:w="850" w:type="dxa"/>
            <w:vAlign w:val="center"/>
          </w:tcPr>
          <w:p w14:paraId="6B9D4A40">
            <w:pPr>
              <w:tabs>
                <w:tab w:val="left" w:pos="2051"/>
              </w:tabs>
              <w:autoSpaceDE w:val="0"/>
              <w:autoSpaceDN w:val="0"/>
              <w:adjustRightInd w:val="0"/>
              <w:spacing w:line="400" w:lineRule="exact"/>
              <w:jc w:val="center"/>
              <w:rPr>
                <w:rFonts w:ascii="宋体" w:hAnsi="宋体"/>
                <w:snapToGrid w:val="0"/>
                <w:kern w:val="0"/>
                <w:szCs w:val="21"/>
              </w:rPr>
            </w:pPr>
          </w:p>
        </w:tc>
      </w:tr>
      <w:tr w14:paraId="212E9B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jc w:val="center"/>
        </w:trPr>
        <w:tc>
          <w:tcPr>
            <w:tcW w:w="720" w:type="dxa"/>
            <w:vAlign w:val="center"/>
          </w:tcPr>
          <w:p w14:paraId="3E065CF8">
            <w:pPr>
              <w:tabs>
                <w:tab w:val="left" w:pos="2051"/>
              </w:tabs>
              <w:autoSpaceDE w:val="0"/>
              <w:autoSpaceDN w:val="0"/>
              <w:adjustRightInd w:val="0"/>
              <w:spacing w:line="400" w:lineRule="exact"/>
              <w:jc w:val="center"/>
              <w:rPr>
                <w:rFonts w:ascii="宋体" w:hAnsi="宋体"/>
                <w:snapToGrid w:val="0"/>
                <w:kern w:val="0"/>
                <w:szCs w:val="21"/>
              </w:rPr>
            </w:pPr>
            <w:r>
              <w:rPr>
                <w:rFonts w:hint="eastAsia" w:ascii="宋体" w:hAnsi="宋体"/>
                <w:snapToGrid w:val="0"/>
                <w:kern w:val="0"/>
                <w:szCs w:val="21"/>
              </w:rPr>
              <w:t>12</w:t>
            </w:r>
          </w:p>
        </w:tc>
        <w:tc>
          <w:tcPr>
            <w:tcW w:w="2429" w:type="dxa"/>
            <w:vAlign w:val="center"/>
          </w:tcPr>
          <w:p w14:paraId="55868AFB">
            <w:pPr>
              <w:tabs>
                <w:tab w:val="left" w:pos="2051"/>
              </w:tabs>
              <w:autoSpaceDE w:val="0"/>
              <w:autoSpaceDN w:val="0"/>
              <w:adjustRightInd w:val="0"/>
              <w:spacing w:line="400" w:lineRule="exact"/>
              <w:jc w:val="center"/>
              <w:rPr>
                <w:rFonts w:ascii="宋体" w:hAnsi="宋体" w:cs="ILDESA+ËÎÌå"/>
                <w:spacing w:val="1"/>
                <w:szCs w:val="22"/>
                <w:lang w:eastAsia="en-US"/>
              </w:rPr>
            </w:pPr>
            <w:r>
              <w:rPr>
                <w:rFonts w:ascii="宋体" w:hAnsi="宋体" w:cs="ILDESA+ËÎÌå"/>
                <w:spacing w:val="1"/>
                <w:szCs w:val="22"/>
                <w:lang w:eastAsia="en-US"/>
              </w:rPr>
              <w:t>保修期</w:t>
            </w:r>
          </w:p>
        </w:tc>
        <w:tc>
          <w:tcPr>
            <w:tcW w:w="1392" w:type="dxa"/>
            <w:tcBorders>
              <w:right w:val="single" w:color="auto" w:sz="4" w:space="0"/>
            </w:tcBorders>
            <w:vAlign w:val="center"/>
          </w:tcPr>
          <w:p w14:paraId="51A90955">
            <w:pPr>
              <w:spacing w:line="400" w:lineRule="exact"/>
              <w:jc w:val="center"/>
              <w:rPr>
                <w:rFonts w:ascii="宋体" w:hAnsi="宋体" w:cs="ILDESA+ËÎÌå"/>
                <w:szCs w:val="22"/>
              </w:rPr>
            </w:pPr>
            <w:r>
              <w:rPr>
                <w:rFonts w:hint="eastAsia" w:ascii="宋体" w:hAnsi="宋体" w:cs="ILDESA+ËÎÌå"/>
                <w:szCs w:val="22"/>
              </w:rPr>
              <w:t>19.7</w:t>
            </w:r>
          </w:p>
        </w:tc>
        <w:tc>
          <w:tcPr>
            <w:tcW w:w="3286" w:type="dxa"/>
            <w:tcBorders>
              <w:left w:val="single" w:color="auto" w:sz="4" w:space="0"/>
            </w:tcBorders>
            <w:vAlign w:val="center"/>
          </w:tcPr>
          <w:p w14:paraId="2FDC7551">
            <w:pPr>
              <w:spacing w:line="400" w:lineRule="exact"/>
              <w:ind w:firstLine="105" w:firstLineChars="50"/>
              <w:rPr>
                <w:rFonts w:ascii="宋体" w:hAnsi="宋体" w:cs="ILDESA+ËÎÌå"/>
                <w:szCs w:val="22"/>
              </w:rPr>
            </w:pPr>
            <w:r>
              <w:rPr>
                <w:rFonts w:ascii="宋体" w:hAnsi="宋体" w:cs="ILDESA+ËÎÌå"/>
                <w:szCs w:val="22"/>
              </w:rPr>
              <w:t>自实际交工日期起计算</w:t>
            </w:r>
            <w:r>
              <w:rPr>
                <w:rFonts w:ascii="宋体" w:hAnsi="宋体" w:cs="ILDESA+ËÎÌå"/>
                <w:szCs w:val="22"/>
                <w:u w:val="single"/>
              </w:rPr>
              <w:t xml:space="preserve">    </w:t>
            </w:r>
            <w:r>
              <w:rPr>
                <w:rFonts w:ascii="宋体" w:hAnsi="宋体" w:cs="ILDESA+ËÎÌå"/>
                <w:szCs w:val="22"/>
              </w:rPr>
              <w:t>年</w:t>
            </w:r>
          </w:p>
        </w:tc>
        <w:tc>
          <w:tcPr>
            <w:tcW w:w="850" w:type="dxa"/>
            <w:vAlign w:val="center"/>
          </w:tcPr>
          <w:p w14:paraId="2AF9BF7D">
            <w:pPr>
              <w:tabs>
                <w:tab w:val="left" w:pos="2051"/>
              </w:tabs>
              <w:autoSpaceDE w:val="0"/>
              <w:autoSpaceDN w:val="0"/>
              <w:adjustRightInd w:val="0"/>
              <w:spacing w:line="400" w:lineRule="exact"/>
              <w:jc w:val="center"/>
              <w:rPr>
                <w:rFonts w:ascii="宋体" w:hAnsi="宋体"/>
                <w:snapToGrid w:val="0"/>
                <w:kern w:val="0"/>
                <w:szCs w:val="21"/>
              </w:rPr>
            </w:pPr>
          </w:p>
        </w:tc>
      </w:tr>
    </w:tbl>
    <w:p w14:paraId="4D910436">
      <w:pPr>
        <w:spacing w:line="360" w:lineRule="auto"/>
        <w:rPr>
          <w:rFonts w:ascii="宋体" w:hAnsi="宋体"/>
          <w:snapToGrid w:val="0"/>
        </w:rPr>
      </w:pPr>
    </w:p>
    <w:p w14:paraId="6EDC6785">
      <w:pPr>
        <w:tabs>
          <w:tab w:val="left" w:pos="7140"/>
          <w:tab w:val="left" w:pos="7560"/>
          <w:tab w:val="left" w:pos="8300"/>
        </w:tabs>
        <w:autoSpaceDE w:val="0"/>
        <w:autoSpaceDN w:val="0"/>
        <w:adjustRightInd w:val="0"/>
        <w:spacing w:line="360" w:lineRule="auto"/>
        <w:ind w:right="210"/>
        <w:jc w:val="right"/>
        <w:rPr>
          <w:rFonts w:hint="eastAsia" w:ascii="宋体" w:hAnsi="宋体"/>
          <w:snapToGrid w:val="0"/>
          <w:kern w:val="0"/>
          <w:szCs w:val="21"/>
        </w:rPr>
      </w:pPr>
      <w:r>
        <w:rPr>
          <w:rFonts w:ascii="宋体" w:hAnsi="宋体"/>
          <w:snapToGrid w:val="0"/>
          <w:kern w:val="0"/>
          <w:szCs w:val="21"/>
        </w:rPr>
        <w:t>投  标  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u w:val="single"/>
        </w:rPr>
        <w:t xml:space="preserve">  </w:t>
      </w:r>
      <w:r>
        <w:rPr>
          <w:rFonts w:ascii="宋体" w:hAnsi="宋体"/>
          <w:snapToGrid w:val="0"/>
          <w:kern w:val="0"/>
          <w:szCs w:val="21"/>
        </w:rPr>
        <w:t xml:space="preserve">（盖单位法人章） </w:t>
      </w:r>
    </w:p>
    <w:p w14:paraId="31BC8479">
      <w:pPr>
        <w:pStyle w:val="2"/>
        <w:rPr>
          <w:rFonts w:hint="eastAsia" w:ascii="宋体" w:hAnsi="宋体"/>
          <w:snapToGrid w:val="0"/>
          <w:kern w:val="0"/>
          <w:szCs w:val="21"/>
        </w:rPr>
      </w:pPr>
    </w:p>
    <w:p w14:paraId="5A4F1B5F">
      <w:pPr>
        <w:pStyle w:val="2"/>
        <w:jc w:val="right"/>
        <w:rPr>
          <w:rFonts w:hint="eastAsia" w:ascii="宋体" w:hAnsi="宋体"/>
        </w:rPr>
      </w:pPr>
      <w:r>
        <w:rPr>
          <w:rFonts w:ascii="宋体" w:hAnsi="宋体"/>
          <w:snapToGrid w:val="0"/>
          <w:kern w:val="0"/>
          <w:szCs w:val="21"/>
        </w:rPr>
        <w:t>法定代表人或其委托代理人：</w:t>
      </w:r>
      <w:r>
        <w:rPr>
          <w:rFonts w:ascii="宋体" w:hAnsi="宋体"/>
          <w:snapToGrid w:val="0"/>
          <w:kern w:val="0"/>
          <w:szCs w:val="21"/>
          <w:u w:val="single"/>
        </w:rPr>
        <w:t xml:space="preserve">         </w:t>
      </w:r>
      <w:r>
        <w:rPr>
          <w:rFonts w:hint="eastAsia" w:ascii="宋体" w:hAnsi="宋体"/>
          <w:snapToGrid w:val="0"/>
          <w:kern w:val="0"/>
          <w:szCs w:val="21"/>
          <w:u w:val="single"/>
        </w:rPr>
        <w:t xml:space="preserve">      </w:t>
      </w:r>
      <w:r>
        <w:rPr>
          <w:rFonts w:ascii="宋体" w:hAnsi="宋体"/>
          <w:snapToGrid w:val="0"/>
          <w:kern w:val="0"/>
          <w:szCs w:val="21"/>
        </w:rPr>
        <w:t>（</w:t>
      </w:r>
      <w:r>
        <w:rPr>
          <w:rFonts w:hint="eastAsia" w:ascii="宋体" w:hAnsi="宋体"/>
          <w:snapToGrid w:val="0"/>
          <w:kern w:val="0"/>
          <w:szCs w:val="21"/>
        </w:rPr>
        <w:t>签名</w:t>
      </w:r>
      <w:r>
        <w:rPr>
          <w:rFonts w:ascii="宋体" w:hAnsi="宋体"/>
          <w:snapToGrid w:val="0"/>
          <w:kern w:val="0"/>
          <w:szCs w:val="21"/>
        </w:rPr>
        <w:t>或盖章）</w:t>
      </w:r>
      <w:r>
        <w:rPr>
          <w:rFonts w:hint="eastAsia" w:ascii="宋体" w:hAnsi="宋体"/>
        </w:rPr>
        <w:br w:type="page"/>
      </w:r>
    </w:p>
    <w:p w14:paraId="3C625F8E">
      <w:pPr>
        <w:pStyle w:val="5"/>
        <w:spacing w:before="0" w:line="360" w:lineRule="auto"/>
        <w:jc w:val="center"/>
        <w:rPr>
          <w:rFonts w:ascii="宋体" w:hAnsi="宋体" w:cs="宋体"/>
          <w:b w:val="0"/>
          <w:bCs w:val="0"/>
        </w:rPr>
      </w:pPr>
      <w:bookmarkStart w:id="917" w:name="_Toc57796010"/>
      <w:bookmarkStart w:id="918" w:name="_Toc3120"/>
      <w:r>
        <w:rPr>
          <w:rFonts w:ascii="宋体" w:hAnsi="宋体" w:cs="宋体"/>
          <w:b w:val="0"/>
          <w:bCs w:val="0"/>
        </w:rPr>
        <w:t>（</w:t>
      </w:r>
      <w:r>
        <w:rPr>
          <w:rFonts w:hint="eastAsia" w:ascii="宋体" w:hAnsi="宋体" w:cs="宋体"/>
          <w:b w:val="0"/>
          <w:bCs w:val="0"/>
        </w:rPr>
        <w:t>三</w:t>
      </w:r>
      <w:r>
        <w:rPr>
          <w:rFonts w:ascii="宋体" w:hAnsi="宋体" w:cs="宋体"/>
          <w:b w:val="0"/>
          <w:bCs w:val="0"/>
        </w:rPr>
        <w:t>）</w:t>
      </w:r>
      <w:r>
        <w:rPr>
          <w:rFonts w:hint="eastAsia" w:ascii="宋体" w:hAnsi="宋体" w:cs="宋体"/>
          <w:b w:val="0"/>
          <w:bCs w:val="0"/>
        </w:rPr>
        <w:t>法定代表人身份证明或附有法定代表人身份证明的授权委托书</w:t>
      </w:r>
      <w:bookmarkEnd w:id="912"/>
      <w:bookmarkEnd w:id="913"/>
      <w:bookmarkEnd w:id="914"/>
      <w:bookmarkEnd w:id="915"/>
      <w:bookmarkEnd w:id="916"/>
      <w:bookmarkEnd w:id="917"/>
      <w:bookmarkEnd w:id="918"/>
    </w:p>
    <w:p w14:paraId="6F0BA8DF">
      <w:pPr>
        <w:spacing w:line="480" w:lineRule="auto"/>
        <w:jc w:val="center"/>
        <w:outlineLvl w:val="1"/>
        <w:rPr>
          <w:rFonts w:hint="eastAsia" w:ascii="宋体" w:hAnsi="宋体"/>
          <w:sz w:val="28"/>
        </w:rPr>
      </w:pPr>
      <w:bookmarkStart w:id="919" w:name="_Toc29755"/>
      <w:bookmarkStart w:id="920" w:name="_Toc23677"/>
      <w:bookmarkStart w:id="921" w:name="_Toc2931"/>
      <w:bookmarkStart w:id="922" w:name="_Toc15161"/>
      <w:bookmarkStart w:id="923" w:name="_Toc28543"/>
      <w:bookmarkStart w:id="924" w:name="_Toc16211"/>
      <w:bookmarkStart w:id="925" w:name="_Toc25054"/>
      <w:r>
        <w:rPr>
          <w:rFonts w:hint="eastAsia" w:ascii="宋体" w:hAnsi="宋体"/>
          <w:sz w:val="28"/>
        </w:rPr>
        <w:t>法定代表人身份证明</w:t>
      </w:r>
      <w:bookmarkEnd w:id="919"/>
      <w:bookmarkEnd w:id="920"/>
      <w:bookmarkEnd w:id="921"/>
      <w:bookmarkEnd w:id="922"/>
      <w:bookmarkEnd w:id="923"/>
      <w:bookmarkEnd w:id="924"/>
      <w:bookmarkEnd w:id="925"/>
    </w:p>
    <w:p w14:paraId="37577A15">
      <w:pPr>
        <w:spacing w:line="480" w:lineRule="auto"/>
        <w:jc w:val="center"/>
        <w:rPr>
          <w:rFonts w:ascii="宋体" w:hAnsi="宋体"/>
        </w:rPr>
      </w:pPr>
    </w:p>
    <w:p w14:paraId="5A12CB1D">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BAE9025">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174CBA9">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5CEC9D4">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48CEE8BF">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640C4D15">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47EE7EF5">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0FBBD58A">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特此证明。</w:t>
      </w:r>
    </w:p>
    <w:p w14:paraId="6F78F1C5">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附：法定代表人身份证扫描件（双面）</w:t>
      </w:r>
    </w:p>
    <w:p w14:paraId="622B1BD9">
      <w:pPr>
        <w:autoSpaceDE w:val="0"/>
        <w:autoSpaceDN w:val="0"/>
        <w:adjustRightInd w:val="0"/>
        <w:snapToGrid w:val="0"/>
        <w:spacing w:line="360" w:lineRule="auto"/>
        <w:jc w:val="left"/>
        <w:rPr>
          <w:rFonts w:hint="eastAsia" w:ascii="宋体" w:hAnsi="宋体"/>
          <w:szCs w:val="21"/>
        </w:rPr>
      </w:pPr>
    </w:p>
    <w:p w14:paraId="2B45E338">
      <w:pPr>
        <w:pStyle w:val="2"/>
        <w:spacing w:after="0" w:line="360" w:lineRule="auto"/>
        <w:rPr>
          <w:rFonts w:hint="eastAsia" w:ascii="宋体" w:hAnsi="宋体"/>
          <w:szCs w:val="21"/>
        </w:rPr>
      </w:pPr>
    </w:p>
    <w:p w14:paraId="1795E8B1">
      <w:pPr>
        <w:pStyle w:val="2"/>
        <w:spacing w:after="0" w:line="360" w:lineRule="auto"/>
        <w:rPr>
          <w:rFonts w:hint="eastAsia" w:ascii="宋体" w:hAnsi="宋体"/>
          <w:szCs w:val="21"/>
        </w:rPr>
      </w:pPr>
    </w:p>
    <w:p w14:paraId="7456089E">
      <w:pPr>
        <w:pStyle w:val="2"/>
        <w:spacing w:after="0" w:line="360" w:lineRule="auto"/>
        <w:rPr>
          <w:rFonts w:hint="eastAsia" w:ascii="宋体" w:hAnsi="宋体"/>
          <w:szCs w:val="21"/>
        </w:rPr>
      </w:pPr>
    </w:p>
    <w:p w14:paraId="6B09F302">
      <w:pPr>
        <w:pStyle w:val="2"/>
        <w:spacing w:after="0" w:line="360" w:lineRule="auto"/>
        <w:rPr>
          <w:rFonts w:hint="eastAsia" w:ascii="宋体" w:hAnsi="宋体"/>
          <w:szCs w:val="21"/>
        </w:rPr>
      </w:pPr>
    </w:p>
    <w:p w14:paraId="0BC3B194">
      <w:pPr>
        <w:pStyle w:val="2"/>
        <w:spacing w:after="0" w:line="360" w:lineRule="auto"/>
        <w:rPr>
          <w:rFonts w:ascii="宋体" w:hAnsi="宋体"/>
          <w:szCs w:val="21"/>
        </w:rPr>
      </w:pPr>
    </w:p>
    <w:p w14:paraId="0C0E2EB3">
      <w:pPr>
        <w:tabs>
          <w:tab w:val="left" w:pos="5460"/>
        </w:tabs>
        <w:autoSpaceDE w:val="0"/>
        <w:autoSpaceDN w:val="0"/>
        <w:adjustRightInd w:val="0"/>
        <w:snapToGrid w:val="0"/>
        <w:spacing w:line="480" w:lineRule="auto"/>
        <w:ind w:firstLine="2100"/>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1513C049">
      <w:pPr>
        <w:autoSpaceDE w:val="0"/>
        <w:autoSpaceDN w:val="0"/>
        <w:adjustRightInd w:val="0"/>
        <w:snapToGrid w:val="0"/>
        <w:spacing w:line="480" w:lineRule="auto"/>
        <w:jc w:val="left"/>
        <w:rPr>
          <w:rFonts w:ascii="宋体" w:hAnsi="宋体"/>
          <w:kern w:val="0"/>
          <w:sz w:val="20"/>
          <w:szCs w:val="20"/>
        </w:rPr>
      </w:pPr>
    </w:p>
    <w:p w14:paraId="122E331F">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10583752">
      <w:pPr>
        <w:pStyle w:val="2"/>
      </w:pPr>
    </w:p>
    <w:p w14:paraId="3906208A">
      <w:pPr>
        <w:spacing w:line="360" w:lineRule="auto"/>
        <w:ind w:firstLine="420" w:firstLineChars="200"/>
        <w:rPr>
          <w:rFonts w:ascii="宋体" w:hAnsi="宋体"/>
        </w:rPr>
      </w:pPr>
      <w:r>
        <w:rPr>
          <w:rFonts w:ascii="宋体" w:hAnsi="宋体"/>
        </w:rPr>
        <w:t>注：法定代表人身份证明需按上述格式填写完整，不可缺少内容。在此基础上增加内容的不影响其有效性。</w:t>
      </w:r>
    </w:p>
    <w:p w14:paraId="0B4CECF4">
      <w:pPr>
        <w:autoSpaceDE w:val="0"/>
        <w:autoSpaceDN w:val="0"/>
        <w:adjustRightInd w:val="0"/>
        <w:snapToGrid w:val="0"/>
        <w:spacing w:line="360" w:lineRule="auto"/>
        <w:jc w:val="left"/>
        <w:rPr>
          <w:rFonts w:ascii="宋体" w:hAnsi="宋体"/>
          <w:kern w:val="0"/>
        </w:rPr>
      </w:pPr>
    </w:p>
    <w:p w14:paraId="17249919">
      <w:pPr>
        <w:tabs>
          <w:tab w:val="left" w:pos="1680"/>
          <w:tab w:val="left" w:pos="4215"/>
          <w:tab w:val="left" w:pos="4305"/>
          <w:tab w:val="left" w:pos="8000"/>
        </w:tabs>
        <w:autoSpaceDE w:val="0"/>
        <w:autoSpaceDN w:val="0"/>
        <w:adjustRightInd w:val="0"/>
        <w:snapToGrid w:val="0"/>
        <w:spacing w:line="360" w:lineRule="auto"/>
        <w:jc w:val="center"/>
        <w:outlineLvl w:val="1"/>
        <w:rPr>
          <w:rFonts w:ascii="宋体" w:hAnsi="宋体"/>
          <w:kern w:val="0"/>
          <w:sz w:val="12"/>
          <w:szCs w:val="12"/>
        </w:rPr>
      </w:pPr>
      <w:r>
        <w:rPr>
          <w:rFonts w:ascii="宋体" w:hAnsi="宋体"/>
          <w:b/>
          <w:kern w:val="0"/>
          <w:sz w:val="28"/>
          <w:szCs w:val="28"/>
        </w:rPr>
        <w:br w:type="page"/>
      </w:r>
      <w:bookmarkStart w:id="926" w:name="_Toc30359"/>
      <w:bookmarkStart w:id="927" w:name="_Toc15733"/>
      <w:bookmarkStart w:id="928" w:name="_Toc21504"/>
      <w:bookmarkStart w:id="929" w:name="_Toc598"/>
      <w:bookmarkStart w:id="930" w:name="_Toc17505"/>
      <w:bookmarkStart w:id="931" w:name="_Toc8387"/>
      <w:bookmarkStart w:id="932" w:name="_Toc24794"/>
      <w:r>
        <w:rPr>
          <w:rFonts w:ascii="宋体" w:hAnsi="宋体"/>
          <w:snapToGrid w:val="0"/>
          <w:kern w:val="0"/>
          <w:sz w:val="32"/>
          <w:szCs w:val="32"/>
        </w:rPr>
        <w:t>授权委托书</w:t>
      </w:r>
      <w:bookmarkEnd w:id="926"/>
      <w:bookmarkEnd w:id="927"/>
      <w:bookmarkEnd w:id="928"/>
      <w:bookmarkEnd w:id="929"/>
      <w:bookmarkEnd w:id="930"/>
      <w:bookmarkEnd w:id="931"/>
      <w:bookmarkEnd w:id="932"/>
    </w:p>
    <w:p w14:paraId="35A528EF">
      <w:pPr>
        <w:autoSpaceDE w:val="0"/>
        <w:autoSpaceDN w:val="0"/>
        <w:adjustRightInd w:val="0"/>
        <w:snapToGrid w:val="0"/>
        <w:spacing w:line="360" w:lineRule="auto"/>
        <w:jc w:val="left"/>
        <w:rPr>
          <w:rFonts w:ascii="宋体" w:hAnsi="宋体"/>
          <w:kern w:val="0"/>
          <w:sz w:val="20"/>
          <w:szCs w:val="20"/>
        </w:rPr>
      </w:pPr>
    </w:p>
    <w:p w14:paraId="25E6D1E8">
      <w:pPr>
        <w:autoSpaceDE w:val="0"/>
        <w:autoSpaceDN w:val="0"/>
        <w:adjustRightInd w:val="0"/>
        <w:snapToGrid w:val="0"/>
        <w:spacing w:line="360" w:lineRule="auto"/>
        <w:jc w:val="left"/>
        <w:rPr>
          <w:rFonts w:ascii="宋体" w:hAnsi="宋体"/>
          <w:kern w:val="0"/>
          <w:sz w:val="20"/>
          <w:szCs w:val="20"/>
        </w:rPr>
      </w:pPr>
    </w:p>
    <w:p w14:paraId="3157214D">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为我方代理人。代理人根据授权，以我方名义签署、澄清、说明、补正、递交、撤回、修改</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w:t>
      </w:r>
      <w:r>
        <w:rPr>
          <w:rFonts w:hint="eastAsia" w:ascii="宋体" w:hAnsi="宋体"/>
          <w:kern w:val="0"/>
          <w:szCs w:val="21"/>
        </w:rPr>
        <w:t>领取原件、</w:t>
      </w:r>
      <w:r>
        <w:rPr>
          <w:rFonts w:ascii="宋体" w:hAnsi="宋体"/>
          <w:kern w:val="0"/>
          <w:szCs w:val="21"/>
        </w:rPr>
        <w:t>签订合同和处理有关事宜， 其法律后果由我方承担。</w:t>
      </w:r>
    </w:p>
    <w:p w14:paraId="7FA37B0F">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14:paraId="6EE42DA5">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14:paraId="13697576">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3ED2B5D7">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1471AD2A">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3B97AF50">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47E05E0D">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14:paraId="2D95E357">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3C99192A">
      <w:pPr>
        <w:tabs>
          <w:tab w:val="left" w:pos="6825"/>
        </w:tabs>
        <w:autoSpaceDE w:val="0"/>
        <w:autoSpaceDN w:val="0"/>
        <w:adjustRightInd w:val="0"/>
        <w:snapToGrid w:val="0"/>
        <w:spacing w:line="480" w:lineRule="auto"/>
        <w:ind w:firstLine="420" w:firstLineChars="200"/>
        <w:jc w:val="left"/>
        <w:rPr>
          <w:rFonts w:hint="eastAsia" w:ascii="宋体" w:hAnsi="宋体"/>
          <w:kern w:val="0"/>
          <w:sz w:val="20"/>
          <w:szCs w:val="20"/>
          <w:u w:val="single"/>
        </w:rPr>
      </w:pPr>
      <w:r>
        <w:rPr>
          <w:rFonts w:hint="eastAsia" w:ascii="宋体" w:hAnsi="宋体"/>
          <w:kern w:val="0"/>
          <w:szCs w:val="21"/>
        </w:rPr>
        <w:t xml:space="preserve">委托代理人电话（手机）：                                                </w:t>
      </w:r>
    </w:p>
    <w:p w14:paraId="524FA3DD">
      <w:pPr>
        <w:autoSpaceDE w:val="0"/>
        <w:autoSpaceDN w:val="0"/>
        <w:adjustRightInd w:val="0"/>
        <w:snapToGrid w:val="0"/>
        <w:spacing w:line="480" w:lineRule="auto"/>
        <w:jc w:val="left"/>
        <w:rPr>
          <w:rFonts w:hint="eastAsia" w:ascii="宋体" w:hAnsi="宋体"/>
          <w:kern w:val="0"/>
          <w:sz w:val="20"/>
          <w:szCs w:val="20"/>
        </w:rPr>
      </w:pPr>
    </w:p>
    <w:p w14:paraId="19AF7D6C">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附：法定代表人和委托代理人身份证扫描件（双面）</w:t>
      </w:r>
    </w:p>
    <w:p w14:paraId="66181E3E">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14:paraId="09E4B884">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412E9400">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3DF5EBB6">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6FF039E7">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703C6AF0">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5C6DA0DC">
      <w:pPr>
        <w:tabs>
          <w:tab w:val="left" w:pos="4005"/>
          <w:tab w:val="left" w:pos="4100"/>
          <w:tab w:val="left" w:pos="5040"/>
        </w:tabs>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1B57BB1D">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kern w:val="0"/>
        </w:rPr>
      </w:pPr>
      <w:r>
        <w:rPr>
          <w:rFonts w:hint="eastAsia" w:ascii="宋体" w:hAnsi="宋体"/>
          <w:kern w:val="0"/>
          <w:szCs w:val="21"/>
        </w:rPr>
        <w:t xml:space="preserve"> </w:t>
      </w:r>
    </w:p>
    <w:p w14:paraId="695DB34C">
      <w:pPr>
        <w:tabs>
          <w:tab w:val="left" w:pos="5760"/>
        </w:tabs>
        <w:autoSpaceDE w:val="0"/>
        <w:autoSpaceDN w:val="0"/>
        <w:adjustRightInd w:val="0"/>
        <w:spacing w:line="360" w:lineRule="auto"/>
        <w:ind w:firstLine="420" w:firstLineChars="200"/>
        <w:rPr>
          <w:rFonts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39BB6F34">
      <w:pPr>
        <w:tabs>
          <w:tab w:val="left" w:pos="5760"/>
        </w:tabs>
        <w:autoSpaceDE w:val="0"/>
        <w:autoSpaceDN w:val="0"/>
        <w:adjustRightInd w:val="0"/>
        <w:spacing w:line="360" w:lineRule="auto"/>
        <w:ind w:firstLine="420" w:firstLineChars="200"/>
        <w:rPr>
          <w:rFonts w:hint="eastAsia" w:ascii="宋体" w:hAnsi="宋体"/>
        </w:rPr>
      </w:pPr>
      <w:r>
        <w:rPr>
          <w:rFonts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35726F58">
      <w:pPr>
        <w:tabs>
          <w:tab w:val="left" w:pos="5760"/>
        </w:tabs>
        <w:autoSpaceDE w:val="0"/>
        <w:autoSpaceDN w:val="0"/>
        <w:adjustRightInd w:val="0"/>
        <w:rPr>
          <w:rFonts w:hint="eastAsia" w:ascii="宋体" w:hAnsi="宋体"/>
          <w:kern w:val="0"/>
          <w:szCs w:val="21"/>
        </w:rPr>
      </w:pPr>
    </w:p>
    <w:p w14:paraId="46269012">
      <w:pPr>
        <w:pStyle w:val="5"/>
        <w:spacing w:before="0" w:line="360" w:lineRule="auto"/>
        <w:jc w:val="center"/>
        <w:rPr>
          <w:rFonts w:hint="eastAsia" w:ascii="宋体" w:hAnsi="宋体" w:cs="宋体"/>
          <w:b w:val="0"/>
          <w:bCs w:val="0"/>
        </w:rPr>
      </w:pPr>
      <w:r>
        <w:rPr>
          <w:rFonts w:ascii="宋体" w:hAnsi="宋体" w:cs="宋体"/>
          <w:b w:val="0"/>
          <w:bCs w:val="0"/>
        </w:rPr>
        <w:br w:type="page"/>
      </w:r>
      <w:bookmarkStart w:id="933" w:name="_Toc9968"/>
      <w:bookmarkStart w:id="934" w:name="_Toc57796011"/>
      <w:r>
        <w:rPr>
          <w:rFonts w:ascii="宋体" w:hAnsi="宋体" w:cs="宋体"/>
          <w:b w:val="0"/>
          <w:bCs w:val="0"/>
        </w:rPr>
        <w:t>（</w:t>
      </w:r>
      <w:r>
        <w:rPr>
          <w:rFonts w:hint="eastAsia" w:ascii="宋体" w:hAnsi="宋体" w:cs="宋体"/>
          <w:b w:val="0"/>
          <w:bCs w:val="0"/>
        </w:rPr>
        <w:t>四</w:t>
      </w:r>
      <w:r>
        <w:rPr>
          <w:rFonts w:ascii="宋体" w:hAnsi="宋体" w:cs="宋体"/>
          <w:b w:val="0"/>
          <w:bCs w:val="0"/>
        </w:rPr>
        <w:t>）</w:t>
      </w:r>
      <w:r>
        <w:rPr>
          <w:rFonts w:hint="eastAsia" w:ascii="宋体" w:hAnsi="宋体" w:cs="宋体"/>
          <w:b w:val="0"/>
          <w:bCs w:val="0"/>
        </w:rPr>
        <w:t>低价风险担保提交承诺书</w:t>
      </w:r>
      <w:bookmarkEnd w:id="933"/>
      <w:bookmarkEnd w:id="934"/>
      <w:r>
        <w:rPr>
          <w:rFonts w:hint="eastAsia" w:ascii="宋体" w:hAnsi="宋体" w:cs="宋体"/>
          <w:b w:val="0"/>
          <w:bCs w:val="0"/>
        </w:rPr>
        <w:t>（如有）</w:t>
      </w:r>
    </w:p>
    <w:p w14:paraId="3F931B4A">
      <w:pPr>
        <w:autoSpaceDE w:val="0"/>
        <w:autoSpaceDN w:val="0"/>
        <w:adjustRightInd w:val="0"/>
        <w:snapToGrid w:val="0"/>
        <w:spacing w:line="360" w:lineRule="auto"/>
        <w:jc w:val="center"/>
        <w:outlineLvl w:val="1"/>
        <w:rPr>
          <w:rFonts w:hint="eastAsia" w:ascii="宋体" w:hAnsi="宋体"/>
          <w:snapToGrid w:val="0"/>
          <w:kern w:val="0"/>
          <w:sz w:val="28"/>
          <w:szCs w:val="28"/>
        </w:rPr>
      </w:pPr>
      <w:bookmarkStart w:id="935" w:name="_Toc30908"/>
      <w:bookmarkStart w:id="936" w:name="_Toc23718"/>
      <w:bookmarkStart w:id="937" w:name="_Toc25913"/>
      <w:bookmarkStart w:id="938" w:name="_Toc10397"/>
      <w:bookmarkStart w:id="939" w:name="_Toc7177"/>
      <w:bookmarkStart w:id="940" w:name="_Toc10788"/>
      <w:bookmarkStart w:id="941" w:name="_Toc9908"/>
      <w:r>
        <w:rPr>
          <w:rFonts w:hint="eastAsia" w:ascii="宋体" w:hAnsi="宋体"/>
          <w:snapToGrid w:val="0"/>
          <w:kern w:val="0"/>
          <w:sz w:val="28"/>
          <w:szCs w:val="28"/>
        </w:rPr>
        <w:t>注：投标报价低于招标项目最高限价的85%时采用。</w:t>
      </w:r>
      <w:bookmarkEnd w:id="935"/>
      <w:bookmarkEnd w:id="936"/>
      <w:bookmarkEnd w:id="937"/>
      <w:bookmarkEnd w:id="938"/>
      <w:bookmarkEnd w:id="939"/>
      <w:bookmarkEnd w:id="940"/>
      <w:bookmarkEnd w:id="941"/>
    </w:p>
    <w:p w14:paraId="3A457D32">
      <w:pPr>
        <w:autoSpaceDE w:val="0"/>
        <w:autoSpaceDN w:val="0"/>
        <w:adjustRightInd w:val="0"/>
        <w:snapToGrid w:val="0"/>
        <w:spacing w:line="360" w:lineRule="auto"/>
        <w:jc w:val="center"/>
        <w:rPr>
          <w:rFonts w:ascii="宋体" w:hAnsi="宋体"/>
          <w:snapToGrid w:val="0"/>
          <w:kern w:val="0"/>
          <w:sz w:val="32"/>
          <w:szCs w:val="32"/>
        </w:rPr>
      </w:pPr>
    </w:p>
    <w:p w14:paraId="4EBF8D64">
      <w:pPr>
        <w:autoSpaceDE w:val="0"/>
        <w:autoSpaceDN w:val="0"/>
        <w:adjustRightInd w:val="0"/>
        <w:snapToGrid w:val="0"/>
        <w:spacing w:line="360" w:lineRule="auto"/>
        <w:rPr>
          <w:rFonts w:ascii="宋体" w:hAnsi="宋体" w:cs="宋体"/>
          <w:snapToGrid w:val="0"/>
          <w:kern w:val="0"/>
          <w:szCs w:val="21"/>
        </w:rPr>
      </w:pPr>
      <w:r>
        <w:rPr>
          <w:rFonts w:hint="eastAsia" w:ascii="宋体" w:hAnsi="宋体" w:cs="宋体"/>
          <w:snapToGrid w:val="0"/>
          <w:kern w:val="0"/>
          <w:szCs w:val="21"/>
          <w:u w:val="single"/>
        </w:rPr>
        <w:t xml:space="preserve">        （招标人名称）</w:t>
      </w:r>
      <w:r>
        <w:rPr>
          <w:rFonts w:hint="eastAsia" w:ascii="宋体" w:hAnsi="宋体" w:cs="宋体"/>
          <w:snapToGrid w:val="0"/>
          <w:kern w:val="0"/>
          <w:szCs w:val="21"/>
        </w:rPr>
        <w:t>：</w:t>
      </w:r>
    </w:p>
    <w:p w14:paraId="7E6BFBC5">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我公司</w:t>
      </w:r>
      <w:r>
        <w:rPr>
          <w:rFonts w:hint="eastAsia" w:ascii="宋体" w:hAnsi="宋体" w:cs="宋体"/>
          <w:snapToGrid w:val="0"/>
          <w:kern w:val="0"/>
          <w:szCs w:val="21"/>
          <w:u w:val="single"/>
        </w:rPr>
        <w:t xml:space="preserve">        （投标人名称）</w:t>
      </w:r>
      <w:r>
        <w:rPr>
          <w:rFonts w:hint="eastAsia" w:ascii="宋体" w:hAnsi="宋体" w:cs="宋体"/>
          <w:snapToGrid w:val="0"/>
          <w:kern w:val="0"/>
          <w:szCs w:val="21"/>
        </w:rPr>
        <w:t>参加了你单位</w:t>
      </w:r>
      <w:r>
        <w:rPr>
          <w:rFonts w:hint="eastAsia" w:ascii="宋体" w:hAnsi="宋体" w:cs="宋体"/>
          <w:snapToGrid w:val="0"/>
          <w:kern w:val="0"/>
          <w:szCs w:val="21"/>
          <w:u w:val="single"/>
        </w:rPr>
        <w:t xml:space="preserve">        （项目名称）</w:t>
      </w:r>
      <w:r>
        <w:rPr>
          <w:rFonts w:hint="eastAsia" w:ascii="宋体" w:hAnsi="宋体" w:cs="宋体"/>
          <w:snapToGrid w:val="0"/>
          <w:kern w:val="0"/>
          <w:szCs w:val="21"/>
        </w:rPr>
        <w:t>的投标。我公司投标报价低于最高限价85</w:t>
      </w:r>
      <w:r>
        <w:rPr>
          <w:rFonts w:ascii="宋体" w:hAnsi="宋体" w:cs="宋体"/>
          <w:snapToGrid w:val="0"/>
          <w:kern w:val="0"/>
          <w:szCs w:val="21"/>
        </w:rPr>
        <w:t>%</w:t>
      </w:r>
      <w:r>
        <w:rPr>
          <w:rFonts w:hint="eastAsia" w:ascii="宋体" w:hAnsi="宋体" w:cs="宋体"/>
          <w:snapToGrid w:val="0"/>
          <w:kern w:val="0"/>
          <w:szCs w:val="21"/>
        </w:rPr>
        <w:t>，若获得中标资格，我公司承诺按照招标文件的规定递交低价风险担保。同时，我公司已落实低价风险担保的提交方案，承诺如采用保函形式提交低价风险担保，保函的格式和内容符合招标文件的要求。否则，我公司愿承担招标文件中约定的，因未按规定递交低价风险担保的相应责任。</w:t>
      </w:r>
    </w:p>
    <w:p w14:paraId="06E0625C">
      <w:pPr>
        <w:autoSpaceDE w:val="0"/>
        <w:autoSpaceDN w:val="0"/>
        <w:adjustRightInd w:val="0"/>
        <w:snapToGrid w:val="0"/>
        <w:spacing w:line="360" w:lineRule="auto"/>
        <w:ind w:firstLine="420" w:firstLineChars="200"/>
        <w:rPr>
          <w:rFonts w:ascii="宋体" w:hAnsi="宋体" w:cs="宋体"/>
          <w:snapToGrid w:val="0"/>
          <w:kern w:val="0"/>
          <w:szCs w:val="21"/>
        </w:rPr>
      </w:pPr>
    </w:p>
    <w:p w14:paraId="0F79B1F1">
      <w:pPr>
        <w:autoSpaceDE w:val="0"/>
        <w:autoSpaceDN w:val="0"/>
        <w:adjustRightInd w:val="0"/>
        <w:snapToGrid w:val="0"/>
        <w:spacing w:line="360" w:lineRule="auto"/>
        <w:ind w:firstLine="420" w:firstLineChars="200"/>
        <w:rPr>
          <w:rFonts w:ascii="宋体" w:hAnsi="宋体" w:cs="宋体"/>
          <w:snapToGrid w:val="0"/>
          <w:kern w:val="0"/>
          <w:szCs w:val="21"/>
        </w:rPr>
      </w:pPr>
      <w:r>
        <w:rPr>
          <w:rFonts w:hint="eastAsia" w:ascii="宋体" w:hAnsi="宋体" w:cs="宋体"/>
          <w:snapToGrid w:val="0"/>
          <w:kern w:val="0"/>
          <w:szCs w:val="21"/>
        </w:rPr>
        <w:t>特此承诺。</w:t>
      </w:r>
    </w:p>
    <w:p w14:paraId="7948C207">
      <w:pPr>
        <w:autoSpaceDE w:val="0"/>
        <w:autoSpaceDN w:val="0"/>
        <w:adjustRightInd w:val="0"/>
        <w:snapToGrid w:val="0"/>
        <w:spacing w:line="360" w:lineRule="auto"/>
        <w:rPr>
          <w:rFonts w:ascii="宋体" w:hAnsi="宋体" w:cs="宋体"/>
          <w:snapToGrid w:val="0"/>
          <w:kern w:val="0"/>
          <w:sz w:val="32"/>
          <w:szCs w:val="32"/>
        </w:rPr>
      </w:pPr>
    </w:p>
    <w:p w14:paraId="3BE47923">
      <w:pPr>
        <w:autoSpaceDE w:val="0"/>
        <w:autoSpaceDN w:val="0"/>
        <w:adjustRightInd w:val="0"/>
        <w:snapToGrid w:val="0"/>
        <w:spacing w:line="360" w:lineRule="auto"/>
        <w:rPr>
          <w:rFonts w:ascii="宋体" w:hAnsi="宋体" w:cs="宋体"/>
          <w:snapToGrid w:val="0"/>
          <w:kern w:val="0"/>
          <w:sz w:val="32"/>
          <w:szCs w:val="32"/>
        </w:rPr>
      </w:pPr>
    </w:p>
    <w:p w14:paraId="6EB14E44">
      <w:pPr>
        <w:autoSpaceDE w:val="0"/>
        <w:autoSpaceDN w:val="0"/>
        <w:adjustRightInd w:val="0"/>
        <w:snapToGrid w:val="0"/>
        <w:spacing w:line="360" w:lineRule="auto"/>
        <w:rPr>
          <w:rFonts w:hint="eastAsia" w:ascii="宋体" w:hAnsi="宋体" w:cs="宋体"/>
          <w:snapToGrid w:val="0"/>
          <w:kern w:val="0"/>
          <w:sz w:val="32"/>
          <w:szCs w:val="32"/>
        </w:rPr>
      </w:pPr>
    </w:p>
    <w:p w14:paraId="54C2D33F">
      <w:pPr>
        <w:autoSpaceDE w:val="0"/>
        <w:autoSpaceDN w:val="0"/>
        <w:adjustRightInd w:val="0"/>
        <w:snapToGrid w:val="0"/>
        <w:spacing w:line="360" w:lineRule="auto"/>
        <w:rPr>
          <w:rFonts w:hint="eastAsia" w:ascii="宋体" w:hAnsi="宋体" w:cs="宋体"/>
          <w:snapToGrid w:val="0"/>
          <w:kern w:val="0"/>
          <w:sz w:val="32"/>
          <w:szCs w:val="32"/>
        </w:rPr>
      </w:pPr>
    </w:p>
    <w:p w14:paraId="1258D939">
      <w:pPr>
        <w:autoSpaceDE w:val="0"/>
        <w:autoSpaceDN w:val="0"/>
        <w:adjustRightInd w:val="0"/>
        <w:snapToGrid w:val="0"/>
        <w:spacing w:line="360" w:lineRule="auto"/>
        <w:rPr>
          <w:rFonts w:ascii="宋体" w:hAnsi="宋体" w:cs="宋体"/>
          <w:snapToGrid w:val="0"/>
          <w:kern w:val="0"/>
          <w:sz w:val="32"/>
          <w:szCs w:val="32"/>
        </w:rPr>
      </w:pPr>
    </w:p>
    <w:p w14:paraId="18339D7D">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43E5D89B">
      <w:pPr>
        <w:tabs>
          <w:tab w:val="left" w:pos="630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1FE849E8">
      <w:pPr>
        <w:tabs>
          <w:tab w:val="left" w:pos="7140"/>
          <w:tab w:val="left" w:pos="7560"/>
          <w:tab w:val="left" w:pos="8300"/>
        </w:tabs>
        <w:autoSpaceDE w:val="0"/>
        <w:autoSpaceDN w:val="0"/>
        <w:adjustRightInd w:val="0"/>
        <w:spacing w:line="360" w:lineRule="auto"/>
        <w:ind w:firstLine="420" w:firstLineChars="200"/>
        <w:rPr>
          <w:rFonts w:ascii="宋体" w:hAnsi="宋体"/>
          <w:snapToGrid w:val="0"/>
          <w:kern w:val="0"/>
          <w:szCs w:val="21"/>
        </w:rPr>
      </w:pPr>
    </w:p>
    <w:p w14:paraId="1C87F388">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7D0B7F73">
      <w:pPr>
        <w:pStyle w:val="2"/>
        <w:rPr>
          <w:rFonts w:ascii="宋体" w:hAnsi="宋体"/>
          <w:kern w:val="0"/>
          <w:szCs w:val="21"/>
        </w:rPr>
      </w:pPr>
    </w:p>
    <w:p w14:paraId="17D9BEF8">
      <w:pPr>
        <w:spacing w:line="360" w:lineRule="auto"/>
        <w:rPr>
          <w:rFonts w:hint="eastAsia"/>
          <w:i/>
          <w:iCs/>
        </w:rPr>
      </w:pPr>
    </w:p>
    <w:p w14:paraId="2B7C1FC3">
      <w:pPr>
        <w:spacing w:line="360" w:lineRule="auto"/>
        <w:rPr>
          <w:rFonts w:hint="eastAsia" w:ascii="宋体" w:hAnsi="宋体"/>
          <w:snapToGrid w:val="0"/>
          <w:kern w:val="0"/>
          <w:sz w:val="32"/>
          <w:szCs w:val="32"/>
        </w:rPr>
      </w:pPr>
      <w:r>
        <w:rPr>
          <w:rFonts w:hint="eastAsia"/>
          <w:i/>
          <w:iCs/>
        </w:rPr>
        <w:t>[提示：本项目第三章采用综合评估法时，招标人应删除第九章投标文件格式中“（四）低价风险担保提交承诺书（如有）”格式。]</w:t>
      </w:r>
    </w:p>
    <w:p w14:paraId="4CF73FF1">
      <w:pPr>
        <w:spacing w:line="360" w:lineRule="auto"/>
        <w:ind w:firstLine="640" w:firstLineChars="200"/>
        <w:jc w:val="center"/>
        <w:rPr>
          <w:rFonts w:hint="eastAsia" w:ascii="宋体" w:hAnsi="宋体"/>
          <w:snapToGrid w:val="0"/>
          <w:kern w:val="0"/>
          <w:sz w:val="32"/>
          <w:szCs w:val="32"/>
        </w:rPr>
      </w:pPr>
    </w:p>
    <w:p w14:paraId="37EA0E07">
      <w:pPr>
        <w:spacing w:line="360" w:lineRule="auto"/>
        <w:ind w:firstLine="640" w:firstLineChars="200"/>
        <w:jc w:val="center"/>
        <w:rPr>
          <w:rFonts w:hint="eastAsia" w:ascii="宋体" w:hAnsi="宋体"/>
          <w:snapToGrid w:val="0"/>
          <w:kern w:val="0"/>
          <w:sz w:val="32"/>
          <w:szCs w:val="32"/>
        </w:rPr>
      </w:pPr>
    </w:p>
    <w:p w14:paraId="701F6CC8">
      <w:pPr>
        <w:pStyle w:val="4"/>
        <w:spacing w:line="360" w:lineRule="auto"/>
        <w:jc w:val="center"/>
        <w:rPr>
          <w:rFonts w:ascii="宋体" w:hAnsi="宋体"/>
          <w:b w:val="0"/>
          <w:bCs w:val="0"/>
          <w:sz w:val="44"/>
          <w:szCs w:val="44"/>
        </w:rPr>
      </w:pPr>
      <w:bookmarkStart w:id="942" w:name="_Toc224103500"/>
      <w:r>
        <w:rPr>
          <w:rFonts w:hint="eastAsia" w:ascii="宋体" w:hAnsi="宋体" w:cs="宋体"/>
        </w:rPr>
        <w:br w:type="page"/>
      </w:r>
      <w:bookmarkEnd w:id="942"/>
      <w:bookmarkStart w:id="943" w:name="_Toc27062"/>
      <w:bookmarkStart w:id="944" w:name="_Toc7263"/>
      <w:bookmarkStart w:id="945" w:name="_Toc57796013"/>
      <w:r>
        <w:rPr>
          <w:rFonts w:hint="eastAsia" w:ascii="宋体" w:hAnsi="宋体"/>
          <w:b w:val="0"/>
          <w:bCs w:val="0"/>
          <w:sz w:val="44"/>
          <w:szCs w:val="44"/>
        </w:rPr>
        <w:t>二、经济部分</w:t>
      </w:r>
      <w:bookmarkEnd w:id="943"/>
      <w:bookmarkEnd w:id="944"/>
      <w:bookmarkEnd w:id="945"/>
    </w:p>
    <w:p w14:paraId="00DBF6A7">
      <w:pPr>
        <w:autoSpaceDE w:val="0"/>
        <w:autoSpaceDN w:val="0"/>
        <w:adjustRightInd w:val="0"/>
        <w:snapToGrid w:val="0"/>
        <w:spacing w:line="360" w:lineRule="auto"/>
        <w:jc w:val="center"/>
        <w:rPr>
          <w:rFonts w:ascii="宋体" w:hAnsi="宋体" w:cs="宋体"/>
          <w:sz w:val="32"/>
          <w:szCs w:val="32"/>
        </w:rPr>
      </w:pPr>
    </w:p>
    <w:p w14:paraId="2550A654">
      <w:pPr>
        <w:spacing w:line="360" w:lineRule="auto"/>
        <w:jc w:val="center"/>
        <w:rPr>
          <w:rFonts w:hint="eastAsia" w:ascii="宋体" w:hAnsi="宋体"/>
          <w:kern w:val="0"/>
          <w:sz w:val="32"/>
          <w:szCs w:val="32"/>
        </w:rPr>
      </w:pPr>
      <w:r>
        <w:rPr>
          <w:rFonts w:ascii="宋体" w:hAnsi="宋体" w:cs="宋体"/>
          <w:sz w:val="32"/>
          <w:szCs w:val="32"/>
        </w:rPr>
        <w:br w:type="page"/>
      </w:r>
      <w:r>
        <w:rPr>
          <w:rFonts w:hint="eastAsia" w:ascii="宋体" w:hAnsi="宋体"/>
          <w:kern w:val="0"/>
          <w:sz w:val="32"/>
          <w:szCs w:val="32"/>
          <w:u w:val="single"/>
        </w:rPr>
        <w:t xml:space="preserve">                   （项目名称）</w:t>
      </w:r>
    </w:p>
    <w:p w14:paraId="1572507B">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3F938B5A">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2ABFA671">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5DA1754">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8B76C0E">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24917E04">
      <w:pPr>
        <w:autoSpaceDE w:val="0"/>
        <w:autoSpaceDN w:val="0"/>
        <w:adjustRightInd w:val="0"/>
        <w:snapToGrid w:val="0"/>
        <w:spacing w:line="360" w:lineRule="auto"/>
        <w:jc w:val="left"/>
        <w:rPr>
          <w:rFonts w:ascii="宋体" w:hAnsi="宋体"/>
          <w:kern w:val="0"/>
          <w:sz w:val="16"/>
          <w:szCs w:val="16"/>
        </w:rPr>
      </w:pPr>
    </w:p>
    <w:p w14:paraId="2C1F0B54">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经济部分</w:t>
      </w:r>
    </w:p>
    <w:p w14:paraId="0C25B6D9">
      <w:pPr>
        <w:autoSpaceDE w:val="0"/>
        <w:autoSpaceDN w:val="0"/>
        <w:adjustRightInd w:val="0"/>
        <w:snapToGrid w:val="0"/>
        <w:spacing w:line="360" w:lineRule="auto"/>
        <w:jc w:val="left"/>
        <w:rPr>
          <w:rFonts w:ascii="宋体" w:hAnsi="宋体"/>
          <w:b/>
          <w:kern w:val="0"/>
          <w:sz w:val="20"/>
          <w:szCs w:val="20"/>
        </w:rPr>
      </w:pPr>
    </w:p>
    <w:p w14:paraId="11CD6F56">
      <w:pPr>
        <w:autoSpaceDE w:val="0"/>
        <w:autoSpaceDN w:val="0"/>
        <w:adjustRightInd w:val="0"/>
        <w:snapToGrid w:val="0"/>
        <w:spacing w:line="360" w:lineRule="auto"/>
        <w:jc w:val="left"/>
        <w:rPr>
          <w:rFonts w:ascii="宋体" w:hAnsi="宋体"/>
          <w:b/>
          <w:kern w:val="0"/>
          <w:sz w:val="20"/>
          <w:szCs w:val="20"/>
        </w:rPr>
      </w:pPr>
    </w:p>
    <w:p w14:paraId="38E64A44">
      <w:pPr>
        <w:autoSpaceDE w:val="0"/>
        <w:autoSpaceDN w:val="0"/>
        <w:adjustRightInd w:val="0"/>
        <w:snapToGrid w:val="0"/>
        <w:spacing w:line="360" w:lineRule="auto"/>
        <w:jc w:val="left"/>
        <w:rPr>
          <w:rFonts w:ascii="宋体" w:hAnsi="宋体"/>
          <w:b/>
          <w:kern w:val="0"/>
          <w:sz w:val="20"/>
          <w:szCs w:val="20"/>
        </w:rPr>
      </w:pPr>
    </w:p>
    <w:p w14:paraId="2CCCAF22">
      <w:pPr>
        <w:autoSpaceDE w:val="0"/>
        <w:autoSpaceDN w:val="0"/>
        <w:adjustRightInd w:val="0"/>
        <w:snapToGrid w:val="0"/>
        <w:spacing w:line="360" w:lineRule="auto"/>
        <w:jc w:val="left"/>
        <w:rPr>
          <w:rFonts w:ascii="宋体" w:hAnsi="宋体"/>
          <w:b/>
          <w:kern w:val="0"/>
          <w:sz w:val="20"/>
          <w:szCs w:val="20"/>
        </w:rPr>
      </w:pPr>
    </w:p>
    <w:p w14:paraId="04A619B0">
      <w:pPr>
        <w:autoSpaceDE w:val="0"/>
        <w:autoSpaceDN w:val="0"/>
        <w:adjustRightInd w:val="0"/>
        <w:snapToGrid w:val="0"/>
        <w:spacing w:line="360" w:lineRule="auto"/>
        <w:jc w:val="left"/>
        <w:rPr>
          <w:rFonts w:ascii="宋体" w:hAnsi="宋体"/>
          <w:b/>
          <w:kern w:val="0"/>
          <w:sz w:val="20"/>
          <w:szCs w:val="20"/>
        </w:rPr>
      </w:pPr>
    </w:p>
    <w:p w14:paraId="336BA956">
      <w:pPr>
        <w:autoSpaceDE w:val="0"/>
        <w:autoSpaceDN w:val="0"/>
        <w:adjustRightInd w:val="0"/>
        <w:snapToGrid w:val="0"/>
        <w:spacing w:line="360" w:lineRule="auto"/>
        <w:jc w:val="left"/>
        <w:rPr>
          <w:rFonts w:ascii="宋体" w:hAnsi="宋体"/>
          <w:b/>
          <w:kern w:val="0"/>
          <w:sz w:val="20"/>
          <w:szCs w:val="20"/>
        </w:rPr>
      </w:pPr>
    </w:p>
    <w:p w14:paraId="6DC0BB4B">
      <w:pPr>
        <w:autoSpaceDE w:val="0"/>
        <w:autoSpaceDN w:val="0"/>
        <w:adjustRightInd w:val="0"/>
        <w:snapToGrid w:val="0"/>
        <w:spacing w:line="360" w:lineRule="auto"/>
        <w:jc w:val="left"/>
        <w:rPr>
          <w:rFonts w:ascii="宋体" w:hAnsi="宋体"/>
          <w:b/>
          <w:kern w:val="0"/>
          <w:sz w:val="20"/>
          <w:szCs w:val="20"/>
        </w:rPr>
      </w:pPr>
    </w:p>
    <w:p w14:paraId="5107EF51">
      <w:pPr>
        <w:autoSpaceDE w:val="0"/>
        <w:autoSpaceDN w:val="0"/>
        <w:adjustRightInd w:val="0"/>
        <w:snapToGrid w:val="0"/>
        <w:spacing w:line="360" w:lineRule="auto"/>
        <w:jc w:val="left"/>
        <w:rPr>
          <w:rFonts w:ascii="宋体" w:hAnsi="宋体"/>
          <w:b/>
          <w:kern w:val="0"/>
          <w:sz w:val="20"/>
          <w:szCs w:val="20"/>
        </w:rPr>
      </w:pPr>
    </w:p>
    <w:p w14:paraId="7F481B23">
      <w:pPr>
        <w:autoSpaceDE w:val="0"/>
        <w:autoSpaceDN w:val="0"/>
        <w:adjustRightInd w:val="0"/>
        <w:snapToGrid w:val="0"/>
        <w:spacing w:line="360" w:lineRule="auto"/>
        <w:jc w:val="left"/>
        <w:rPr>
          <w:rFonts w:ascii="宋体" w:hAnsi="宋体"/>
          <w:b/>
          <w:kern w:val="0"/>
          <w:sz w:val="20"/>
          <w:szCs w:val="20"/>
        </w:rPr>
      </w:pPr>
    </w:p>
    <w:p w14:paraId="1BC484E2">
      <w:pPr>
        <w:autoSpaceDE w:val="0"/>
        <w:autoSpaceDN w:val="0"/>
        <w:adjustRightInd w:val="0"/>
        <w:snapToGrid w:val="0"/>
        <w:spacing w:line="360" w:lineRule="auto"/>
        <w:jc w:val="left"/>
        <w:rPr>
          <w:rFonts w:ascii="宋体" w:hAnsi="宋体"/>
          <w:b/>
          <w:kern w:val="0"/>
          <w:sz w:val="20"/>
          <w:szCs w:val="20"/>
        </w:rPr>
      </w:pPr>
    </w:p>
    <w:p w14:paraId="0AF35B5D">
      <w:pPr>
        <w:autoSpaceDE w:val="0"/>
        <w:autoSpaceDN w:val="0"/>
        <w:adjustRightInd w:val="0"/>
        <w:snapToGrid w:val="0"/>
        <w:spacing w:line="360" w:lineRule="auto"/>
        <w:jc w:val="left"/>
        <w:rPr>
          <w:rFonts w:ascii="宋体" w:hAnsi="宋体"/>
          <w:b/>
          <w:kern w:val="0"/>
          <w:sz w:val="20"/>
          <w:szCs w:val="20"/>
        </w:rPr>
      </w:pPr>
    </w:p>
    <w:p w14:paraId="48055F5B">
      <w:pPr>
        <w:autoSpaceDE w:val="0"/>
        <w:autoSpaceDN w:val="0"/>
        <w:adjustRightInd w:val="0"/>
        <w:snapToGrid w:val="0"/>
        <w:spacing w:line="360" w:lineRule="auto"/>
        <w:jc w:val="left"/>
        <w:rPr>
          <w:rFonts w:ascii="宋体" w:hAnsi="宋体"/>
          <w:b/>
          <w:kern w:val="0"/>
          <w:sz w:val="20"/>
          <w:szCs w:val="20"/>
        </w:rPr>
      </w:pPr>
    </w:p>
    <w:p w14:paraId="21622568">
      <w:pPr>
        <w:autoSpaceDE w:val="0"/>
        <w:autoSpaceDN w:val="0"/>
        <w:adjustRightInd w:val="0"/>
        <w:snapToGrid w:val="0"/>
        <w:spacing w:line="360" w:lineRule="auto"/>
        <w:jc w:val="left"/>
        <w:rPr>
          <w:rFonts w:ascii="宋体" w:hAnsi="宋体"/>
          <w:b/>
          <w:kern w:val="0"/>
          <w:sz w:val="20"/>
          <w:szCs w:val="20"/>
        </w:rPr>
      </w:pPr>
    </w:p>
    <w:p w14:paraId="1414486C">
      <w:pPr>
        <w:tabs>
          <w:tab w:val="left" w:pos="6080"/>
          <w:tab w:val="left" w:pos="6640"/>
        </w:tabs>
        <w:autoSpaceDE w:val="0"/>
        <w:autoSpaceDN w:val="0"/>
        <w:adjustRightInd w:val="0"/>
        <w:snapToGrid w:val="0"/>
        <w:spacing w:after="156" w:afterLines="50" w:line="36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2C785AE5">
      <w:pPr>
        <w:tabs>
          <w:tab w:val="left" w:pos="6080"/>
          <w:tab w:val="left" w:pos="6640"/>
        </w:tabs>
        <w:autoSpaceDE w:val="0"/>
        <w:autoSpaceDN w:val="0"/>
        <w:adjustRightInd w:val="0"/>
        <w:snapToGrid w:val="0"/>
        <w:spacing w:after="156" w:afterLines="50" w:line="360" w:lineRule="auto"/>
        <w:jc w:val="center"/>
        <w:rPr>
          <w:rFonts w:ascii="宋体" w:hAnsi="宋体"/>
          <w:b/>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68565B3A">
      <w:pPr>
        <w:tabs>
          <w:tab w:val="left" w:pos="3280"/>
          <w:tab w:val="left" w:pos="4680"/>
          <w:tab w:val="left" w:pos="6080"/>
        </w:tabs>
        <w:autoSpaceDE w:val="0"/>
        <w:autoSpaceDN w:val="0"/>
        <w:adjustRightInd w:val="0"/>
        <w:snapToGrid w:val="0"/>
        <w:spacing w:after="156" w:afterLines="50" w:line="360" w:lineRule="auto"/>
        <w:jc w:val="center"/>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p>
    <w:p w14:paraId="3B590C0E">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571D5654">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4D76F938">
      <w:pPr>
        <w:autoSpaceDE w:val="0"/>
        <w:autoSpaceDN w:val="0"/>
        <w:adjustRightInd w:val="0"/>
        <w:snapToGrid w:val="0"/>
        <w:spacing w:line="360" w:lineRule="auto"/>
        <w:jc w:val="left"/>
        <w:rPr>
          <w:rFonts w:ascii="宋体" w:hAnsi="宋体"/>
          <w:kern w:val="0"/>
          <w:szCs w:val="21"/>
        </w:rPr>
      </w:pPr>
    </w:p>
    <w:p w14:paraId="5585D671">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0A9BA855">
      <w:pPr>
        <w:pStyle w:val="5"/>
        <w:spacing w:before="0" w:after="0" w:line="240" w:lineRule="auto"/>
        <w:jc w:val="center"/>
        <w:rPr>
          <w:rFonts w:ascii="宋体" w:hAnsi="宋体"/>
          <w:b w:val="0"/>
          <w:bCs w:val="0"/>
        </w:rPr>
      </w:pPr>
      <w:bookmarkStart w:id="946" w:name="_Toc224103501"/>
      <w:bookmarkStart w:id="947" w:name="_Toc277082648"/>
      <w:bookmarkStart w:id="948" w:name="_Toc287607873"/>
      <w:bookmarkStart w:id="949" w:name="_Toc430530535"/>
      <w:bookmarkStart w:id="950" w:name="_Toc287620820"/>
      <w:r>
        <w:rPr>
          <w:rFonts w:ascii="宋体" w:hAnsi="宋体"/>
          <w:b w:val="0"/>
          <w:bCs w:val="0"/>
          <w:kern w:val="0"/>
          <w:sz w:val="21"/>
          <w:szCs w:val="21"/>
        </w:rPr>
        <w:br w:type="page"/>
      </w:r>
      <w:bookmarkStart w:id="951" w:name="_Toc57796014"/>
      <w:bookmarkStart w:id="952" w:name="_Toc4199"/>
      <w:bookmarkStart w:id="953" w:name="_Toc10606"/>
      <w:r>
        <w:rPr>
          <w:rFonts w:hint="eastAsia" w:ascii="宋体" w:hAnsi="宋体"/>
          <w:b w:val="0"/>
          <w:bCs w:val="0"/>
        </w:rPr>
        <w:t>（一）已标价工程量清单</w:t>
      </w:r>
      <w:bookmarkEnd w:id="946"/>
      <w:bookmarkEnd w:id="947"/>
      <w:bookmarkEnd w:id="948"/>
      <w:bookmarkEnd w:id="949"/>
      <w:bookmarkEnd w:id="950"/>
      <w:bookmarkEnd w:id="951"/>
      <w:bookmarkEnd w:id="952"/>
      <w:bookmarkEnd w:id="953"/>
    </w:p>
    <w:p w14:paraId="3CE972E3">
      <w:pPr>
        <w:tabs>
          <w:tab w:val="left" w:pos="2580"/>
          <w:tab w:val="left" w:pos="5940"/>
        </w:tabs>
        <w:autoSpaceDE w:val="0"/>
        <w:autoSpaceDN w:val="0"/>
        <w:adjustRightInd w:val="0"/>
        <w:snapToGrid w:val="0"/>
        <w:spacing w:line="360" w:lineRule="auto"/>
        <w:ind w:firstLine="2940"/>
        <w:jc w:val="left"/>
        <w:rPr>
          <w:rFonts w:ascii="宋体" w:hAnsi="宋体"/>
          <w:kern w:val="0"/>
          <w:sz w:val="28"/>
          <w:szCs w:val="28"/>
        </w:rPr>
      </w:pPr>
    </w:p>
    <w:p w14:paraId="6932879A">
      <w:pPr>
        <w:pStyle w:val="4"/>
        <w:spacing w:line="360" w:lineRule="auto"/>
        <w:jc w:val="center"/>
        <w:rPr>
          <w:rFonts w:ascii="宋体" w:hAnsi="宋体"/>
          <w:b w:val="0"/>
          <w:bCs w:val="0"/>
          <w:sz w:val="44"/>
          <w:szCs w:val="44"/>
        </w:rPr>
      </w:pPr>
      <w:r>
        <w:rPr>
          <w:rFonts w:ascii="宋体" w:hAnsi="宋体"/>
        </w:rPr>
        <w:br w:type="page"/>
      </w:r>
      <w:bookmarkStart w:id="954" w:name="_Toc57796015"/>
      <w:bookmarkStart w:id="955" w:name="_Toc28840"/>
      <w:r>
        <w:rPr>
          <w:rFonts w:hint="eastAsia" w:ascii="宋体" w:hAnsi="宋体"/>
          <w:b w:val="0"/>
          <w:bCs w:val="0"/>
          <w:sz w:val="44"/>
          <w:szCs w:val="44"/>
        </w:rPr>
        <w:t>三、商务部分</w:t>
      </w:r>
      <w:bookmarkEnd w:id="954"/>
      <w:bookmarkEnd w:id="955"/>
    </w:p>
    <w:p w14:paraId="5D6141B8">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提示：不设置商务部分评审的不设此部分</w:t>
      </w:r>
      <w:r>
        <w:rPr>
          <w:rFonts w:ascii="宋体" w:hAnsi="宋体"/>
          <w:i/>
          <w:iCs/>
          <w:kern w:val="0"/>
          <w:szCs w:val="21"/>
        </w:rPr>
        <w:t>]</w:t>
      </w:r>
    </w:p>
    <w:p w14:paraId="79D31DDB">
      <w:pPr>
        <w:spacing w:line="360" w:lineRule="auto"/>
        <w:jc w:val="center"/>
        <w:outlineLvl w:val="1"/>
        <w:rPr>
          <w:rFonts w:hint="eastAsia" w:ascii="宋体" w:hAnsi="宋体"/>
          <w:kern w:val="0"/>
          <w:sz w:val="32"/>
          <w:szCs w:val="32"/>
        </w:rPr>
      </w:pPr>
      <w:r>
        <w:rPr>
          <w:rFonts w:ascii="宋体" w:hAnsi="宋体"/>
          <w:kern w:val="0"/>
          <w:sz w:val="28"/>
          <w:szCs w:val="28"/>
        </w:rPr>
        <w:br w:type="page"/>
      </w:r>
      <w:r>
        <w:rPr>
          <w:rFonts w:hint="eastAsia" w:ascii="宋体" w:hAnsi="宋体"/>
          <w:kern w:val="0"/>
          <w:sz w:val="32"/>
          <w:szCs w:val="32"/>
          <w:u w:val="single"/>
        </w:rPr>
        <w:t xml:space="preserve">                   </w:t>
      </w:r>
      <w:bookmarkStart w:id="956" w:name="_Toc21803"/>
      <w:bookmarkStart w:id="957" w:name="_Toc7348"/>
      <w:bookmarkStart w:id="958" w:name="_Toc16702"/>
      <w:bookmarkStart w:id="959" w:name="_Toc21069"/>
      <w:bookmarkStart w:id="960" w:name="_Toc20311"/>
      <w:bookmarkStart w:id="961" w:name="_Toc28855"/>
      <w:bookmarkStart w:id="962" w:name="_Toc22261"/>
      <w:r>
        <w:rPr>
          <w:rFonts w:hint="eastAsia" w:ascii="宋体" w:hAnsi="宋体"/>
          <w:kern w:val="0"/>
          <w:sz w:val="32"/>
          <w:szCs w:val="32"/>
          <w:u w:val="single"/>
        </w:rPr>
        <w:t>（项目名称）</w:t>
      </w:r>
      <w:bookmarkEnd w:id="956"/>
      <w:bookmarkEnd w:id="957"/>
      <w:bookmarkEnd w:id="958"/>
      <w:bookmarkEnd w:id="959"/>
      <w:bookmarkEnd w:id="960"/>
      <w:bookmarkEnd w:id="961"/>
      <w:bookmarkEnd w:id="962"/>
    </w:p>
    <w:p w14:paraId="2EB46057">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168B1D9F">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48D85FC2">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789B48E9">
      <w:pPr>
        <w:tabs>
          <w:tab w:val="left" w:pos="3600"/>
          <w:tab w:val="left" w:pos="4480"/>
          <w:tab w:val="left" w:pos="5360"/>
        </w:tabs>
        <w:autoSpaceDE w:val="0"/>
        <w:autoSpaceDN w:val="0"/>
        <w:adjustRightInd w:val="0"/>
        <w:snapToGrid w:val="0"/>
        <w:spacing w:line="360" w:lineRule="auto"/>
        <w:jc w:val="left"/>
        <w:rPr>
          <w:rFonts w:ascii="宋体" w:hAnsi="宋体"/>
          <w:kern w:val="0"/>
          <w:sz w:val="44"/>
          <w:szCs w:val="44"/>
        </w:rPr>
      </w:pPr>
    </w:p>
    <w:p w14:paraId="5F234E5F">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57FA1A0A">
      <w:pPr>
        <w:autoSpaceDE w:val="0"/>
        <w:autoSpaceDN w:val="0"/>
        <w:adjustRightInd w:val="0"/>
        <w:snapToGrid w:val="0"/>
        <w:spacing w:line="360" w:lineRule="auto"/>
        <w:jc w:val="left"/>
        <w:rPr>
          <w:rFonts w:ascii="宋体" w:hAnsi="宋体"/>
          <w:kern w:val="0"/>
          <w:sz w:val="16"/>
          <w:szCs w:val="16"/>
        </w:rPr>
      </w:pPr>
    </w:p>
    <w:p w14:paraId="0FEDA393">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商务部分</w:t>
      </w:r>
    </w:p>
    <w:p w14:paraId="09D0A3C4">
      <w:pPr>
        <w:autoSpaceDE w:val="0"/>
        <w:autoSpaceDN w:val="0"/>
        <w:adjustRightInd w:val="0"/>
        <w:snapToGrid w:val="0"/>
        <w:spacing w:line="360" w:lineRule="auto"/>
        <w:jc w:val="left"/>
        <w:rPr>
          <w:rFonts w:ascii="宋体" w:hAnsi="宋体"/>
          <w:b/>
          <w:kern w:val="0"/>
          <w:sz w:val="20"/>
          <w:szCs w:val="20"/>
        </w:rPr>
      </w:pPr>
    </w:p>
    <w:p w14:paraId="6C362BE2">
      <w:pPr>
        <w:autoSpaceDE w:val="0"/>
        <w:autoSpaceDN w:val="0"/>
        <w:adjustRightInd w:val="0"/>
        <w:snapToGrid w:val="0"/>
        <w:spacing w:line="360" w:lineRule="auto"/>
        <w:jc w:val="left"/>
        <w:rPr>
          <w:rFonts w:ascii="宋体" w:hAnsi="宋体"/>
          <w:b/>
          <w:kern w:val="0"/>
          <w:sz w:val="20"/>
          <w:szCs w:val="20"/>
        </w:rPr>
      </w:pPr>
    </w:p>
    <w:p w14:paraId="5B77BCD5">
      <w:pPr>
        <w:autoSpaceDE w:val="0"/>
        <w:autoSpaceDN w:val="0"/>
        <w:adjustRightInd w:val="0"/>
        <w:snapToGrid w:val="0"/>
        <w:spacing w:line="360" w:lineRule="auto"/>
        <w:jc w:val="left"/>
        <w:rPr>
          <w:rFonts w:ascii="宋体" w:hAnsi="宋体"/>
          <w:b/>
          <w:kern w:val="0"/>
          <w:sz w:val="20"/>
          <w:szCs w:val="20"/>
        </w:rPr>
      </w:pPr>
    </w:p>
    <w:p w14:paraId="442A167D">
      <w:pPr>
        <w:autoSpaceDE w:val="0"/>
        <w:autoSpaceDN w:val="0"/>
        <w:adjustRightInd w:val="0"/>
        <w:snapToGrid w:val="0"/>
        <w:spacing w:line="360" w:lineRule="auto"/>
        <w:jc w:val="left"/>
        <w:rPr>
          <w:rFonts w:ascii="宋体" w:hAnsi="宋体"/>
          <w:b/>
          <w:kern w:val="0"/>
          <w:sz w:val="20"/>
          <w:szCs w:val="20"/>
        </w:rPr>
      </w:pPr>
    </w:p>
    <w:p w14:paraId="4BE9408A">
      <w:pPr>
        <w:autoSpaceDE w:val="0"/>
        <w:autoSpaceDN w:val="0"/>
        <w:adjustRightInd w:val="0"/>
        <w:snapToGrid w:val="0"/>
        <w:spacing w:line="360" w:lineRule="auto"/>
        <w:jc w:val="left"/>
        <w:rPr>
          <w:rFonts w:ascii="宋体" w:hAnsi="宋体"/>
          <w:b/>
          <w:kern w:val="0"/>
          <w:sz w:val="20"/>
          <w:szCs w:val="20"/>
        </w:rPr>
      </w:pPr>
    </w:p>
    <w:p w14:paraId="0A0D3FE0">
      <w:pPr>
        <w:autoSpaceDE w:val="0"/>
        <w:autoSpaceDN w:val="0"/>
        <w:adjustRightInd w:val="0"/>
        <w:snapToGrid w:val="0"/>
        <w:spacing w:line="360" w:lineRule="auto"/>
        <w:jc w:val="left"/>
        <w:rPr>
          <w:rFonts w:ascii="宋体" w:hAnsi="宋体"/>
          <w:b/>
          <w:kern w:val="0"/>
          <w:sz w:val="20"/>
          <w:szCs w:val="20"/>
        </w:rPr>
      </w:pPr>
    </w:p>
    <w:p w14:paraId="57C36CA0">
      <w:pPr>
        <w:autoSpaceDE w:val="0"/>
        <w:autoSpaceDN w:val="0"/>
        <w:adjustRightInd w:val="0"/>
        <w:snapToGrid w:val="0"/>
        <w:spacing w:line="360" w:lineRule="auto"/>
        <w:jc w:val="left"/>
        <w:rPr>
          <w:rFonts w:ascii="宋体" w:hAnsi="宋体"/>
          <w:b/>
          <w:kern w:val="0"/>
          <w:sz w:val="20"/>
          <w:szCs w:val="20"/>
        </w:rPr>
      </w:pPr>
    </w:p>
    <w:p w14:paraId="7653B552">
      <w:pPr>
        <w:autoSpaceDE w:val="0"/>
        <w:autoSpaceDN w:val="0"/>
        <w:adjustRightInd w:val="0"/>
        <w:snapToGrid w:val="0"/>
        <w:spacing w:line="360" w:lineRule="auto"/>
        <w:jc w:val="left"/>
        <w:rPr>
          <w:rFonts w:ascii="宋体" w:hAnsi="宋体"/>
          <w:b/>
          <w:kern w:val="0"/>
          <w:sz w:val="20"/>
          <w:szCs w:val="20"/>
        </w:rPr>
      </w:pPr>
    </w:p>
    <w:p w14:paraId="6E2E8E91">
      <w:pPr>
        <w:autoSpaceDE w:val="0"/>
        <w:autoSpaceDN w:val="0"/>
        <w:adjustRightInd w:val="0"/>
        <w:snapToGrid w:val="0"/>
        <w:spacing w:line="360" w:lineRule="auto"/>
        <w:jc w:val="left"/>
        <w:rPr>
          <w:rFonts w:ascii="宋体" w:hAnsi="宋体"/>
          <w:b/>
          <w:kern w:val="0"/>
          <w:sz w:val="20"/>
          <w:szCs w:val="20"/>
        </w:rPr>
      </w:pPr>
    </w:p>
    <w:p w14:paraId="3BC17CB1">
      <w:pPr>
        <w:autoSpaceDE w:val="0"/>
        <w:autoSpaceDN w:val="0"/>
        <w:adjustRightInd w:val="0"/>
        <w:snapToGrid w:val="0"/>
        <w:spacing w:line="360" w:lineRule="auto"/>
        <w:jc w:val="left"/>
        <w:rPr>
          <w:rFonts w:ascii="宋体" w:hAnsi="宋体"/>
          <w:b/>
          <w:kern w:val="0"/>
          <w:sz w:val="20"/>
          <w:szCs w:val="20"/>
        </w:rPr>
      </w:pPr>
    </w:p>
    <w:p w14:paraId="44A1E066">
      <w:pPr>
        <w:autoSpaceDE w:val="0"/>
        <w:autoSpaceDN w:val="0"/>
        <w:adjustRightInd w:val="0"/>
        <w:snapToGrid w:val="0"/>
        <w:spacing w:line="360" w:lineRule="auto"/>
        <w:jc w:val="left"/>
        <w:rPr>
          <w:rFonts w:ascii="宋体" w:hAnsi="宋体"/>
          <w:b/>
          <w:kern w:val="0"/>
          <w:sz w:val="20"/>
          <w:szCs w:val="20"/>
        </w:rPr>
      </w:pPr>
    </w:p>
    <w:p w14:paraId="240E8D40">
      <w:pPr>
        <w:autoSpaceDE w:val="0"/>
        <w:autoSpaceDN w:val="0"/>
        <w:adjustRightInd w:val="0"/>
        <w:snapToGrid w:val="0"/>
        <w:spacing w:line="360" w:lineRule="auto"/>
        <w:jc w:val="left"/>
        <w:rPr>
          <w:rFonts w:ascii="宋体" w:hAnsi="宋体"/>
          <w:b/>
          <w:kern w:val="0"/>
          <w:sz w:val="20"/>
          <w:szCs w:val="20"/>
        </w:rPr>
      </w:pPr>
    </w:p>
    <w:p w14:paraId="08125C9C">
      <w:pPr>
        <w:autoSpaceDE w:val="0"/>
        <w:autoSpaceDN w:val="0"/>
        <w:adjustRightInd w:val="0"/>
        <w:snapToGrid w:val="0"/>
        <w:spacing w:line="360" w:lineRule="auto"/>
        <w:jc w:val="left"/>
        <w:rPr>
          <w:rFonts w:ascii="宋体" w:hAnsi="宋体"/>
          <w:b/>
          <w:kern w:val="0"/>
          <w:sz w:val="20"/>
          <w:szCs w:val="20"/>
        </w:rPr>
      </w:pPr>
    </w:p>
    <w:p w14:paraId="6AD87BEC">
      <w:pPr>
        <w:tabs>
          <w:tab w:val="left" w:pos="6080"/>
          <w:tab w:val="left" w:pos="6640"/>
        </w:tabs>
        <w:autoSpaceDE w:val="0"/>
        <w:autoSpaceDN w:val="0"/>
        <w:adjustRightInd w:val="0"/>
        <w:snapToGrid w:val="0"/>
        <w:spacing w:after="156" w:afterLines="50" w:line="360" w:lineRule="auto"/>
        <w:jc w:val="center"/>
        <w:outlineLvl w:val="1"/>
        <w:rPr>
          <w:rFonts w:ascii="宋体" w:hAnsi="宋体"/>
          <w:w w:val="99"/>
          <w:kern w:val="0"/>
          <w:sz w:val="28"/>
          <w:szCs w:val="28"/>
        </w:rPr>
      </w:pPr>
      <w:bookmarkStart w:id="963" w:name="_Toc2551"/>
      <w:bookmarkStart w:id="964" w:name="_Toc8856"/>
      <w:bookmarkStart w:id="965" w:name="_Toc13807"/>
      <w:bookmarkStart w:id="966" w:name="_Toc32675"/>
      <w:bookmarkStart w:id="967" w:name="_Toc23488"/>
      <w:bookmarkStart w:id="968" w:name="_Toc3816"/>
      <w:bookmarkStart w:id="969" w:name="_Toc16654"/>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bookmarkEnd w:id="963"/>
      <w:bookmarkEnd w:id="964"/>
      <w:bookmarkEnd w:id="965"/>
      <w:bookmarkEnd w:id="966"/>
      <w:bookmarkEnd w:id="967"/>
      <w:bookmarkEnd w:id="968"/>
      <w:bookmarkEnd w:id="969"/>
    </w:p>
    <w:p w14:paraId="3406D42B">
      <w:pPr>
        <w:tabs>
          <w:tab w:val="left" w:pos="6080"/>
          <w:tab w:val="left" w:pos="6640"/>
        </w:tabs>
        <w:autoSpaceDE w:val="0"/>
        <w:autoSpaceDN w:val="0"/>
        <w:adjustRightInd w:val="0"/>
        <w:snapToGrid w:val="0"/>
        <w:spacing w:after="156" w:afterLines="50" w:line="360" w:lineRule="auto"/>
        <w:jc w:val="center"/>
        <w:outlineLvl w:val="1"/>
        <w:rPr>
          <w:rFonts w:ascii="宋体" w:hAnsi="宋体"/>
          <w:b/>
          <w:kern w:val="0"/>
          <w:sz w:val="28"/>
          <w:szCs w:val="28"/>
        </w:rPr>
      </w:pPr>
      <w:bookmarkStart w:id="970" w:name="_Toc15374"/>
      <w:bookmarkStart w:id="971" w:name="_Toc19980"/>
      <w:bookmarkStart w:id="972" w:name="_Toc16686"/>
      <w:bookmarkStart w:id="973" w:name="_Toc14947"/>
      <w:bookmarkStart w:id="974" w:name="_Toc20322"/>
      <w:bookmarkStart w:id="975" w:name="_Toc27049"/>
      <w:bookmarkStart w:id="976" w:name="_Toc14142"/>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bookmarkEnd w:id="970"/>
      <w:bookmarkEnd w:id="971"/>
      <w:bookmarkEnd w:id="972"/>
      <w:bookmarkEnd w:id="973"/>
      <w:bookmarkEnd w:id="974"/>
      <w:bookmarkEnd w:id="975"/>
      <w:bookmarkEnd w:id="976"/>
    </w:p>
    <w:p w14:paraId="34781461">
      <w:pPr>
        <w:tabs>
          <w:tab w:val="left" w:pos="3280"/>
          <w:tab w:val="left" w:pos="4680"/>
          <w:tab w:val="left" w:pos="6080"/>
        </w:tabs>
        <w:autoSpaceDE w:val="0"/>
        <w:autoSpaceDN w:val="0"/>
        <w:adjustRightInd w:val="0"/>
        <w:snapToGrid w:val="0"/>
        <w:spacing w:after="156" w:afterLines="50" w:line="360" w:lineRule="auto"/>
        <w:jc w:val="center"/>
        <w:outlineLvl w:val="1"/>
        <w:rPr>
          <w:rFonts w:ascii="宋体" w:hAnsi="宋体"/>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bookmarkStart w:id="977" w:name="_Toc2763"/>
      <w:bookmarkStart w:id="978" w:name="_Toc31508"/>
      <w:bookmarkStart w:id="979" w:name="_Toc4431"/>
      <w:bookmarkStart w:id="980" w:name="_Toc23305"/>
      <w:bookmarkStart w:id="981" w:name="_Toc38"/>
      <w:bookmarkStart w:id="982" w:name="_Toc8898"/>
      <w:bookmarkStart w:id="983" w:name="_Toc24989"/>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ascii="宋体" w:hAnsi="宋体"/>
          <w:w w:val="99"/>
          <w:kern w:val="0"/>
          <w:sz w:val="28"/>
          <w:szCs w:val="28"/>
        </w:rPr>
        <w:t>日</w:t>
      </w:r>
      <w:bookmarkEnd w:id="977"/>
      <w:bookmarkEnd w:id="978"/>
      <w:bookmarkEnd w:id="979"/>
      <w:bookmarkEnd w:id="980"/>
      <w:bookmarkEnd w:id="981"/>
      <w:bookmarkEnd w:id="982"/>
      <w:bookmarkEnd w:id="983"/>
    </w:p>
    <w:p w14:paraId="0BAB66A4">
      <w:pPr>
        <w:autoSpaceDE w:val="0"/>
        <w:autoSpaceDN w:val="0"/>
        <w:adjustRightInd w:val="0"/>
        <w:snapToGrid w:val="0"/>
        <w:spacing w:line="360" w:lineRule="auto"/>
        <w:jc w:val="left"/>
        <w:rPr>
          <w:rFonts w:ascii="宋体" w:hAnsi="宋体"/>
          <w:kern w:val="0"/>
          <w:sz w:val="24"/>
          <w:szCs w:val="21"/>
        </w:rPr>
      </w:pPr>
      <w:r>
        <w:rPr>
          <w:rFonts w:ascii="宋体" w:hAnsi="宋体"/>
          <w:kern w:val="0"/>
          <w:sz w:val="24"/>
          <w:szCs w:val="21"/>
        </w:rPr>
        <w:br w:type="page"/>
      </w:r>
    </w:p>
    <w:p w14:paraId="123B9937">
      <w:pPr>
        <w:autoSpaceDE w:val="0"/>
        <w:autoSpaceDN w:val="0"/>
        <w:adjustRightInd w:val="0"/>
        <w:snapToGrid w:val="0"/>
        <w:spacing w:line="360" w:lineRule="auto"/>
        <w:jc w:val="center"/>
        <w:rPr>
          <w:rFonts w:ascii="宋体" w:hAnsi="宋体"/>
          <w:kern w:val="0"/>
          <w:szCs w:val="21"/>
        </w:rPr>
      </w:pPr>
      <w:r>
        <w:rPr>
          <w:rFonts w:hint="eastAsia" w:ascii="宋体" w:hAnsi="宋体"/>
          <w:kern w:val="0"/>
          <w:sz w:val="36"/>
          <w:szCs w:val="36"/>
        </w:rPr>
        <w:t>目  录</w:t>
      </w:r>
    </w:p>
    <w:p w14:paraId="7A0DC814">
      <w:pPr>
        <w:autoSpaceDE w:val="0"/>
        <w:autoSpaceDN w:val="0"/>
        <w:adjustRightInd w:val="0"/>
        <w:snapToGrid w:val="0"/>
        <w:spacing w:line="360" w:lineRule="auto"/>
        <w:jc w:val="left"/>
        <w:rPr>
          <w:rFonts w:ascii="宋体" w:hAnsi="宋体"/>
          <w:kern w:val="0"/>
          <w:szCs w:val="21"/>
        </w:rPr>
      </w:pPr>
    </w:p>
    <w:p w14:paraId="160CC842">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526A5C53">
      <w:pPr>
        <w:pStyle w:val="4"/>
        <w:spacing w:line="360" w:lineRule="auto"/>
        <w:rPr>
          <w:rFonts w:hint="eastAsia"/>
        </w:rPr>
      </w:pPr>
      <w:r>
        <w:rPr>
          <w:rFonts w:ascii="宋体" w:hAnsi="宋体"/>
          <w:szCs w:val="21"/>
        </w:rPr>
        <w:br w:type="page"/>
      </w:r>
    </w:p>
    <w:p w14:paraId="520D5368">
      <w:pPr>
        <w:pStyle w:val="4"/>
        <w:spacing w:line="360" w:lineRule="auto"/>
        <w:jc w:val="center"/>
        <w:rPr>
          <w:rFonts w:ascii="宋体" w:hAnsi="宋体"/>
          <w:b w:val="0"/>
          <w:bCs w:val="0"/>
          <w:sz w:val="44"/>
          <w:szCs w:val="44"/>
        </w:rPr>
      </w:pPr>
      <w:bookmarkStart w:id="984" w:name="_Toc57796016"/>
      <w:bookmarkStart w:id="985" w:name="_Toc22532"/>
      <w:r>
        <w:rPr>
          <w:rFonts w:hint="eastAsia" w:ascii="宋体" w:hAnsi="宋体" w:cs="宋体"/>
          <w:sz w:val="44"/>
          <w:szCs w:val="44"/>
        </w:rPr>
        <w:t>四、</w:t>
      </w:r>
      <w:r>
        <w:rPr>
          <w:rFonts w:hint="eastAsia" w:ascii="宋体" w:hAnsi="宋体"/>
          <w:b w:val="0"/>
          <w:bCs w:val="0"/>
          <w:sz w:val="44"/>
          <w:szCs w:val="44"/>
        </w:rPr>
        <w:t>技术部分</w:t>
      </w:r>
      <w:bookmarkEnd w:id="984"/>
      <w:bookmarkEnd w:id="985"/>
    </w:p>
    <w:p w14:paraId="132CD2E6">
      <w:pPr>
        <w:jc w:val="center"/>
        <w:rPr>
          <w:rFonts w:hint="eastAsia"/>
          <w:i/>
          <w:iCs/>
        </w:rPr>
      </w:pPr>
      <w:bookmarkStart w:id="986" w:name="_Toc509218856"/>
      <w:bookmarkStart w:id="987" w:name="_Toc534185833"/>
      <w:bookmarkStart w:id="988" w:name="_Toc430530537"/>
      <w:bookmarkStart w:id="989" w:name="_Toc536628352"/>
      <w:r>
        <w:rPr>
          <w:rFonts w:ascii="宋体" w:hAnsi="宋体"/>
          <w:i/>
          <w:iCs/>
          <w:kern w:val="0"/>
          <w:szCs w:val="21"/>
        </w:rPr>
        <w:t>[</w:t>
      </w:r>
      <w:r>
        <w:rPr>
          <w:rFonts w:hint="eastAsia"/>
          <w:i/>
          <w:iCs/>
        </w:rPr>
        <w:t>提示：</w:t>
      </w:r>
      <w:r>
        <w:rPr>
          <w:i/>
          <w:iCs/>
        </w:rPr>
        <w:t>不设置技术方案评审的不设此部分</w:t>
      </w:r>
      <w:r>
        <w:rPr>
          <w:rFonts w:ascii="宋体" w:hAnsi="宋体"/>
          <w:i/>
          <w:iCs/>
          <w:kern w:val="0"/>
          <w:szCs w:val="21"/>
        </w:rPr>
        <w:t>]</w:t>
      </w:r>
    </w:p>
    <w:bookmarkEnd w:id="986"/>
    <w:bookmarkEnd w:id="987"/>
    <w:bookmarkEnd w:id="988"/>
    <w:bookmarkEnd w:id="989"/>
    <w:p w14:paraId="2E74B2BF">
      <w:pPr>
        <w:jc w:val="center"/>
        <w:rPr>
          <w:rFonts w:ascii="宋体" w:hAnsi="宋体"/>
        </w:rPr>
      </w:pPr>
    </w:p>
    <w:p w14:paraId="23F1EFC3">
      <w:pPr>
        <w:autoSpaceDE w:val="0"/>
        <w:autoSpaceDN w:val="0"/>
        <w:adjustRightInd w:val="0"/>
        <w:snapToGrid w:val="0"/>
        <w:spacing w:line="360" w:lineRule="auto"/>
        <w:jc w:val="center"/>
        <w:rPr>
          <w:rFonts w:hint="eastAsia" w:ascii="宋体" w:hAnsi="宋体" w:cs="宋体"/>
          <w:sz w:val="44"/>
          <w:szCs w:val="44"/>
        </w:rPr>
      </w:pPr>
    </w:p>
    <w:p w14:paraId="085BB6C6">
      <w:pPr>
        <w:autoSpaceDE w:val="0"/>
        <w:autoSpaceDN w:val="0"/>
        <w:adjustRightInd w:val="0"/>
        <w:snapToGrid w:val="0"/>
        <w:spacing w:line="360" w:lineRule="auto"/>
        <w:jc w:val="center"/>
        <w:rPr>
          <w:rFonts w:ascii="宋体" w:hAnsi="宋体"/>
          <w:kern w:val="0"/>
          <w:sz w:val="32"/>
          <w:szCs w:val="32"/>
        </w:rPr>
      </w:pPr>
      <w:r>
        <w:rPr>
          <w:rFonts w:ascii="宋体" w:hAnsi="宋体" w:cs="宋体"/>
          <w:sz w:val="44"/>
          <w:szCs w:val="44"/>
        </w:rPr>
        <w:br w:type="page"/>
      </w:r>
      <w:r>
        <w:rPr>
          <w:rFonts w:hint="eastAsia" w:ascii="宋体" w:hAnsi="宋体"/>
          <w:kern w:val="0"/>
          <w:sz w:val="36"/>
          <w:szCs w:val="36"/>
        </w:rPr>
        <w:t>目  录</w:t>
      </w:r>
    </w:p>
    <w:p w14:paraId="4BD524D3">
      <w:pPr>
        <w:pStyle w:val="2"/>
        <w:rPr>
          <w:rFonts w:ascii="宋体" w:hAnsi="宋体"/>
        </w:rPr>
      </w:pPr>
    </w:p>
    <w:p w14:paraId="2539D774">
      <w:pPr>
        <w:autoSpaceDE w:val="0"/>
        <w:autoSpaceDN w:val="0"/>
        <w:adjustRightInd w:val="0"/>
        <w:snapToGrid w:val="0"/>
        <w:spacing w:line="360" w:lineRule="auto"/>
        <w:jc w:val="center"/>
        <w:rPr>
          <w:rFonts w:ascii="宋体" w:hAnsi="宋体"/>
          <w:i/>
          <w:iCs/>
          <w:kern w:val="0"/>
          <w:szCs w:val="21"/>
        </w:rPr>
      </w:pPr>
      <w:r>
        <w:rPr>
          <w:rFonts w:ascii="宋体" w:hAnsi="宋体"/>
          <w:i/>
          <w:iCs/>
          <w:kern w:val="0"/>
          <w:szCs w:val="21"/>
        </w:rPr>
        <w:t>[</w:t>
      </w:r>
      <w:r>
        <w:rPr>
          <w:rFonts w:hint="eastAsia" w:ascii="宋体" w:hAnsi="宋体"/>
          <w:i/>
          <w:iCs/>
          <w:kern w:val="0"/>
          <w:szCs w:val="21"/>
        </w:rPr>
        <w:t>提示：</w:t>
      </w:r>
      <w:r>
        <w:rPr>
          <w:rFonts w:ascii="宋体" w:hAnsi="宋体"/>
          <w:i/>
          <w:iCs/>
          <w:kern w:val="0"/>
          <w:szCs w:val="21"/>
        </w:rPr>
        <w:t>目录由投标人自行编制]</w:t>
      </w:r>
    </w:p>
    <w:p w14:paraId="2DC17905">
      <w:pPr>
        <w:autoSpaceDE w:val="0"/>
        <w:autoSpaceDN w:val="0"/>
        <w:adjustRightInd w:val="0"/>
        <w:snapToGrid w:val="0"/>
        <w:spacing w:line="360" w:lineRule="auto"/>
        <w:jc w:val="center"/>
        <w:rPr>
          <w:rFonts w:ascii="宋体" w:hAnsi="宋体"/>
          <w:kern w:val="0"/>
          <w:szCs w:val="21"/>
        </w:rPr>
      </w:pPr>
    </w:p>
    <w:p w14:paraId="16797C99">
      <w:pPr>
        <w:pStyle w:val="5"/>
        <w:spacing w:before="0" w:after="0" w:line="240" w:lineRule="auto"/>
        <w:jc w:val="center"/>
        <w:rPr>
          <w:rFonts w:ascii="宋体" w:hAnsi="宋体"/>
          <w:sz w:val="36"/>
          <w:szCs w:val="36"/>
        </w:rPr>
      </w:pPr>
      <w:r>
        <w:rPr>
          <w:rFonts w:ascii="宋体" w:hAnsi="宋体"/>
          <w:sz w:val="36"/>
          <w:szCs w:val="36"/>
        </w:rPr>
        <w:br w:type="page"/>
      </w:r>
      <w:bookmarkStart w:id="990" w:name="_Toc57796017"/>
      <w:bookmarkStart w:id="991" w:name="_Toc3948"/>
      <w:r>
        <w:rPr>
          <w:rFonts w:hint="eastAsia" w:ascii="宋体" w:hAnsi="宋体"/>
          <w:b w:val="0"/>
          <w:bCs w:val="0"/>
          <w:sz w:val="36"/>
          <w:szCs w:val="36"/>
        </w:rPr>
        <w:t>（一）</w:t>
      </w:r>
      <w:r>
        <w:rPr>
          <w:rFonts w:hint="eastAsia" w:ascii="宋体" w:hAnsi="宋体"/>
          <w:b w:val="0"/>
          <w:bCs w:val="0"/>
        </w:rPr>
        <w:t>技术方案</w:t>
      </w:r>
      <w:bookmarkEnd w:id="990"/>
      <w:bookmarkEnd w:id="991"/>
    </w:p>
    <w:p w14:paraId="1FEC4854">
      <w:pPr>
        <w:autoSpaceDE w:val="0"/>
        <w:autoSpaceDN w:val="0"/>
        <w:adjustRightInd w:val="0"/>
        <w:snapToGrid w:val="0"/>
        <w:spacing w:line="360" w:lineRule="auto"/>
        <w:jc w:val="left"/>
        <w:rPr>
          <w:rFonts w:ascii="宋体" w:hAnsi="宋体"/>
          <w:kern w:val="0"/>
          <w:sz w:val="12"/>
          <w:szCs w:val="12"/>
        </w:rPr>
      </w:pPr>
    </w:p>
    <w:p w14:paraId="13BCDA59">
      <w:pPr>
        <w:pStyle w:val="2"/>
        <w:spacing w:line="360" w:lineRule="auto"/>
        <w:ind w:firstLine="420" w:firstLineChars="200"/>
        <w:jc w:val="center"/>
        <w:rPr>
          <w:rFonts w:hint="eastAsia" w:ascii="宋体" w:hAnsi="宋体"/>
          <w:i/>
          <w:kern w:val="0"/>
          <w:szCs w:val="21"/>
        </w:rPr>
      </w:pPr>
      <w:r>
        <w:rPr>
          <w:rFonts w:hint="eastAsia" w:ascii="宋体" w:hAnsi="宋体"/>
          <w:i/>
          <w:kern w:val="0"/>
          <w:szCs w:val="21"/>
        </w:rPr>
        <w:t>[提示：投标人应根据招标文件的要求编制技术方案]</w:t>
      </w:r>
    </w:p>
    <w:p w14:paraId="6DE9D905">
      <w:pPr>
        <w:pStyle w:val="2"/>
        <w:ind w:firstLine="420" w:firstLineChars="200"/>
        <w:rPr>
          <w:rFonts w:hint="eastAsia" w:ascii="宋体" w:hAnsi="宋体"/>
        </w:rPr>
      </w:pPr>
      <w:r>
        <w:rPr>
          <w:rFonts w:ascii="宋体" w:hAnsi="宋体"/>
          <w:kern w:val="0"/>
          <w:szCs w:val="21"/>
        </w:rPr>
        <w:t>1.</w:t>
      </w:r>
      <w:r>
        <w:rPr>
          <w:rFonts w:hint="eastAsia"/>
        </w:rPr>
        <w:t xml:space="preserve"> </w:t>
      </w:r>
      <w:r>
        <w:rPr>
          <w:rFonts w:hint="eastAsia" w:ascii="宋体" w:hAnsi="宋体"/>
        </w:rPr>
        <w:t>投标人应按以下要点（如有）编制技术方案（文字宜精炼、内容具有针对性）</w:t>
      </w:r>
      <w:r>
        <w:rPr>
          <w:rFonts w:ascii="宋体" w:hAnsi="宋体"/>
        </w:rPr>
        <w:t>：</w:t>
      </w:r>
    </w:p>
    <w:p w14:paraId="6CAD72CF">
      <w:pPr>
        <w:pStyle w:val="2"/>
        <w:ind w:firstLine="420" w:firstLineChars="200"/>
        <w:rPr>
          <w:rFonts w:hint="eastAsia" w:ascii="宋体" w:hAnsi="宋体"/>
        </w:rPr>
      </w:pPr>
      <w:r>
        <w:rPr>
          <w:rFonts w:hint="eastAsia" w:ascii="宋体" w:hAnsi="宋体"/>
        </w:rPr>
        <w:t>（1）总体施工组织布置及规划；</w:t>
      </w:r>
    </w:p>
    <w:p w14:paraId="76928D57">
      <w:pPr>
        <w:pStyle w:val="2"/>
        <w:ind w:firstLine="420" w:firstLineChars="200"/>
        <w:rPr>
          <w:rFonts w:hint="eastAsia" w:ascii="宋体" w:hAnsi="宋体"/>
        </w:rPr>
      </w:pPr>
      <w:r>
        <w:rPr>
          <w:rFonts w:hint="eastAsia" w:ascii="宋体" w:hAnsi="宋体"/>
        </w:rPr>
        <w:t>（2）主要工程项目的施工方案、方法与技术措施（尤其对重点、关键和难点工程的施工方案、方法及措施）；</w:t>
      </w:r>
    </w:p>
    <w:p w14:paraId="5DCFD7BE">
      <w:pPr>
        <w:pStyle w:val="2"/>
        <w:ind w:firstLine="420" w:firstLineChars="200"/>
        <w:rPr>
          <w:rFonts w:hint="eastAsia" w:ascii="宋体" w:hAnsi="宋体"/>
        </w:rPr>
      </w:pPr>
      <w:r>
        <w:rPr>
          <w:rFonts w:hint="eastAsia" w:ascii="宋体" w:hAnsi="宋体"/>
        </w:rPr>
        <w:t>（3）工期保证体系及保证措施；</w:t>
      </w:r>
    </w:p>
    <w:p w14:paraId="358E0F16">
      <w:pPr>
        <w:pStyle w:val="2"/>
        <w:ind w:firstLine="420" w:firstLineChars="200"/>
        <w:rPr>
          <w:rFonts w:hint="eastAsia" w:ascii="宋体" w:hAnsi="宋体"/>
        </w:rPr>
      </w:pPr>
      <w:r>
        <w:rPr>
          <w:rFonts w:hint="eastAsia" w:ascii="宋体" w:hAnsi="宋体"/>
        </w:rPr>
        <w:t>（4）工程质量管理体系及保证措施；</w:t>
      </w:r>
    </w:p>
    <w:p w14:paraId="24991B47">
      <w:pPr>
        <w:pStyle w:val="2"/>
        <w:ind w:firstLine="420" w:firstLineChars="200"/>
        <w:rPr>
          <w:rFonts w:hint="eastAsia" w:ascii="宋体" w:hAnsi="宋体"/>
        </w:rPr>
      </w:pPr>
      <w:r>
        <w:rPr>
          <w:rFonts w:hint="eastAsia" w:ascii="宋体" w:hAnsi="宋体"/>
        </w:rPr>
        <w:t>（5）安全生产管理体系及保证措施；</w:t>
      </w:r>
    </w:p>
    <w:p w14:paraId="4201513B">
      <w:pPr>
        <w:pStyle w:val="2"/>
        <w:ind w:firstLine="420" w:firstLineChars="200"/>
        <w:rPr>
          <w:rFonts w:hint="eastAsia" w:ascii="宋体" w:hAnsi="宋体"/>
        </w:rPr>
      </w:pPr>
      <w:r>
        <w:rPr>
          <w:rFonts w:hint="eastAsia" w:ascii="宋体" w:hAnsi="宋体"/>
        </w:rPr>
        <w:t>（6）环境保护、水土保持保证体系及保证措施；</w:t>
      </w:r>
    </w:p>
    <w:p w14:paraId="3BE233EA">
      <w:pPr>
        <w:pStyle w:val="2"/>
        <w:ind w:firstLine="420" w:firstLineChars="200"/>
        <w:rPr>
          <w:rFonts w:hint="eastAsia" w:ascii="宋体" w:hAnsi="宋体"/>
        </w:rPr>
      </w:pPr>
      <w:r>
        <w:rPr>
          <w:rFonts w:hint="eastAsia" w:ascii="宋体" w:hAnsi="宋体"/>
        </w:rPr>
        <w:t>（7）文明施工、文物保护保证体系及保证措施；</w:t>
      </w:r>
    </w:p>
    <w:p w14:paraId="1A868456">
      <w:pPr>
        <w:pStyle w:val="2"/>
        <w:ind w:firstLine="420" w:firstLineChars="200"/>
        <w:rPr>
          <w:rFonts w:hint="eastAsia" w:ascii="宋体" w:hAnsi="宋体"/>
        </w:rPr>
      </w:pPr>
      <w:r>
        <w:rPr>
          <w:rFonts w:hint="eastAsia" w:ascii="宋体" w:hAnsi="宋体"/>
        </w:rPr>
        <w:t>（8）项目风险预测与防范，事故应急预案；</w:t>
      </w:r>
    </w:p>
    <w:p w14:paraId="7AC34412">
      <w:pPr>
        <w:pStyle w:val="2"/>
        <w:ind w:firstLine="420" w:firstLineChars="200"/>
        <w:rPr>
          <w:rFonts w:hint="eastAsia" w:ascii="宋体" w:hAnsi="宋体" w:cs="宋体"/>
          <w:b/>
        </w:rPr>
      </w:pPr>
      <w:r>
        <w:rPr>
          <w:rFonts w:hint="eastAsia" w:ascii="宋体" w:hAnsi="宋体"/>
        </w:rPr>
        <w:t>（9）其他应说明的事项。</w:t>
      </w:r>
    </w:p>
    <w:p w14:paraId="7EBFBBFD">
      <w:pPr>
        <w:pStyle w:val="4"/>
        <w:spacing w:line="360" w:lineRule="auto"/>
        <w:jc w:val="center"/>
        <w:rPr>
          <w:rFonts w:hint="eastAsia" w:ascii="宋体" w:hAnsi="宋体" w:cs="宋体"/>
          <w:sz w:val="44"/>
          <w:szCs w:val="44"/>
        </w:rPr>
      </w:pPr>
      <w:r>
        <w:rPr>
          <w:rFonts w:ascii="宋体" w:hAnsi="宋体"/>
        </w:rPr>
        <w:br w:type="page"/>
      </w:r>
      <w:bookmarkStart w:id="992" w:name="_Toc14615"/>
      <w:bookmarkStart w:id="993" w:name="_Toc224103510"/>
      <w:bookmarkStart w:id="994" w:name="_Toc287620829"/>
      <w:bookmarkStart w:id="995" w:name="_Toc287607882"/>
      <w:bookmarkStart w:id="996" w:name="_Toc57796018"/>
      <w:bookmarkStart w:id="997" w:name="_Toc430530545"/>
      <w:bookmarkStart w:id="998" w:name="_Toc277082656"/>
      <w:r>
        <w:rPr>
          <w:rFonts w:hint="eastAsia" w:ascii="宋体" w:hAnsi="宋体"/>
          <w:b w:val="0"/>
          <w:bCs w:val="0"/>
          <w:sz w:val="44"/>
          <w:szCs w:val="44"/>
        </w:rPr>
        <w:t>五、资格审查资料</w:t>
      </w:r>
      <w:bookmarkEnd w:id="992"/>
      <w:bookmarkEnd w:id="993"/>
      <w:bookmarkEnd w:id="994"/>
      <w:bookmarkEnd w:id="995"/>
      <w:bookmarkEnd w:id="996"/>
      <w:bookmarkEnd w:id="997"/>
      <w:bookmarkEnd w:id="998"/>
    </w:p>
    <w:bookmarkEnd w:id="797"/>
    <w:bookmarkEnd w:id="798"/>
    <w:bookmarkEnd w:id="799"/>
    <w:p w14:paraId="404FD22F">
      <w:pPr>
        <w:spacing w:line="360" w:lineRule="auto"/>
        <w:jc w:val="center"/>
        <w:rPr>
          <w:rFonts w:hint="eastAsia" w:ascii="宋体" w:hAnsi="宋体"/>
          <w:kern w:val="0"/>
          <w:sz w:val="32"/>
          <w:szCs w:val="32"/>
          <w:u w:val="single"/>
        </w:rPr>
      </w:pPr>
      <w:bookmarkStart w:id="999" w:name="_Toc27983327"/>
      <w:r>
        <w:rPr>
          <w:rFonts w:ascii="宋体" w:hAnsi="宋体" w:cs="宋体"/>
          <w:sz w:val="32"/>
          <w:szCs w:val="32"/>
        </w:rPr>
        <w:br w:type="page"/>
      </w:r>
      <w:r>
        <w:rPr>
          <w:rFonts w:hint="eastAsia" w:ascii="宋体" w:hAnsi="宋体"/>
          <w:kern w:val="0"/>
          <w:sz w:val="32"/>
          <w:szCs w:val="32"/>
          <w:u w:val="single"/>
        </w:rPr>
        <w:t xml:space="preserve">                   （项目名称）</w:t>
      </w:r>
    </w:p>
    <w:p w14:paraId="1495A9E4">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2BB82238">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7C01FB1C">
      <w:pPr>
        <w:tabs>
          <w:tab w:val="left" w:pos="3600"/>
          <w:tab w:val="left" w:pos="4480"/>
          <w:tab w:val="left" w:pos="5360"/>
        </w:tabs>
        <w:autoSpaceDE w:val="0"/>
        <w:autoSpaceDN w:val="0"/>
        <w:adjustRightInd w:val="0"/>
        <w:snapToGrid w:val="0"/>
        <w:spacing w:line="360" w:lineRule="auto"/>
        <w:jc w:val="left"/>
        <w:rPr>
          <w:rFonts w:ascii="宋体" w:hAnsi="宋体" w:cs="MingLiU"/>
          <w:kern w:val="0"/>
          <w:sz w:val="44"/>
          <w:szCs w:val="44"/>
        </w:rPr>
      </w:pPr>
    </w:p>
    <w:p w14:paraId="6D58BF3C">
      <w:pPr>
        <w:tabs>
          <w:tab w:val="left" w:pos="3600"/>
          <w:tab w:val="left" w:pos="4480"/>
          <w:tab w:val="left" w:pos="5360"/>
        </w:tabs>
        <w:autoSpaceDE w:val="0"/>
        <w:autoSpaceDN w:val="0"/>
        <w:adjustRightInd w:val="0"/>
        <w:snapToGrid w:val="0"/>
        <w:spacing w:line="360" w:lineRule="auto"/>
        <w:jc w:val="center"/>
        <w:rPr>
          <w:rFonts w:ascii="宋体" w:hAnsi="宋体"/>
          <w:kern w:val="0"/>
          <w:sz w:val="72"/>
          <w:szCs w:val="72"/>
        </w:rPr>
      </w:pPr>
      <w:r>
        <w:rPr>
          <w:rFonts w:hint="eastAsia" w:ascii="宋体" w:hAnsi="宋体"/>
          <w:kern w:val="0"/>
          <w:sz w:val="72"/>
          <w:szCs w:val="72"/>
        </w:rPr>
        <w:t>投 标 文 件</w:t>
      </w:r>
    </w:p>
    <w:p w14:paraId="3544AF92">
      <w:pPr>
        <w:autoSpaceDE w:val="0"/>
        <w:autoSpaceDN w:val="0"/>
        <w:adjustRightInd w:val="0"/>
        <w:snapToGrid w:val="0"/>
        <w:spacing w:line="360" w:lineRule="auto"/>
        <w:jc w:val="left"/>
        <w:rPr>
          <w:rFonts w:ascii="宋体" w:hAnsi="宋体"/>
          <w:kern w:val="0"/>
          <w:sz w:val="16"/>
          <w:szCs w:val="16"/>
        </w:rPr>
      </w:pPr>
    </w:p>
    <w:p w14:paraId="56E86DA5">
      <w:pPr>
        <w:autoSpaceDE w:val="0"/>
        <w:autoSpaceDN w:val="0"/>
        <w:adjustRightInd w:val="0"/>
        <w:snapToGrid w:val="0"/>
        <w:spacing w:line="360" w:lineRule="auto"/>
        <w:jc w:val="center"/>
        <w:rPr>
          <w:rFonts w:ascii="宋体" w:hAnsi="宋体"/>
          <w:kern w:val="0"/>
          <w:sz w:val="36"/>
          <w:szCs w:val="36"/>
        </w:rPr>
      </w:pPr>
      <w:r>
        <w:rPr>
          <w:rFonts w:hint="eastAsia" w:ascii="宋体" w:hAnsi="宋体"/>
          <w:kern w:val="0"/>
          <w:sz w:val="36"/>
          <w:szCs w:val="36"/>
        </w:rPr>
        <w:t>资格审查部分</w:t>
      </w:r>
    </w:p>
    <w:p w14:paraId="46E7E2D3">
      <w:pPr>
        <w:autoSpaceDE w:val="0"/>
        <w:autoSpaceDN w:val="0"/>
        <w:adjustRightInd w:val="0"/>
        <w:snapToGrid w:val="0"/>
        <w:spacing w:line="360" w:lineRule="auto"/>
        <w:jc w:val="left"/>
        <w:rPr>
          <w:rFonts w:ascii="宋体" w:hAnsi="宋体" w:cs="MingLiU"/>
          <w:kern w:val="0"/>
          <w:sz w:val="20"/>
          <w:szCs w:val="20"/>
        </w:rPr>
      </w:pPr>
    </w:p>
    <w:p w14:paraId="003ED31A">
      <w:pPr>
        <w:adjustRightInd w:val="0"/>
        <w:snapToGrid w:val="0"/>
        <w:spacing w:line="264" w:lineRule="auto"/>
        <w:rPr>
          <w:rFonts w:ascii="宋体" w:hAnsi="宋体"/>
          <w:szCs w:val="21"/>
        </w:rPr>
      </w:pPr>
    </w:p>
    <w:p w14:paraId="39EB8E1E">
      <w:pPr>
        <w:autoSpaceDE w:val="0"/>
        <w:autoSpaceDN w:val="0"/>
        <w:adjustRightInd w:val="0"/>
        <w:snapToGrid w:val="0"/>
        <w:spacing w:line="360" w:lineRule="auto"/>
        <w:jc w:val="left"/>
        <w:rPr>
          <w:rFonts w:ascii="宋体" w:hAnsi="宋体" w:cs="MingLiU"/>
          <w:kern w:val="0"/>
          <w:sz w:val="20"/>
          <w:szCs w:val="20"/>
        </w:rPr>
      </w:pPr>
    </w:p>
    <w:p w14:paraId="756C0636">
      <w:pPr>
        <w:autoSpaceDE w:val="0"/>
        <w:autoSpaceDN w:val="0"/>
        <w:adjustRightInd w:val="0"/>
        <w:snapToGrid w:val="0"/>
        <w:spacing w:line="360" w:lineRule="auto"/>
        <w:jc w:val="left"/>
        <w:rPr>
          <w:rFonts w:ascii="宋体" w:hAnsi="宋体" w:cs="MingLiU"/>
          <w:kern w:val="0"/>
          <w:sz w:val="20"/>
          <w:szCs w:val="20"/>
        </w:rPr>
      </w:pPr>
    </w:p>
    <w:p w14:paraId="20A54B2A">
      <w:pPr>
        <w:autoSpaceDE w:val="0"/>
        <w:autoSpaceDN w:val="0"/>
        <w:adjustRightInd w:val="0"/>
        <w:snapToGrid w:val="0"/>
        <w:spacing w:line="360" w:lineRule="auto"/>
        <w:jc w:val="left"/>
        <w:rPr>
          <w:rFonts w:ascii="宋体" w:hAnsi="宋体" w:cs="MingLiU"/>
          <w:kern w:val="0"/>
          <w:sz w:val="20"/>
          <w:szCs w:val="20"/>
        </w:rPr>
      </w:pPr>
    </w:p>
    <w:p w14:paraId="247D4942">
      <w:pPr>
        <w:autoSpaceDE w:val="0"/>
        <w:autoSpaceDN w:val="0"/>
        <w:adjustRightInd w:val="0"/>
        <w:snapToGrid w:val="0"/>
        <w:spacing w:line="360" w:lineRule="auto"/>
        <w:jc w:val="left"/>
        <w:rPr>
          <w:rFonts w:ascii="宋体" w:hAnsi="宋体" w:cs="MingLiU"/>
          <w:kern w:val="0"/>
          <w:sz w:val="20"/>
          <w:szCs w:val="20"/>
        </w:rPr>
      </w:pPr>
    </w:p>
    <w:p w14:paraId="5C11F0EB">
      <w:pPr>
        <w:autoSpaceDE w:val="0"/>
        <w:autoSpaceDN w:val="0"/>
        <w:adjustRightInd w:val="0"/>
        <w:snapToGrid w:val="0"/>
        <w:spacing w:line="360" w:lineRule="auto"/>
        <w:jc w:val="left"/>
        <w:rPr>
          <w:rFonts w:ascii="宋体" w:hAnsi="宋体" w:cs="MingLiU"/>
          <w:kern w:val="0"/>
          <w:sz w:val="20"/>
          <w:szCs w:val="20"/>
        </w:rPr>
      </w:pPr>
    </w:p>
    <w:p w14:paraId="2EC2B56E">
      <w:pPr>
        <w:autoSpaceDE w:val="0"/>
        <w:autoSpaceDN w:val="0"/>
        <w:adjustRightInd w:val="0"/>
        <w:snapToGrid w:val="0"/>
        <w:spacing w:line="360" w:lineRule="auto"/>
        <w:jc w:val="left"/>
        <w:rPr>
          <w:rFonts w:ascii="宋体" w:hAnsi="宋体" w:cs="MingLiU"/>
          <w:kern w:val="0"/>
          <w:sz w:val="20"/>
          <w:szCs w:val="20"/>
        </w:rPr>
      </w:pPr>
    </w:p>
    <w:p w14:paraId="73F3C809">
      <w:pPr>
        <w:autoSpaceDE w:val="0"/>
        <w:autoSpaceDN w:val="0"/>
        <w:adjustRightInd w:val="0"/>
        <w:snapToGrid w:val="0"/>
        <w:spacing w:line="360" w:lineRule="auto"/>
        <w:jc w:val="left"/>
        <w:rPr>
          <w:rFonts w:ascii="宋体" w:hAnsi="宋体" w:cs="MingLiU"/>
          <w:kern w:val="0"/>
          <w:sz w:val="20"/>
          <w:szCs w:val="20"/>
        </w:rPr>
      </w:pPr>
    </w:p>
    <w:p w14:paraId="71C5C193">
      <w:pPr>
        <w:autoSpaceDE w:val="0"/>
        <w:autoSpaceDN w:val="0"/>
        <w:adjustRightInd w:val="0"/>
        <w:snapToGrid w:val="0"/>
        <w:spacing w:line="360" w:lineRule="auto"/>
        <w:jc w:val="left"/>
        <w:rPr>
          <w:rFonts w:ascii="宋体" w:hAnsi="宋体" w:cs="MingLiU"/>
          <w:kern w:val="0"/>
          <w:sz w:val="20"/>
          <w:szCs w:val="20"/>
        </w:rPr>
      </w:pPr>
    </w:p>
    <w:p w14:paraId="04D0A518">
      <w:pPr>
        <w:autoSpaceDE w:val="0"/>
        <w:autoSpaceDN w:val="0"/>
        <w:adjustRightInd w:val="0"/>
        <w:snapToGrid w:val="0"/>
        <w:spacing w:line="360" w:lineRule="auto"/>
        <w:jc w:val="left"/>
        <w:rPr>
          <w:rFonts w:ascii="宋体" w:hAnsi="宋体" w:cs="MingLiU"/>
          <w:kern w:val="0"/>
          <w:sz w:val="20"/>
          <w:szCs w:val="20"/>
        </w:rPr>
      </w:pPr>
    </w:p>
    <w:p w14:paraId="5CC17513">
      <w:pPr>
        <w:autoSpaceDE w:val="0"/>
        <w:autoSpaceDN w:val="0"/>
        <w:adjustRightInd w:val="0"/>
        <w:snapToGrid w:val="0"/>
        <w:spacing w:line="360" w:lineRule="auto"/>
        <w:jc w:val="left"/>
        <w:rPr>
          <w:rFonts w:ascii="宋体" w:hAnsi="宋体" w:cs="MingLiU"/>
          <w:kern w:val="0"/>
          <w:sz w:val="20"/>
          <w:szCs w:val="20"/>
        </w:rPr>
      </w:pPr>
    </w:p>
    <w:p w14:paraId="00646ABB">
      <w:pPr>
        <w:autoSpaceDE w:val="0"/>
        <w:autoSpaceDN w:val="0"/>
        <w:adjustRightInd w:val="0"/>
        <w:snapToGrid w:val="0"/>
        <w:spacing w:line="360" w:lineRule="auto"/>
        <w:jc w:val="left"/>
        <w:rPr>
          <w:rFonts w:ascii="宋体" w:hAnsi="宋体" w:cs="MingLiU"/>
          <w:kern w:val="0"/>
          <w:sz w:val="20"/>
          <w:szCs w:val="20"/>
        </w:rPr>
      </w:pPr>
    </w:p>
    <w:p w14:paraId="3433AA71">
      <w:pPr>
        <w:autoSpaceDE w:val="0"/>
        <w:autoSpaceDN w:val="0"/>
        <w:adjustRightInd w:val="0"/>
        <w:snapToGrid w:val="0"/>
        <w:spacing w:line="360" w:lineRule="auto"/>
        <w:jc w:val="left"/>
        <w:rPr>
          <w:rFonts w:ascii="宋体" w:hAnsi="宋体" w:cs="MingLiU"/>
          <w:kern w:val="0"/>
          <w:sz w:val="20"/>
          <w:szCs w:val="20"/>
        </w:rPr>
      </w:pPr>
    </w:p>
    <w:p w14:paraId="6A77632D">
      <w:pPr>
        <w:autoSpaceDE w:val="0"/>
        <w:autoSpaceDN w:val="0"/>
        <w:adjustRightInd w:val="0"/>
        <w:snapToGrid w:val="0"/>
        <w:spacing w:line="360" w:lineRule="auto"/>
        <w:jc w:val="left"/>
        <w:rPr>
          <w:rFonts w:ascii="宋体" w:hAnsi="宋体" w:cs="MingLiU"/>
          <w:kern w:val="0"/>
          <w:sz w:val="20"/>
          <w:szCs w:val="20"/>
        </w:rPr>
      </w:pPr>
    </w:p>
    <w:p w14:paraId="72297AE7">
      <w:pPr>
        <w:tabs>
          <w:tab w:val="left" w:pos="6080"/>
          <w:tab w:val="left" w:pos="6640"/>
        </w:tabs>
        <w:autoSpaceDE w:val="0"/>
        <w:autoSpaceDN w:val="0"/>
        <w:adjustRightInd w:val="0"/>
        <w:snapToGrid w:val="0"/>
        <w:spacing w:line="480" w:lineRule="auto"/>
        <w:jc w:val="center"/>
        <w:rPr>
          <w:rFonts w:ascii="宋体" w:hAnsi="宋体"/>
          <w:w w:val="99"/>
          <w:kern w:val="0"/>
          <w:sz w:val="28"/>
          <w:szCs w:val="28"/>
        </w:rPr>
      </w:pPr>
      <w:r>
        <w:rPr>
          <w:rFonts w:ascii="宋体" w:hAnsi="宋体"/>
          <w:w w:val="99"/>
          <w:kern w:val="0"/>
          <w:sz w:val="28"/>
          <w:szCs w:val="28"/>
        </w:rPr>
        <w:t>投标人</w:t>
      </w:r>
      <w:r>
        <w:rPr>
          <w:rFonts w:ascii="宋体" w:hAnsi="宋体"/>
          <w:spacing w:val="1"/>
          <w:w w:val="99"/>
          <w:kern w:val="0"/>
          <w:sz w:val="28"/>
          <w:szCs w:val="28"/>
        </w:rPr>
        <w:t>：</w:t>
      </w:r>
      <w:r>
        <w:rPr>
          <w:rFonts w:ascii="宋体" w:hAnsi="宋体"/>
          <w:w w:val="198"/>
          <w:kern w:val="0"/>
          <w:sz w:val="28"/>
          <w:szCs w:val="28"/>
          <w:u w:val="single"/>
        </w:rPr>
        <w:t xml:space="preserve"> 　　 　　 　　</w:t>
      </w:r>
      <w:r>
        <w:rPr>
          <w:rFonts w:ascii="宋体" w:hAnsi="宋体"/>
          <w:w w:val="99"/>
          <w:kern w:val="0"/>
          <w:sz w:val="28"/>
          <w:szCs w:val="28"/>
        </w:rPr>
        <w:t>（盖单位法人章）</w:t>
      </w:r>
    </w:p>
    <w:p w14:paraId="46205E43">
      <w:pPr>
        <w:tabs>
          <w:tab w:val="left" w:pos="6080"/>
          <w:tab w:val="left" w:pos="6640"/>
        </w:tabs>
        <w:autoSpaceDE w:val="0"/>
        <w:autoSpaceDN w:val="0"/>
        <w:adjustRightInd w:val="0"/>
        <w:snapToGrid w:val="0"/>
        <w:spacing w:line="480" w:lineRule="auto"/>
        <w:jc w:val="center"/>
        <w:rPr>
          <w:rFonts w:ascii="宋体" w:hAnsi="宋体"/>
          <w:kern w:val="0"/>
          <w:sz w:val="28"/>
          <w:szCs w:val="28"/>
        </w:rPr>
      </w:pPr>
      <w:r>
        <w:rPr>
          <w:rFonts w:ascii="宋体" w:hAnsi="宋体"/>
          <w:w w:val="99"/>
          <w:kern w:val="0"/>
          <w:sz w:val="28"/>
          <w:szCs w:val="28"/>
        </w:rPr>
        <w:t>法定代表人或其委托代理人：</w:t>
      </w:r>
      <w:r>
        <w:rPr>
          <w:rFonts w:ascii="宋体" w:hAnsi="宋体"/>
          <w:w w:val="198"/>
          <w:kern w:val="0"/>
          <w:sz w:val="28"/>
          <w:szCs w:val="28"/>
          <w:u w:val="single"/>
        </w:rPr>
        <w:t xml:space="preserve"> 　 　</w:t>
      </w:r>
      <w:r>
        <w:rPr>
          <w:rFonts w:ascii="宋体" w:hAnsi="宋体"/>
          <w:w w:val="99"/>
          <w:kern w:val="0"/>
          <w:sz w:val="28"/>
          <w:szCs w:val="28"/>
        </w:rPr>
        <w:t>（</w:t>
      </w:r>
      <w:r>
        <w:rPr>
          <w:rFonts w:hint="eastAsia" w:ascii="宋体" w:hAnsi="宋体"/>
          <w:w w:val="99"/>
          <w:kern w:val="0"/>
          <w:sz w:val="28"/>
          <w:szCs w:val="28"/>
        </w:rPr>
        <w:t>签名</w:t>
      </w:r>
      <w:r>
        <w:rPr>
          <w:rFonts w:ascii="宋体" w:hAnsi="宋体"/>
          <w:w w:val="99"/>
          <w:kern w:val="0"/>
          <w:sz w:val="28"/>
          <w:szCs w:val="28"/>
        </w:rPr>
        <w:t>或盖章）</w:t>
      </w:r>
    </w:p>
    <w:p w14:paraId="52F425E6">
      <w:pPr>
        <w:tabs>
          <w:tab w:val="left" w:pos="3280"/>
          <w:tab w:val="left" w:pos="4680"/>
          <w:tab w:val="left" w:pos="6080"/>
        </w:tabs>
        <w:autoSpaceDE w:val="0"/>
        <w:autoSpaceDN w:val="0"/>
        <w:adjustRightInd w:val="0"/>
        <w:snapToGrid w:val="0"/>
        <w:spacing w:line="480" w:lineRule="auto"/>
        <w:jc w:val="center"/>
        <w:rPr>
          <w:rFonts w:ascii="宋体" w:hAnsi="宋体"/>
          <w:b/>
          <w:kern w:val="0"/>
          <w:sz w:val="28"/>
          <w:szCs w:val="28"/>
        </w:rPr>
      </w:pP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年</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月</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198"/>
          <w:kern w:val="0"/>
          <w:sz w:val="28"/>
          <w:szCs w:val="28"/>
          <w:u w:val="single"/>
        </w:rPr>
        <w:t xml:space="preserve"> </w:t>
      </w:r>
      <w:r>
        <w:rPr>
          <w:rFonts w:hint="eastAsia" w:ascii="宋体" w:hAnsi="宋体"/>
          <w:w w:val="198"/>
          <w:kern w:val="0"/>
          <w:sz w:val="28"/>
          <w:szCs w:val="28"/>
          <w:u w:val="single"/>
        </w:rPr>
        <w:t xml:space="preserve"> </w:t>
      </w:r>
      <w:r>
        <w:rPr>
          <w:rFonts w:ascii="宋体" w:hAnsi="宋体"/>
          <w:w w:val="99"/>
          <w:kern w:val="0"/>
          <w:sz w:val="28"/>
          <w:szCs w:val="28"/>
        </w:rPr>
        <w:t>日</w:t>
      </w:r>
    </w:p>
    <w:p w14:paraId="74DD1CA0">
      <w:pPr>
        <w:autoSpaceDE w:val="0"/>
        <w:autoSpaceDN w:val="0"/>
        <w:adjustRightInd w:val="0"/>
        <w:snapToGrid w:val="0"/>
        <w:jc w:val="center"/>
        <w:rPr>
          <w:rFonts w:hint="eastAsia" w:ascii="宋体" w:hAnsi="宋体"/>
          <w:kern w:val="0"/>
          <w:sz w:val="36"/>
          <w:szCs w:val="36"/>
        </w:rPr>
      </w:pPr>
    </w:p>
    <w:p w14:paraId="55813FBF">
      <w:pPr>
        <w:autoSpaceDE w:val="0"/>
        <w:autoSpaceDN w:val="0"/>
        <w:adjustRightInd w:val="0"/>
        <w:snapToGrid w:val="0"/>
        <w:jc w:val="center"/>
        <w:rPr>
          <w:rFonts w:ascii="宋体" w:hAnsi="宋体"/>
          <w:kern w:val="0"/>
          <w:sz w:val="36"/>
          <w:szCs w:val="36"/>
        </w:rPr>
      </w:pPr>
      <w:r>
        <w:rPr>
          <w:rFonts w:hint="eastAsia" w:ascii="宋体" w:hAnsi="宋体"/>
          <w:kern w:val="0"/>
          <w:sz w:val="36"/>
          <w:szCs w:val="36"/>
        </w:rPr>
        <w:t>目  录</w:t>
      </w:r>
    </w:p>
    <w:p w14:paraId="1DB4665D">
      <w:pPr>
        <w:spacing w:line="360" w:lineRule="auto"/>
        <w:jc w:val="center"/>
        <w:rPr>
          <w:rFonts w:ascii="宋体" w:hAnsi="宋体"/>
          <w:b/>
          <w:kern w:val="0"/>
          <w:sz w:val="32"/>
          <w:szCs w:val="32"/>
        </w:rPr>
      </w:pPr>
    </w:p>
    <w:p w14:paraId="684683BD">
      <w:pPr>
        <w:spacing w:line="360" w:lineRule="auto"/>
        <w:ind w:firstLine="420" w:firstLineChars="200"/>
        <w:rPr>
          <w:rFonts w:ascii="宋体" w:hAnsi="宋体"/>
          <w:szCs w:val="21"/>
        </w:rPr>
      </w:pPr>
      <w:r>
        <w:rPr>
          <w:rFonts w:ascii="宋体" w:hAnsi="宋体"/>
          <w:szCs w:val="21"/>
        </w:rPr>
        <w:t>（一）</w:t>
      </w:r>
      <w:r>
        <w:rPr>
          <w:rFonts w:hint="eastAsia" w:ascii="宋体" w:hAnsi="宋体"/>
          <w:szCs w:val="21"/>
        </w:rPr>
        <w:t>法定代表人身份证明或附有法定代表人身份证明的授权委托书</w:t>
      </w:r>
    </w:p>
    <w:p w14:paraId="349BF0EB">
      <w:pPr>
        <w:spacing w:line="360" w:lineRule="auto"/>
        <w:ind w:firstLine="420" w:firstLineChars="200"/>
        <w:rPr>
          <w:rFonts w:ascii="宋体" w:hAnsi="宋体"/>
          <w:szCs w:val="21"/>
        </w:rPr>
      </w:pPr>
      <w:r>
        <w:rPr>
          <w:rFonts w:ascii="宋体" w:hAnsi="宋体"/>
          <w:szCs w:val="21"/>
        </w:rPr>
        <w:t>（二）联合体协议书</w:t>
      </w:r>
      <w:r>
        <w:rPr>
          <w:rFonts w:hint="eastAsia" w:ascii="宋体" w:hAnsi="宋体"/>
          <w:szCs w:val="21"/>
        </w:rPr>
        <w:t>（如有）</w:t>
      </w:r>
    </w:p>
    <w:p w14:paraId="0CD3150B">
      <w:pPr>
        <w:spacing w:line="360" w:lineRule="auto"/>
        <w:ind w:firstLine="420" w:firstLineChars="200"/>
        <w:rPr>
          <w:rFonts w:ascii="宋体" w:hAnsi="宋体"/>
          <w:szCs w:val="21"/>
        </w:rPr>
      </w:pPr>
      <w:r>
        <w:rPr>
          <w:rFonts w:ascii="宋体" w:hAnsi="宋体"/>
          <w:szCs w:val="21"/>
        </w:rPr>
        <w:t>（三）投标人基本情况表</w:t>
      </w:r>
    </w:p>
    <w:p w14:paraId="775A5829">
      <w:pPr>
        <w:spacing w:line="360" w:lineRule="auto"/>
        <w:ind w:firstLine="420" w:firstLineChars="200"/>
        <w:rPr>
          <w:rFonts w:ascii="宋体" w:hAnsi="宋体"/>
          <w:szCs w:val="21"/>
        </w:rPr>
      </w:pPr>
      <w:r>
        <w:rPr>
          <w:rFonts w:ascii="宋体" w:hAnsi="宋体"/>
          <w:szCs w:val="21"/>
        </w:rPr>
        <w:t>（四）项目管理机构</w:t>
      </w:r>
    </w:p>
    <w:p w14:paraId="1D4301B0">
      <w:pPr>
        <w:spacing w:line="360" w:lineRule="auto"/>
        <w:ind w:firstLine="420" w:firstLineChars="200"/>
        <w:rPr>
          <w:rFonts w:ascii="宋体" w:hAnsi="宋体"/>
          <w:szCs w:val="21"/>
        </w:rPr>
      </w:pPr>
      <w:r>
        <w:rPr>
          <w:rFonts w:ascii="宋体" w:hAnsi="宋体"/>
          <w:szCs w:val="21"/>
        </w:rPr>
        <w:t>（五）近年财务状况表</w:t>
      </w:r>
    </w:p>
    <w:p w14:paraId="647A0D19">
      <w:pPr>
        <w:spacing w:line="360" w:lineRule="auto"/>
        <w:ind w:firstLine="420" w:firstLineChars="200"/>
        <w:rPr>
          <w:rFonts w:ascii="宋体" w:hAnsi="宋体"/>
          <w:szCs w:val="21"/>
        </w:rPr>
      </w:pPr>
      <w:r>
        <w:rPr>
          <w:rFonts w:ascii="宋体" w:hAnsi="宋体"/>
          <w:szCs w:val="21"/>
        </w:rPr>
        <w:t>（六）类似项目情况表</w:t>
      </w:r>
    </w:p>
    <w:p w14:paraId="4169F89E">
      <w:pPr>
        <w:spacing w:line="360" w:lineRule="auto"/>
        <w:ind w:firstLine="420" w:firstLineChars="200"/>
        <w:rPr>
          <w:rFonts w:hint="eastAsia" w:ascii="宋体" w:hAnsi="宋体"/>
          <w:szCs w:val="21"/>
        </w:rPr>
      </w:pPr>
      <w:r>
        <w:rPr>
          <w:rFonts w:ascii="宋体" w:hAnsi="宋体"/>
          <w:szCs w:val="21"/>
        </w:rPr>
        <w:t>（七）</w:t>
      </w:r>
      <w:r>
        <w:rPr>
          <w:rFonts w:hint="eastAsia" w:ascii="宋体" w:hAnsi="宋体"/>
          <w:szCs w:val="21"/>
        </w:rPr>
        <w:t>承诺</w:t>
      </w:r>
    </w:p>
    <w:p w14:paraId="0E6623B6">
      <w:pPr>
        <w:spacing w:line="360" w:lineRule="auto"/>
        <w:ind w:firstLine="420" w:firstLineChars="200"/>
        <w:rPr>
          <w:rFonts w:ascii="宋体" w:hAnsi="宋体"/>
          <w:szCs w:val="21"/>
        </w:rPr>
      </w:pPr>
      <w:r>
        <w:rPr>
          <w:rFonts w:ascii="宋体" w:hAnsi="宋体"/>
          <w:szCs w:val="21"/>
        </w:rPr>
        <w:t>（</w:t>
      </w:r>
      <w:r>
        <w:rPr>
          <w:rFonts w:hint="eastAsia" w:ascii="宋体" w:hAnsi="宋体"/>
          <w:szCs w:val="21"/>
        </w:rPr>
        <w:t>八</w:t>
      </w:r>
      <w:r>
        <w:rPr>
          <w:rFonts w:ascii="宋体" w:hAnsi="宋体"/>
          <w:szCs w:val="21"/>
        </w:rPr>
        <w:t>）其他资料</w:t>
      </w:r>
    </w:p>
    <w:p w14:paraId="6609CE67">
      <w:pPr>
        <w:pStyle w:val="2"/>
        <w:rPr>
          <w:rFonts w:ascii="宋体" w:hAnsi="宋体"/>
          <w:szCs w:val="21"/>
        </w:rPr>
      </w:pPr>
    </w:p>
    <w:p w14:paraId="45BB089F">
      <w:pPr>
        <w:pStyle w:val="5"/>
        <w:spacing w:before="0" w:after="0" w:line="240" w:lineRule="auto"/>
        <w:jc w:val="center"/>
        <w:rPr>
          <w:rFonts w:hint="eastAsia" w:ascii="宋体" w:hAnsi="宋体"/>
          <w:sz w:val="36"/>
          <w:szCs w:val="36"/>
        </w:rPr>
      </w:pPr>
      <w:bookmarkStart w:id="1000" w:name="_Toc224103511"/>
      <w:bookmarkStart w:id="1001" w:name="_Toc277082657"/>
      <w:bookmarkStart w:id="1002" w:name="_Toc33106476"/>
      <w:bookmarkStart w:id="1003" w:name="_Toc287620830"/>
      <w:bookmarkStart w:id="1004" w:name="_Toc287607883"/>
      <w:bookmarkStart w:id="1005" w:name="_Toc430530546"/>
      <w:r>
        <w:rPr>
          <w:rFonts w:hint="eastAsia" w:ascii="宋体" w:hAnsi="宋体"/>
          <w:b w:val="0"/>
          <w:bCs w:val="0"/>
        </w:rPr>
        <w:br w:type="page"/>
      </w:r>
      <w:bookmarkStart w:id="1006" w:name="_Toc57796019"/>
      <w:bookmarkStart w:id="1007" w:name="_Toc31647"/>
      <w:r>
        <w:rPr>
          <w:rFonts w:hint="eastAsia" w:ascii="宋体" w:hAnsi="宋体"/>
          <w:b w:val="0"/>
          <w:bCs w:val="0"/>
        </w:rPr>
        <w:t>（一）法定代表人身份证明或附有法定代表人身份证明的授权委托书</w:t>
      </w:r>
      <w:bookmarkEnd w:id="1000"/>
      <w:bookmarkEnd w:id="1001"/>
      <w:bookmarkEnd w:id="1002"/>
      <w:bookmarkEnd w:id="1003"/>
      <w:bookmarkEnd w:id="1004"/>
      <w:bookmarkEnd w:id="1005"/>
      <w:bookmarkEnd w:id="1006"/>
      <w:bookmarkEnd w:id="1007"/>
    </w:p>
    <w:p w14:paraId="75D002A2">
      <w:pPr>
        <w:spacing w:line="480" w:lineRule="auto"/>
        <w:jc w:val="center"/>
        <w:rPr>
          <w:rFonts w:hint="eastAsia" w:ascii="宋体" w:hAnsi="宋体"/>
          <w:sz w:val="28"/>
        </w:rPr>
      </w:pPr>
      <w:r>
        <w:rPr>
          <w:rFonts w:hint="eastAsia" w:ascii="宋体" w:hAnsi="宋体"/>
          <w:sz w:val="28"/>
        </w:rPr>
        <w:t>法定代表人身份证明</w:t>
      </w:r>
    </w:p>
    <w:p w14:paraId="78C3D1B1">
      <w:pPr>
        <w:spacing w:line="480" w:lineRule="auto"/>
        <w:jc w:val="center"/>
        <w:rPr>
          <w:rFonts w:ascii="宋体" w:hAnsi="宋体"/>
        </w:rPr>
      </w:pPr>
    </w:p>
    <w:p w14:paraId="166FE4A6">
      <w:pPr>
        <w:tabs>
          <w:tab w:val="left" w:pos="556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投标人名称：</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DFBB54E">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单位性质：</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2E7490AA">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地</w:t>
      </w:r>
      <w:r>
        <w:rPr>
          <w:rFonts w:hint="eastAsia" w:ascii="宋体" w:hAnsi="宋体"/>
          <w:kern w:val="0"/>
          <w:szCs w:val="21"/>
        </w:rPr>
        <w:t xml:space="preserve">    </w:t>
      </w:r>
      <w:r>
        <w:rPr>
          <w:rFonts w:ascii="宋体" w:hAnsi="宋体"/>
          <w:kern w:val="0"/>
          <w:szCs w:val="21"/>
        </w:rPr>
        <w:t>址：</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1F62F1A7">
      <w:pPr>
        <w:tabs>
          <w:tab w:val="left" w:pos="2520"/>
          <w:tab w:val="left" w:pos="3836"/>
        </w:tabs>
        <w:autoSpaceDE w:val="0"/>
        <w:autoSpaceDN w:val="0"/>
        <w:adjustRightInd w:val="0"/>
        <w:snapToGrid w:val="0"/>
        <w:spacing w:line="480" w:lineRule="auto"/>
        <w:ind w:firstLine="390" w:firstLineChars="186"/>
        <w:jc w:val="left"/>
        <w:rPr>
          <w:rFonts w:ascii="宋体" w:hAnsi="宋体"/>
          <w:kern w:val="0"/>
          <w:sz w:val="10"/>
          <w:szCs w:val="10"/>
        </w:rPr>
      </w:pPr>
      <w:r>
        <w:rPr>
          <w:rFonts w:ascii="宋体" w:hAnsi="宋体"/>
          <w:kern w:val="0"/>
          <w:szCs w:val="21"/>
        </w:rPr>
        <w:t>成立时间：</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3340F123">
      <w:pPr>
        <w:tabs>
          <w:tab w:val="left" w:pos="5475"/>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经营期限：</w:t>
      </w:r>
      <w:r>
        <w:rPr>
          <w:rFonts w:ascii="宋体" w:hAnsi="宋体"/>
          <w:w w:val="200"/>
          <w:kern w:val="0"/>
          <w:szCs w:val="21"/>
          <w:u w:val="single"/>
        </w:rPr>
        <w:t xml:space="preserve"> </w:t>
      </w:r>
      <w:r>
        <w:rPr>
          <w:rFonts w:hint="eastAsia" w:ascii="宋体" w:hAnsi="宋体"/>
          <w:w w:val="200"/>
          <w:kern w:val="0"/>
          <w:szCs w:val="21"/>
          <w:u w:val="single"/>
        </w:rPr>
        <w:t xml:space="preserve">                                    </w:t>
      </w:r>
    </w:p>
    <w:p w14:paraId="7621724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kern w:val="0"/>
          <w:szCs w:val="21"/>
        </w:rPr>
      </w:pPr>
      <w:r>
        <w:rPr>
          <w:rFonts w:ascii="宋体" w:hAnsi="宋体"/>
          <w:kern w:val="0"/>
          <w:szCs w:val="21"/>
        </w:rPr>
        <w:t>姓名：</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性别</w:t>
      </w:r>
      <w:r>
        <w:rPr>
          <w:rFonts w:ascii="宋体" w:hAnsi="宋体"/>
          <w:spacing w:val="-1"/>
          <w:kern w:val="0"/>
          <w:szCs w:val="21"/>
        </w:rPr>
        <w:t>：</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spacing w:val="-1"/>
          <w:kern w:val="0"/>
          <w:szCs w:val="21"/>
        </w:rPr>
        <w:t>年</w:t>
      </w:r>
      <w:r>
        <w:rPr>
          <w:rFonts w:ascii="宋体" w:hAnsi="宋体"/>
          <w:kern w:val="0"/>
          <w:szCs w:val="21"/>
        </w:rPr>
        <w:t>龄：</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职务：</w:t>
      </w:r>
      <w:r>
        <w:rPr>
          <w:rFonts w:hint="eastAsia" w:ascii="宋体" w:hAnsi="宋体"/>
          <w:kern w:val="0"/>
          <w:szCs w:val="21"/>
          <w:u w:val="single"/>
        </w:rPr>
        <w:t xml:space="preserve">              </w:t>
      </w:r>
      <w:r>
        <w:rPr>
          <w:rFonts w:ascii="宋体" w:hAnsi="宋体"/>
          <w:kern w:val="0"/>
          <w:szCs w:val="21"/>
          <w:u w:val="single"/>
        </w:rPr>
        <w:t xml:space="preserve"> </w:t>
      </w:r>
    </w:p>
    <w:p w14:paraId="46ABAD70">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系</w:t>
      </w:r>
      <w:r>
        <w:rPr>
          <w:rFonts w:hint="eastAsia" w:ascii="宋体" w:hAnsi="宋体"/>
          <w:kern w:val="0"/>
          <w:szCs w:val="21"/>
          <w:u w:val="single"/>
        </w:rPr>
        <w:t xml:space="preserve">                                                        </w:t>
      </w:r>
      <w:r>
        <w:rPr>
          <w:rFonts w:ascii="宋体" w:hAnsi="宋体"/>
          <w:kern w:val="0"/>
          <w:szCs w:val="21"/>
          <w:u w:val="single"/>
        </w:rPr>
        <w:t xml:space="preserve"> （投标人名称）</w:t>
      </w:r>
      <w:r>
        <w:rPr>
          <w:rFonts w:ascii="宋体" w:hAnsi="宋体"/>
          <w:kern w:val="0"/>
          <w:szCs w:val="21"/>
        </w:rPr>
        <w:t>的法定代表人。</w:t>
      </w:r>
    </w:p>
    <w:p w14:paraId="1239EFC0">
      <w:pPr>
        <w:tabs>
          <w:tab w:val="left" w:pos="3360"/>
        </w:tabs>
        <w:autoSpaceDE w:val="0"/>
        <w:autoSpaceDN w:val="0"/>
        <w:adjustRightInd w:val="0"/>
        <w:snapToGrid w:val="0"/>
        <w:spacing w:line="480" w:lineRule="auto"/>
        <w:ind w:firstLine="390" w:firstLineChars="186"/>
        <w:jc w:val="left"/>
        <w:rPr>
          <w:rFonts w:hint="eastAsia" w:ascii="宋体" w:hAnsi="宋体"/>
          <w:kern w:val="0"/>
          <w:szCs w:val="21"/>
        </w:rPr>
      </w:pPr>
      <w:r>
        <w:rPr>
          <w:rFonts w:ascii="宋体" w:hAnsi="宋体"/>
          <w:kern w:val="0"/>
          <w:szCs w:val="21"/>
        </w:rPr>
        <w:t>特此证明。</w:t>
      </w:r>
    </w:p>
    <w:p w14:paraId="6D609BD8">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附：法定代表人身份证扫描件（双面）</w:t>
      </w:r>
    </w:p>
    <w:p w14:paraId="2DAFCAD5">
      <w:pPr>
        <w:autoSpaceDE w:val="0"/>
        <w:autoSpaceDN w:val="0"/>
        <w:adjustRightInd w:val="0"/>
        <w:snapToGrid w:val="0"/>
        <w:spacing w:line="360" w:lineRule="auto"/>
        <w:jc w:val="left"/>
        <w:rPr>
          <w:rFonts w:hint="eastAsia" w:ascii="宋体" w:hAnsi="宋体"/>
          <w:szCs w:val="21"/>
        </w:rPr>
      </w:pPr>
    </w:p>
    <w:p w14:paraId="423284D7">
      <w:pPr>
        <w:pStyle w:val="2"/>
        <w:spacing w:after="0" w:line="360" w:lineRule="auto"/>
        <w:rPr>
          <w:rFonts w:hint="eastAsia" w:ascii="宋体" w:hAnsi="宋体"/>
          <w:szCs w:val="21"/>
        </w:rPr>
      </w:pPr>
    </w:p>
    <w:p w14:paraId="6E3502C5">
      <w:pPr>
        <w:pStyle w:val="2"/>
        <w:spacing w:after="0" w:line="360" w:lineRule="auto"/>
        <w:rPr>
          <w:rFonts w:hint="eastAsia" w:ascii="宋体" w:hAnsi="宋体"/>
          <w:szCs w:val="21"/>
        </w:rPr>
      </w:pPr>
    </w:p>
    <w:p w14:paraId="6CA36FE1">
      <w:pPr>
        <w:pStyle w:val="2"/>
        <w:spacing w:after="0" w:line="360" w:lineRule="auto"/>
        <w:rPr>
          <w:rFonts w:hint="eastAsia" w:ascii="宋体" w:hAnsi="宋体"/>
          <w:szCs w:val="21"/>
        </w:rPr>
      </w:pPr>
    </w:p>
    <w:p w14:paraId="544A0C77">
      <w:pPr>
        <w:pStyle w:val="2"/>
        <w:spacing w:after="0" w:line="360" w:lineRule="auto"/>
        <w:rPr>
          <w:rFonts w:hint="eastAsia" w:ascii="宋体" w:hAnsi="宋体"/>
          <w:szCs w:val="21"/>
        </w:rPr>
      </w:pPr>
    </w:p>
    <w:p w14:paraId="7CDF9FF1">
      <w:pPr>
        <w:pStyle w:val="2"/>
        <w:spacing w:after="0" w:line="360" w:lineRule="auto"/>
        <w:rPr>
          <w:rFonts w:ascii="宋体" w:hAnsi="宋体"/>
          <w:szCs w:val="21"/>
        </w:rPr>
      </w:pPr>
    </w:p>
    <w:p w14:paraId="3F99E5E6">
      <w:pPr>
        <w:tabs>
          <w:tab w:val="left" w:pos="3360"/>
        </w:tabs>
        <w:autoSpaceDE w:val="0"/>
        <w:autoSpaceDN w:val="0"/>
        <w:adjustRightInd w:val="0"/>
        <w:snapToGrid w:val="0"/>
        <w:spacing w:line="480" w:lineRule="auto"/>
        <w:ind w:firstLine="390" w:firstLineChars="186"/>
        <w:jc w:val="right"/>
        <w:rPr>
          <w:rFonts w:ascii="宋体" w:hAnsi="宋体"/>
          <w:kern w:val="0"/>
          <w:szCs w:val="21"/>
        </w:rPr>
      </w:pPr>
      <w:r>
        <w:rPr>
          <w:rFonts w:ascii="宋体" w:hAnsi="宋体"/>
          <w:kern w:val="0"/>
          <w:szCs w:val="21"/>
        </w:rPr>
        <w:t>投标</w:t>
      </w:r>
      <w:r>
        <w:rPr>
          <w:rFonts w:ascii="宋体" w:hAnsi="宋体"/>
          <w:spacing w:val="-1"/>
          <w:kern w:val="0"/>
          <w:szCs w:val="21"/>
        </w:rPr>
        <w:t>人</w:t>
      </w:r>
      <w:r>
        <w:rPr>
          <w:rFonts w:ascii="宋体" w:hAnsi="宋体"/>
          <w:kern w:val="0"/>
          <w:szCs w:val="21"/>
        </w:rPr>
        <w:t>：</w:t>
      </w:r>
      <w:r>
        <w:rPr>
          <w:rFonts w:ascii="宋体" w:hAnsi="宋体"/>
          <w:w w:val="200"/>
          <w:kern w:val="0"/>
          <w:szCs w:val="21"/>
          <w:u w:val="single"/>
        </w:rPr>
        <w:t xml:space="preserve">              </w:t>
      </w:r>
      <w:r>
        <w:rPr>
          <w:rFonts w:ascii="宋体" w:hAnsi="宋体"/>
          <w:kern w:val="0"/>
          <w:szCs w:val="21"/>
          <w:u w:val="single"/>
        </w:rPr>
        <w:tab/>
      </w:r>
      <w:r>
        <w:rPr>
          <w:rFonts w:ascii="宋体" w:hAnsi="宋体"/>
          <w:spacing w:val="-1"/>
          <w:kern w:val="0"/>
          <w:szCs w:val="21"/>
        </w:rPr>
        <w:t>（</w:t>
      </w:r>
      <w:r>
        <w:rPr>
          <w:rFonts w:ascii="宋体" w:hAnsi="宋体"/>
          <w:kern w:val="0"/>
          <w:szCs w:val="21"/>
        </w:rPr>
        <w:t>盖单位法人章）</w:t>
      </w:r>
    </w:p>
    <w:p w14:paraId="52C841F2">
      <w:pPr>
        <w:autoSpaceDE w:val="0"/>
        <w:autoSpaceDN w:val="0"/>
        <w:adjustRightInd w:val="0"/>
        <w:snapToGrid w:val="0"/>
        <w:spacing w:line="480" w:lineRule="auto"/>
        <w:jc w:val="left"/>
        <w:rPr>
          <w:rFonts w:ascii="宋体" w:hAnsi="宋体"/>
          <w:kern w:val="0"/>
          <w:sz w:val="20"/>
          <w:szCs w:val="20"/>
        </w:rPr>
      </w:pPr>
    </w:p>
    <w:p w14:paraId="48C689DF">
      <w:pPr>
        <w:tabs>
          <w:tab w:val="left" w:pos="4935"/>
          <w:tab w:val="left" w:pos="5460"/>
          <w:tab w:val="left" w:pos="6400"/>
        </w:tabs>
        <w:wordWrap w:val="0"/>
        <w:autoSpaceDE w:val="0"/>
        <w:autoSpaceDN w:val="0"/>
        <w:adjustRightInd w:val="0"/>
        <w:snapToGrid w:val="0"/>
        <w:spacing w:line="480" w:lineRule="auto"/>
        <w:ind w:firstLine="3780"/>
        <w:jc w:val="right"/>
        <w:rPr>
          <w:rFonts w:hint="eastAsia"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r>
        <w:rPr>
          <w:rFonts w:hint="eastAsia" w:ascii="宋体" w:hAnsi="宋体"/>
          <w:kern w:val="0"/>
          <w:szCs w:val="21"/>
        </w:rPr>
        <w:t xml:space="preserve">    </w:t>
      </w:r>
    </w:p>
    <w:p w14:paraId="5A715FAF">
      <w:pPr>
        <w:autoSpaceDE w:val="0"/>
        <w:autoSpaceDN w:val="0"/>
        <w:adjustRightInd w:val="0"/>
        <w:snapToGrid w:val="0"/>
        <w:spacing w:line="360" w:lineRule="auto"/>
        <w:jc w:val="left"/>
        <w:rPr>
          <w:rFonts w:ascii="宋体" w:hAnsi="宋体"/>
          <w:kern w:val="0"/>
        </w:rPr>
      </w:pPr>
    </w:p>
    <w:p w14:paraId="4D3018A8">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kern w:val="0"/>
          <w:szCs w:val="21"/>
        </w:rPr>
      </w:pPr>
      <w:r>
        <w:rPr>
          <w:rFonts w:ascii="宋体" w:hAnsi="宋体"/>
        </w:rPr>
        <w:t>注：法定代表人身份证明需按上述格式填写完整，不可缺少内容。在此基础上增加内容的不影响其有效性</w:t>
      </w:r>
      <w:r>
        <w:rPr>
          <w:rFonts w:hint="eastAsia" w:ascii="宋体" w:hAnsi="宋体"/>
          <w:kern w:val="0"/>
          <w:szCs w:val="21"/>
        </w:rPr>
        <w:t>。</w:t>
      </w:r>
    </w:p>
    <w:p w14:paraId="10FAAF09">
      <w:pPr>
        <w:tabs>
          <w:tab w:val="left" w:pos="1680"/>
          <w:tab w:val="left" w:pos="4215"/>
          <w:tab w:val="left" w:pos="4305"/>
          <w:tab w:val="left" w:pos="8000"/>
        </w:tabs>
        <w:autoSpaceDE w:val="0"/>
        <w:autoSpaceDN w:val="0"/>
        <w:adjustRightInd w:val="0"/>
        <w:snapToGrid w:val="0"/>
        <w:spacing w:line="360" w:lineRule="auto"/>
        <w:jc w:val="center"/>
        <w:rPr>
          <w:rFonts w:ascii="宋体" w:hAnsi="宋体"/>
          <w:kern w:val="0"/>
          <w:sz w:val="28"/>
          <w:szCs w:val="28"/>
        </w:rPr>
      </w:pPr>
      <w:r>
        <w:rPr>
          <w:rFonts w:ascii="宋体" w:hAnsi="宋体"/>
          <w:b/>
          <w:kern w:val="0"/>
          <w:sz w:val="28"/>
          <w:szCs w:val="28"/>
        </w:rPr>
        <w:br w:type="page"/>
      </w:r>
      <w:r>
        <w:rPr>
          <w:rFonts w:ascii="宋体" w:hAnsi="宋体"/>
          <w:snapToGrid w:val="0"/>
          <w:kern w:val="0"/>
          <w:sz w:val="32"/>
          <w:szCs w:val="32"/>
        </w:rPr>
        <w:t>授权委托书</w:t>
      </w:r>
    </w:p>
    <w:p w14:paraId="1BEC8C47">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本人</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系</w:t>
      </w:r>
      <w:r>
        <w:rPr>
          <w:rFonts w:hint="eastAsia" w:ascii="宋体" w:hAnsi="宋体"/>
          <w:w w:val="200"/>
          <w:kern w:val="0"/>
          <w:szCs w:val="21"/>
          <w:u w:val="single"/>
        </w:rPr>
        <w:t xml:space="preserve">    </w:t>
      </w:r>
      <w:r>
        <w:rPr>
          <w:rFonts w:ascii="宋体" w:hAnsi="宋体"/>
          <w:kern w:val="0"/>
          <w:szCs w:val="21"/>
          <w:u w:val="single"/>
        </w:rPr>
        <w:t>（</w:t>
      </w:r>
      <w:r>
        <w:rPr>
          <w:rFonts w:ascii="宋体" w:hAnsi="宋体"/>
          <w:spacing w:val="-1"/>
          <w:kern w:val="0"/>
          <w:szCs w:val="21"/>
          <w:u w:val="single"/>
        </w:rPr>
        <w:t>投</w:t>
      </w:r>
      <w:r>
        <w:rPr>
          <w:rFonts w:ascii="宋体" w:hAnsi="宋体"/>
          <w:kern w:val="0"/>
          <w:szCs w:val="21"/>
          <w:u w:val="single"/>
        </w:rPr>
        <w:t>标人名称</w:t>
      </w:r>
      <w:r>
        <w:rPr>
          <w:rFonts w:ascii="宋体" w:hAnsi="宋体"/>
          <w:spacing w:val="1"/>
          <w:kern w:val="0"/>
          <w:szCs w:val="21"/>
          <w:u w:val="single"/>
        </w:rPr>
        <w:t>）</w:t>
      </w:r>
      <w:r>
        <w:rPr>
          <w:rFonts w:ascii="宋体" w:hAnsi="宋体"/>
          <w:kern w:val="0"/>
          <w:szCs w:val="21"/>
        </w:rPr>
        <w:t>的法定代</w:t>
      </w:r>
      <w:r>
        <w:rPr>
          <w:rFonts w:ascii="宋体" w:hAnsi="宋体"/>
          <w:spacing w:val="1"/>
          <w:kern w:val="0"/>
          <w:szCs w:val="21"/>
        </w:rPr>
        <w:t>表</w:t>
      </w:r>
      <w:r>
        <w:rPr>
          <w:rFonts w:ascii="宋体" w:hAnsi="宋体"/>
          <w:kern w:val="0"/>
          <w:szCs w:val="21"/>
        </w:rPr>
        <w:t>人，现委托</w:t>
      </w:r>
      <w:r>
        <w:rPr>
          <w:rFonts w:hint="eastAsia" w:ascii="宋体" w:hAnsi="宋体"/>
          <w:w w:val="200"/>
          <w:kern w:val="0"/>
          <w:szCs w:val="21"/>
          <w:u w:val="single"/>
        </w:rPr>
        <w:t xml:space="preserve">      </w:t>
      </w:r>
      <w:r>
        <w:rPr>
          <w:rFonts w:ascii="宋体" w:hAnsi="宋体"/>
          <w:kern w:val="0"/>
          <w:szCs w:val="21"/>
          <w:u w:val="single"/>
        </w:rPr>
        <w:t>（姓名）</w:t>
      </w:r>
      <w:r>
        <w:rPr>
          <w:rFonts w:ascii="宋体" w:hAnsi="宋体"/>
          <w:kern w:val="0"/>
          <w:szCs w:val="21"/>
        </w:rPr>
        <w:t>为我方代理人。代理人根据授权，以我方名义签署、澄清、说明、补正、递交、撤回、修改</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u w:val="single"/>
        </w:rPr>
        <w:t>（项</w:t>
      </w:r>
      <w:r>
        <w:rPr>
          <w:rFonts w:ascii="宋体" w:hAnsi="宋体"/>
          <w:spacing w:val="-1"/>
          <w:kern w:val="0"/>
          <w:szCs w:val="21"/>
          <w:u w:val="single"/>
        </w:rPr>
        <w:t>目</w:t>
      </w:r>
      <w:r>
        <w:rPr>
          <w:rFonts w:ascii="宋体" w:hAnsi="宋体"/>
          <w:kern w:val="0"/>
          <w:szCs w:val="21"/>
          <w:u w:val="single"/>
        </w:rPr>
        <w:t>名称）</w:t>
      </w:r>
      <w:r>
        <w:rPr>
          <w:rFonts w:ascii="宋体" w:hAnsi="宋体"/>
          <w:kern w:val="0"/>
          <w:szCs w:val="21"/>
        </w:rPr>
        <w:t>投标文件、</w:t>
      </w:r>
      <w:r>
        <w:rPr>
          <w:rFonts w:hint="eastAsia" w:ascii="宋体" w:hAnsi="宋体"/>
          <w:kern w:val="0"/>
          <w:szCs w:val="21"/>
        </w:rPr>
        <w:t>领取原件、</w:t>
      </w:r>
      <w:r>
        <w:rPr>
          <w:rFonts w:ascii="宋体" w:hAnsi="宋体"/>
          <w:kern w:val="0"/>
          <w:szCs w:val="21"/>
        </w:rPr>
        <w:t>签订合同和处理有关事宜， 其法律后果由我方承担。</w:t>
      </w:r>
    </w:p>
    <w:p w14:paraId="23CDF538">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Cs w:val="21"/>
        </w:rPr>
      </w:pPr>
      <w:r>
        <w:rPr>
          <w:rFonts w:ascii="宋体" w:hAnsi="宋体"/>
          <w:kern w:val="0"/>
          <w:szCs w:val="21"/>
        </w:rPr>
        <w:t>委托</w:t>
      </w:r>
      <w:r>
        <w:rPr>
          <w:rFonts w:ascii="宋体" w:hAnsi="宋体"/>
          <w:spacing w:val="-1"/>
          <w:kern w:val="0"/>
          <w:szCs w:val="21"/>
        </w:rPr>
        <w:t>期</w:t>
      </w:r>
      <w:r>
        <w:rPr>
          <w:rFonts w:ascii="宋体" w:hAnsi="宋体"/>
          <w:kern w:val="0"/>
          <w:szCs w:val="21"/>
        </w:rPr>
        <w:t>限：</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ab/>
      </w:r>
      <w:r>
        <w:rPr>
          <w:rFonts w:ascii="宋体" w:hAnsi="宋体"/>
          <w:kern w:val="0"/>
          <w:szCs w:val="21"/>
        </w:rPr>
        <w:t xml:space="preserve">。 </w:t>
      </w:r>
    </w:p>
    <w:p w14:paraId="260ACB8F">
      <w:pPr>
        <w:tabs>
          <w:tab w:val="left" w:pos="1680"/>
          <w:tab w:val="left" w:pos="4215"/>
          <w:tab w:val="left" w:pos="4305"/>
          <w:tab w:val="left" w:pos="8000"/>
        </w:tabs>
        <w:autoSpaceDE w:val="0"/>
        <w:autoSpaceDN w:val="0"/>
        <w:adjustRightInd w:val="0"/>
        <w:snapToGrid w:val="0"/>
        <w:spacing w:line="480" w:lineRule="auto"/>
        <w:ind w:firstLine="420"/>
        <w:rPr>
          <w:rFonts w:ascii="宋体" w:hAnsi="宋体"/>
          <w:kern w:val="0"/>
          <w:sz w:val="20"/>
          <w:szCs w:val="20"/>
        </w:rPr>
      </w:pPr>
      <w:r>
        <w:rPr>
          <w:rFonts w:ascii="宋体" w:hAnsi="宋体"/>
          <w:kern w:val="0"/>
          <w:szCs w:val="21"/>
        </w:rPr>
        <w:t>代理人无转委托权。</w:t>
      </w:r>
    </w:p>
    <w:p w14:paraId="7F78DC09">
      <w:pPr>
        <w:tabs>
          <w:tab w:val="left" w:pos="4200"/>
          <w:tab w:val="left" w:pos="462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35F21C4C">
      <w:pPr>
        <w:tabs>
          <w:tab w:val="left" w:pos="630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1FB37EEC">
      <w:pPr>
        <w:tabs>
          <w:tab w:val="left" w:pos="5260"/>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p>
    <w:p w14:paraId="09CFA7F5">
      <w:pPr>
        <w:tabs>
          <w:tab w:val="left" w:pos="5260"/>
        </w:tabs>
        <w:autoSpaceDE w:val="0"/>
        <w:autoSpaceDN w:val="0"/>
        <w:adjustRightInd w:val="0"/>
        <w:snapToGrid w:val="0"/>
        <w:spacing w:line="480" w:lineRule="auto"/>
        <w:ind w:firstLine="420" w:firstLineChars="200"/>
        <w:jc w:val="left"/>
        <w:rPr>
          <w:rFonts w:ascii="宋体" w:hAnsi="宋体"/>
          <w:kern w:val="0"/>
          <w:szCs w:val="21"/>
        </w:rPr>
      </w:pPr>
      <w:r>
        <w:rPr>
          <w:rFonts w:ascii="宋体" w:hAnsi="宋体"/>
          <w:kern w:val="0"/>
          <w:szCs w:val="21"/>
        </w:rPr>
        <w:t>委托代理人：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w:t>
      </w:r>
    </w:p>
    <w:p w14:paraId="482E634E">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ascii="宋体" w:hAnsi="宋体"/>
          <w:kern w:val="0"/>
          <w:szCs w:val="21"/>
        </w:rPr>
        <w:t>身份证号码：</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u w:val="single"/>
        </w:rPr>
        <w:t xml:space="preserve">    </w:t>
      </w:r>
    </w:p>
    <w:p w14:paraId="10E93B9D">
      <w:pPr>
        <w:tabs>
          <w:tab w:val="left" w:pos="6825"/>
        </w:tabs>
        <w:autoSpaceDE w:val="0"/>
        <w:autoSpaceDN w:val="0"/>
        <w:adjustRightInd w:val="0"/>
        <w:snapToGrid w:val="0"/>
        <w:spacing w:line="480" w:lineRule="auto"/>
        <w:ind w:firstLine="420" w:firstLineChars="200"/>
        <w:jc w:val="left"/>
        <w:rPr>
          <w:rFonts w:hint="eastAsia" w:ascii="宋体" w:hAnsi="宋体"/>
          <w:kern w:val="0"/>
          <w:szCs w:val="21"/>
          <w:u w:val="single"/>
        </w:rPr>
      </w:pPr>
      <w:r>
        <w:rPr>
          <w:rFonts w:hint="eastAsia" w:ascii="宋体" w:hAnsi="宋体"/>
          <w:kern w:val="0"/>
          <w:szCs w:val="21"/>
        </w:rPr>
        <w:t>单位电话（座机）：</w:t>
      </w:r>
      <w:r>
        <w:rPr>
          <w:rFonts w:hint="eastAsia" w:ascii="宋体" w:hAnsi="宋体"/>
          <w:kern w:val="0"/>
          <w:szCs w:val="21"/>
          <w:u w:val="single"/>
        </w:rPr>
        <w:t xml:space="preserve">                                    </w:t>
      </w:r>
    </w:p>
    <w:p w14:paraId="743ABF4C">
      <w:pPr>
        <w:tabs>
          <w:tab w:val="left" w:pos="6825"/>
        </w:tabs>
        <w:autoSpaceDE w:val="0"/>
        <w:autoSpaceDN w:val="0"/>
        <w:adjustRightInd w:val="0"/>
        <w:snapToGrid w:val="0"/>
        <w:spacing w:line="480" w:lineRule="auto"/>
        <w:ind w:firstLine="420" w:firstLineChars="200"/>
        <w:jc w:val="left"/>
        <w:rPr>
          <w:rFonts w:hint="eastAsia" w:ascii="宋体" w:hAnsi="宋体"/>
          <w:kern w:val="0"/>
          <w:sz w:val="20"/>
          <w:szCs w:val="20"/>
          <w:u w:val="single"/>
        </w:rPr>
      </w:pPr>
      <w:r>
        <w:rPr>
          <w:rFonts w:hint="eastAsia" w:ascii="宋体" w:hAnsi="宋体"/>
          <w:kern w:val="0"/>
          <w:szCs w:val="21"/>
        </w:rPr>
        <w:t xml:space="preserve">委托代理人电话（手机）：                                                </w:t>
      </w:r>
    </w:p>
    <w:p w14:paraId="3F196CD5">
      <w:pPr>
        <w:tabs>
          <w:tab w:val="left" w:pos="6825"/>
        </w:tabs>
        <w:autoSpaceDE w:val="0"/>
        <w:autoSpaceDN w:val="0"/>
        <w:adjustRightInd w:val="0"/>
        <w:snapToGrid w:val="0"/>
        <w:spacing w:line="480" w:lineRule="auto"/>
        <w:jc w:val="left"/>
        <w:rPr>
          <w:rFonts w:hint="eastAsia" w:ascii="宋体" w:hAnsi="宋体"/>
          <w:kern w:val="0"/>
          <w:sz w:val="20"/>
          <w:szCs w:val="20"/>
        </w:rPr>
      </w:pPr>
    </w:p>
    <w:p w14:paraId="110CDB42">
      <w:pPr>
        <w:autoSpaceDE w:val="0"/>
        <w:autoSpaceDN w:val="0"/>
        <w:adjustRightInd w:val="0"/>
        <w:snapToGrid w:val="0"/>
        <w:spacing w:line="480" w:lineRule="auto"/>
        <w:ind w:firstLine="810" w:firstLineChars="386"/>
        <w:jc w:val="left"/>
        <w:rPr>
          <w:rFonts w:hint="eastAsia" w:ascii="宋体" w:hAnsi="宋体"/>
          <w:kern w:val="0"/>
          <w:szCs w:val="21"/>
        </w:rPr>
      </w:pPr>
      <w:r>
        <w:rPr>
          <w:rFonts w:hint="eastAsia" w:ascii="宋体" w:hAnsi="宋体"/>
          <w:kern w:val="0"/>
          <w:szCs w:val="21"/>
        </w:rPr>
        <w:t>附：法定代表人和委托代理人身份证扫描件（双面）</w:t>
      </w:r>
    </w:p>
    <w:p w14:paraId="66ED6CFA">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w w:val="200"/>
          <w:kern w:val="0"/>
          <w:szCs w:val="21"/>
          <w:u w:val="single"/>
        </w:rPr>
      </w:pPr>
    </w:p>
    <w:p w14:paraId="375E9944">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38F579E1">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063825C2">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4C14C03D">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49C0D0E8">
      <w:pPr>
        <w:tabs>
          <w:tab w:val="left" w:pos="4005"/>
          <w:tab w:val="left" w:pos="4100"/>
          <w:tab w:val="left" w:pos="5040"/>
        </w:tabs>
        <w:autoSpaceDE w:val="0"/>
        <w:autoSpaceDN w:val="0"/>
        <w:adjustRightInd w:val="0"/>
        <w:snapToGrid w:val="0"/>
        <w:spacing w:line="360" w:lineRule="auto"/>
        <w:ind w:firstLine="3780"/>
        <w:jc w:val="right"/>
        <w:rPr>
          <w:rFonts w:hint="eastAsia" w:ascii="宋体" w:hAnsi="宋体"/>
          <w:w w:val="200"/>
          <w:kern w:val="0"/>
          <w:szCs w:val="21"/>
          <w:u w:val="single"/>
        </w:rPr>
      </w:pPr>
    </w:p>
    <w:p w14:paraId="7AF199C0">
      <w:pPr>
        <w:autoSpaceDE w:val="0"/>
        <w:autoSpaceDN w:val="0"/>
        <w:adjustRightInd w:val="0"/>
        <w:snapToGrid w:val="0"/>
        <w:spacing w:line="480" w:lineRule="auto"/>
        <w:jc w:val="left"/>
        <w:rPr>
          <w:rFonts w:hint="eastAsia" w:ascii="宋体" w:hAnsi="宋体"/>
          <w:kern w:val="0"/>
          <w:sz w:val="20"/>
          <w:szCs w:val="20"/>
        </w:rPr>
      </w:pPr>
    </w:p>
    <w:p w14:paraId="1801ED4E">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kern w:val="0"/>
          <w:szCs w:val="21"/>
        </w:rPr>
      </w:pPr>
      <w:r>
        <w:rPr>
          <w:rFonts w:hint="eastAsia" w:ascii="宋体" w:hAnsi="宋体"/>
          <w:w w:val="200"/>
          <w:kern w:val="0"/>
          <w:szCs w:val="21"/>
          <w:u w:val="single"/>
        </w:rPr>
        <w:t xml:space="preserve">      </w:t>
      </w:r>
      <w:r>
        <w:rPr>
          <w:rFonts w:ascii="宋体" w:hAnsi="宋体"/>
          <w:kern w:val="0"/>
          <w:szCs w:val="21"/>
        </w:rPr>
        <w:t>年</w:t>
      </w:r>
      <w:r>
        <w:rPr>
          <w:rFonts w:ascii="宋体" w:hAnsi="宋体"/>
          <w:w w:val="200"/>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月</w:t>
      </w:r>
      <w:r>
        <w:rPr>
          <w:rFonts w:ascii="宋体" w:hAnsi="宋体"/>
          <w:w w:val="200"/>
          <w:kern w:val="0"/>
          <w:szCs w:val="21"/>
          <w:u w:val="single"/>
        </w:rPr>
        <w:t xml:space="preserve"> </w:t>
      </w:r>
      <w:r>
        <w:rPr>
          <w:rFonts w:ascii="宋体" w:hAnsi="宋体"/>
          <w:kern w:val="0"/>
          <w:szCs w:val="21"/>
          <w:u w:val="single"/>
        </w:rPr>
        <w:t xml:space="preserve">     </w:t>
      </w:r>
      <w:r>
        <w:rPr>
          <w:rFonts w:ascii="宋体" w:hAnsi="宋体"/>
          <w:kern w:val="0"/>
          <w:szCs w:val="21"/>
        </w:rPr>
        <w:t>日</w:t>
      </w:r>
    </w:p>
    <w:p w14:paraId="75FF2DF2">
      <w:pPr>
        <w:tabs>
          <w:tab w:val="left" w:pos="4005"/>
          <w:tab w:val="left" w:pos="4100"/>
          <w:tab w:val="left" w:pos="5040"/>
        </w:tabs>
        <w:wordWrap w:val="0"/>
        <w:autoSpaceDE w:val="0"/>
        <w:autoSpaceDN w:val="0"/>
        <w:adjustRightInd w:val="0"/>
        <w:snapToGrid w:val="0"/>
        <w:spacing w:line="360" w:lineRule="auto"/>
        <w:ind w:firstLine="3780"/>
        <w:jc w:val="right"/>
        <w:rPr>
          <w:rFonts w:hint="eastAsia" w:ascii="宋体" w:hAnsi="宋体"/>
          <w:kern w:val="0"/>
        </w:rPr>
      </w:pPr>
      <w:r>
        <w:rPr>
          <w:rFonts w:hint="eastAsia" w:ascii="宋体" w:hAnsi="宋体"/>
          <w:kern w:val="0"/>
          <w:szCs w:val="21"/>
        </w:rPr>
        <w:t xml:space="preserve"> </w:t>
      </w:r>
    </w:p>
    <w:p w14:paraId="239B1696">
      <w:pPr>
        <w:autoSpaceDE w:val="0"/>
        <w:autoSpaceDN w:val="0"/>
        <w:adjustRightInd w:val="0"/>
        <w:snapToGrid w:val="0"/>
        <w:spacing w:line="360" w:lineRule="auto"/>
        <w:ind w:firstLine="420" w:firstLineChars="200"/>
        <w:rPr>
          <w:rFonts w:hint="eastAsia" w:ascii="宋体" w:hAnsi="宋体"/>
          <w:kern w:val="0"/>
          <w:szCs w:val="21"/>
        </w:rPr>
      </w:pPr>
      <w:r>
        <w:rPr>
          <w:rFonts w:ascii="宋体" w:hAnsi="宋体"/>
          <w:kern w:val="0"/>
          <w:szCs w:val="21"/>
        </w:rPr>
        <w:t>注：1、法定代表人参加投标活动并签署文件的不需要授权委托书，只需提供法定代表人身份证明；非法定代表人参加投标活动及签署文件的除提供法定代表人身份证明外还须提供授权委托书。</w:t>
      </w:r>
    </w:p>
    <w:p w14:paraId="0E93A533">
      <w:pPr>
        <w:autoSpaceDE w:val="0"/>
        <w:autoSpaceDN w:val="0"/>
        <w:adjustRightInd w:val="0"/>
        <w:snapToGrid w:val="0"/>
        <w:spacing w:line="360" w:lineRule="auto"/>
        <w:ind w:firstLine="420" w:firstLineChars="200"/>
        <w:rPr>
          <w:rFonts w:hint="eastAsia" w:ascii="宋体" w:hAnsi="宋体"/>
        </w:rPr>
      </w:pPr>
      <w:r>
        <w:rPr>
          <w:rFonts w:hint="eastAsia" w:ascii="宋体" w:hAnsi="宋体"/>
          <w:kern w:val="0"/>
          <w:szCs w:val="21"/>
        </w:rPr>
        <w:t>2、</w:t>
      </w:r>
      <w:r>
        <w:rPr>
          <w:rFonts w:hint="eastAsia" w:ascii="宋体" w:hAnsi="宋体"/>
        </w:rPr>
        <w:t>授权委托书</w:t>
      </w:r>
      <w:r>
        <w:rPr>
          <w:rFonts w:ascii="宋体" w:hAnsi="宋体"/>
        </w:rPr>
        <w:t>需按上述格式填写完整，不可缺少内容。在此基础上增加内容的不影响其有效性。</w:t>
      </w:r>
    </w:p>
    <w:p w14:paraId="35E22E24">
      <w:pPr>
        <w:pStyle w:val="2"/>
      </w:pPr>
    </w:p>
    <w:p w14:paraId="21167EBC">
      <w:pPr>
        <w:autoSpaceDE w:val="0"/>
        <w:autoSpaceDN w:val="0"/>
        <w:adjustRightInd w:val="0"/>
        <w:snapToGrid w:val="0"/>
        <w:jc w:val="center"/>
        <w:rPr>
          <w:rFonts w:ascii="宋体" w:hAnsi="宋体"/>
        </w:rPr>
      </w:pPr>
      <w:r>
        <w:rPr>
          <w:rFonts w:ascii="宋体" w:hAnsi="宋体"/>
        </w:rPr>
        <w:br w:type="page"/>
      </w:r>
    </w:p>
    <w:p w14:paraId="00F56FDE">
      <w:pPr>
        <w:pStyle w:val="5"/>
        <w:spacing w:before="0" w:after="0" w:line="240" w:lineRule="auto"/>
        <w:jc w:val="center"/>
        <w:rPr>
          <w:rFonts w:ascii="宋体" w:hAnsi="宋体"/>
          <w:b w:val="0"/>
          <w:bCs w:val="0"/>
        </w:rPr>
      </w:pPr>
      <w:bookmarkStart w:id="1008" w:name="_Toc430530547"/>
      <w:bookmarkStart w:id="1009" w:name="_Toc33106477"/>
      <w:bookmarkStart w:id="1010" w:name="_Toc57796020"/>
      <w:bookmarkStart w:id="1011" w:name="_Toc10201"/>
      <w:bookmarkStart w:id="1012" w:name="_Toc287607884"/>
      <w:bookmarkStart w:id="1013" w:name="_Toc224103512"/>
      <w:bookmarkStart w:id="1014" w:name="_Toc287620831"/>
      <w:bookmarkStart w:id="1015" w:name="_Toc277082658"/>
      <w:r>
        <w:rPr>
          <w:rFonts w:hint="eastAsia" w:ascii="宋体" w:hAnsi="宋体"/>
          <w:b w:val="0"/>
          <w:bCs w:val="0"/>
        </w:rPr>
        <w:t>（二）联合体协议书</w:t>
      </w:r>
      <w:bookmarkEnd w:id="1008"/>
      <w:bookmarkEnd w:id="1009"/>
      <w:r>
        <w:rPr>
          <w:rFonts w:hint="eastAsia" w:ascii="宋体" w:hAnsi="宋体"/>
          <w:b w:val="0"/>
          <w:bCs w:val="0"/>
        </w:rPr>
        <w:t>（如有）</w:t>
      </w:r>
      <w:bookmarkEnd w:id="1010"/>
      <w:bookmarkEnd w:id="1011"/>
    </w:p>
    <w:p w14:paraId="5A93B3CA">
      <w:pPr>
        <w:autoSpaceDE w:val="0"/>
        <w:autoSpaceDN w:val="0"/>
        <w:adjustRightInd w:val="0"/>
        <w:snapToGrid w:val="0"/>
        <w:spacing w:line="500" w:lineRule="exact"/>
        <w:ind w:firstLine="216" w:firstLineChars="103"/>
        <w:rPr>
          <w:rFonts w:ascii="宋体" w:hAnsi="宋体"/>
          <w:snapToGrid w:val="0"/>
          <w:kern w:val="0"/>
          <w:szCs w:val="21"/>
        </w:rPr>
      </w:pP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（所有成员单位名称）</w:t>
      </w:r>
      <w:r>
        <w:rPr>
          <w:rFonts w:ascii="宋体" w:hAnsi="宋体"/>
          <w:snapToGrid w:val="0"/>
          <w:kern w:val="0"/>
          <w:szCs w:val="21"/>
        </w:rPr>
        <w:t>自愿组成联合体，共同参加</w:t>
      </w:r>
      <w:r>
        <w:rPr>
          <w:rFonts w:ascii="宋体" w:hAnsi="宋体"/>
          <w:snapToGrid w:val="0"/>
          <w:kern w:val="0"/>
          <w:szCs w:val="21"/>
          <w:u w:val="single"/>
        </w:rPr>
        <w:tab/>
      </w:r>
      <w:r>
        <w:rPr>
          <w:rFonts w:hint="eastAsia" w:ascii="宋体" w:hAnsi="宋体"/>
          <w:snapToGrid w:val="0"/>
          <w:kern w:val="0"/>
          <w:szCs w:val="21"/>
          <w:u w:val="single"/>
        </w:rPr>
        <w:t xml:space="preserve">      </w:t>
      </w:r>
      <w:r>
        <w:rPr>
          <w:rFonts w:ascii="宋体" w:hAnsi="宋体"/>
          <w:snapToGrid w:val="0"/>
          <w:kern w:val="0"/>
          <w:szCs w:val="21"/>
          <w:u w:val="single"/>
        </w:rPr>
        <w:t>（项目名称）</w:t>
      </w:r>
      <w:r>
        <w:rPr>
          <w:rFonts w:ascii="宋体" w:hAnsi="宋体"/>
          <w:snapToGrid w:val="0"/>
          <w:kern w:val="0"/>
          <w:szCs w:val="21"/>
        </w:rPr>
        <w:t>投标。现就联合体投标事宜订立如下协议。</w:t>
      </w:r>
    </w:p>
    <w:p w14:paraId="7F69BF19">
      <w:pPr>
        <w:tabs>
          <w:tab w:val="left" w:pos="3465"/>
          <w:tab w:val="left" w:pos="4200"/>
        </w:tabs>
        <w:autoSpaceDE w:val="0"/>
        <w:autoSpaceDN w:val="0"/>
        <w:adjustRightInd w:val="0"/>
        <w:snapToGrid w:val="0"/>
        <w:spacing w:line="500" w:lineRule="exact"/>
        <w:ind w:firstLine="405" w:firstLineChars="193"/>
        <w:jc w:val="left"/>
        <w:rPr>
          <w:rFonts w:ascii="宋体" w:hAnsi="宋体"/>
          <w:snapToGrid w:val="0"/>
          <w:kern w:val="0"/>
          <w:szCs w:val="21"/>
        </w:rPr>
      </w:pPr>
      <w:r>
        <w:rPr>
          <w:rFonts w:ascii="宋体" w:hAnsi="宋体"/>
          <w:snapToGrid w:val="0"/>
          <w:kern w:val="0"/>
          <w:szCs w:val="21"/>
        </w:rPr>
        <w:t>1.</w:t>
      </w:r>
      <w:r>
        <w:rPr>
          <w:rFonts w:ascii="宋体" w:hAnsi="宋体"/>
          <w:snapToGrid w:val="0"/>
          <w:kern w:val="0"/>
          <w:szCs w:val="21"/>
          <w:u w:val="single"/>
        </w:rPr>
        <w:tab/>
      </w:r>
      <w:r>
        <w:rPr>
          <w:rFonts w:ascii="宋体" w:hAnsi="宋体"/>
          <w:snapToGrid w:val="0"/>
          <w:kern w:val="0"/>
          <w:szCs w:val="21"/>
          <w:u w:val="single"/>
        </w:rPr>
        <w:t>（某成员单位名称）</w:t>
      </w:r>
      <w:r>
        <w:rPr>
          <w:rFonts w:hint="eastAsia" w:ascii="宋体" w:hAnsi="宋体"/>
          <w:snapToGrid w:val="0"/>
          <w:kern w:val="0"/>
          <w:szCs w:val="21"/>
          <w:lang w:eastAsia="zh-CN"/>
        </w:rPr>
        <w:t>为</w:t>
      </w:r>
      <w:r>
        <w:rPr>
          <w:rFonts w:hint="eastAsia" w:ascii="宋体" w:hAnsi="宋体"/>
          <w:snapToGrid w:val="0"/>
          <w:kern w:val="0"/>
          <w:szCs w:val="21"/>
          <w:u w:val="single"/>
        </w:rPr>
        <w:tab/>
      </w:r>
      <w:r>
        <w:rPr>
          <w:rFonts w:hint="eastAsia" w:ascii="宋体" w:hAnsi="宋体"/>
          <w:snapToGrid w:val="0"/>
          <w:kern w:val="0"/>
          <w:szCs w:val="21"/>
          <w:u w:val="single"/>
        </w:rPr>
        <w:t xml:space="preserve">      （项目名称）</w:t>
      </w:r>
      <w:r>
        <w:rPr>
          <w:rFonts w:ascii="宋体" w:hAnsi="宋体"/>
          <w:snapToGrid w:val="0"/>
          <w:kern w:val="0"/>
          <w:szCs w:val="21"/>
        </w:rPr>
        <w:t>联合体牵头人。由联合体牵头人单位递交投标保证金。</w:t>
      </w:r>
    </w:p>
    <w:p w14:paraId="29C36936">
      <w:pPr>
        <w:autoSpaceDE w:val="0"/>
        <w:autoSpaceDN w:val="0"/>
        <w:adjustRightInd w:val="0"/>
        <w:snapToGrid w:val="0"/>
        <w:spacing w:line="500" w:lineRule="exact"/>
        <w:ind w:firstLine="420"/>
        <w:rPr>
          <w:rFonts w:ascii="宋体" w:hAnsi="宋体"/>
          <w:snapToGrid w:val="0"/>
          <w:kern w:val="0"/>
          <w:szCs w:val="21"/>
        </w:rPr>
      </w:pPr>
      <w:r>
        <w:rPr>
          <w:rFonts w:ascii="宋体" w:hAnsi="宋体"/>
          <w:snapToGrid w:val="0"/>
          <w:kern w:val="0"/>
          <w:szCs w:val="21"/>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6130EAA0">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3.联合体将严格按照招标文件的各项要求，递交投标文件，履行合同，并对外承担连带责任。</w:t>
      </w:r>
    </w:p>
    <w:p w14:paraId="53CD69B3">
      <w:pPr>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4.联合体牵头人代表联合体签署投标文件</w:t>
      </w:r>
      <w:r>
        <w:rPr>
          <w:rFonts w:ascii="宋体" w:hAnsi="宋体"/>
          <w:spacing w:val="-19"/>
          <w:kern w:val="0"/>
          <w:szCs w:val="21"/>
        </w:rPr>
        <w:t>，</w:t>
      </w:r>
      <w:r>
        <w:rPr>
          <w:rFonts w:ascii="宋体" w:hAnsi="宋体"/>
          <w:kern w:val="0"/>
          <w:szCs w:val="21"/>
        </w:rPr>
        <w:t>联合体牵头人的所有承诺均认为代表了联合体各成员。</w:t>
      </w:r>
    </w:p>
    <w:p w14:paraId="5D9B1FA9">
      <w:pPr>
        <w:autoSpaceDE w:val="0"/>
        <w:autoSpaceDN w:val="0"/>
        <w:adjustRightInd w:val="0"/>
        <w:spacing w:line="500" w:lineRule="exact"/>
        <w:ind w:firstLine="420" w:firstLineChars="200"/>
        <w:jc w:val="left"/>
        <w:rPr>
          <w:rFonts w:ascii="宋体" w:hAnsi="宋体"/>
          <w:kern w:val="0"/>
          <w:szCs w:val="21"/>
        </w:rPr>
      </w:pPr>
      <w:r>
        <w:rPr>
          <w:rFonts w:ascii="宋体" w:hAnsi="宋体"/>
          <w:snapToGrid w:val="0"/>
          <w:kern w:val="0"/>
          <w:szCs w:val="21"/>
        </w:rPr>
        <w:t>5.</w:t>
      </w:r>
      <w:r>
        <w:rPr>
          <w:rFonts w:ascii="宋体" w:hAnsi="宋体"/>
          <w:kern w:val="0"/>
          <w:szCs w:val="21"/>
        </w:rPr>
        <w:t>联合体各成员单位内部的职责分工如下：</w:t>
      </w:r>
    </w:p>
    <w:tbl>
      <w:tblPr>
        <w:tblStyle w:val="31"/>
        <w:tblW w:w="95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410"/>
        <w:gridCol w:w="2885"/>
      </w:tblGrid>
      <w:tr w14:paraId="1C99F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2A4B7095">
            <w:pPr>
              <w:autoSpaceDE w:val="0"/>
              <w:autoSpaceDN w:val="0"/>
              <w:adjustRightInd w:val="0"/>
              <w:snapToGrid w:val="0"/>
              <w:spacing w:line="500" w:lineRule="exact"/>
              <w:jc w:val="center"/>
              <w:rPr>
                <w:rFonts w:ascii="宋体" w:hAnsi="宋体"/>
                <w:snapToGrid w:val="0"/>
                <w:kern w:val="0"/>
                <w:szCs w:val="21"/>
              </w:rPr>
            </w:pPr>
            <w:r>
              <w:rPr>
                <w:rFonts w:hint="eastAsia" w:ascii="宋体" w:hAnsi="宋体"/>
                <w:snapToGrid w:val="0"/>
                <w:kern w:val="0"/>
                <w:szCs w:val="21"/>
              </w:rPr>
              <w:t>联合体成员</w:t>
            </w:r>
            <w:r>
              <w:rPr>
                <w:rFonts w:ascii="宋体" w:hAnsi="宋体"/>
                <w:snapToGrid w:val="0"/>
                <w:kern w:val="0"/>
                <w:szCs w:val="21"/>
              </w:rPr>
              <w:t>名称</w:t>
            </w:r>
          </w:p>
        </w:tc>
        <w:tc>
          <w:tcPr>
            <w:tcW w:w="2410" w:type="dxa"/>
            <w:vAlign w:val="top"/>
          </w:tcPr>
          <w:p w14:paraId="17CAFBCF">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14:paraId="56FADE2F">
            <w:pPr>
              <w:autoSpaceDE w:val="0"/>
              <w:autoSpaceDN w:val="0"/>
              <w:adjustRightInd w:val="0"/>
              <w:snapToGrid w:val="0"/>
              <w:spacing w:line="500" w:lineRule="exact"/>
              <w:jc w:val="center"/>
              <w:rPr>
                <w:rFonts w:ascii="宋体" w:hAnsi="宋体"/>
                <w:snapToGrid w:val="0"/>
                <w:kern w:val="0"/>
                <w:szCs w:val="21"/>
              </w:rPr>
            </w:pPr>
            <w:r>
              <w:rPr>
                <w:rFonts w:ascii="宋体" w:hAnsi="宋体"/>
                <w:snapToGrid w:val="0"/>
                <w:kern w:val="0"/>
                <w:szCs w:val="21"/>
              </w:rPr>
              <w:t>职责分工</w:t>
            </w:r>
          </w:p>
        </w:tc>
      </w:tr>
      <w:tr w14:paraId="5922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09D94FA3">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联合体牵头人名称</w:t>
            </w:r>
          </w:p>
        </w:tc>
        <w:tc>
          <w:tcPr>
            <w:tcW w:w="2410" w:type="dxa"/>
            <w:vAlign w:val="top"/>
          </w:tcPr>
          <w:p w14:paraId="0DD30A9E">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14:paraId="08916263">
            <w:pPr>
              <w:autoSpaceDE w:val="0"/>
              <w:autoSpaceDN w:val="0"/>
              <w:adjustRightInd w:val="0"/>
              <w:snapToGrid w:val="0"/>
              <w:spacing w:line="500" w:lineRule="exact"/>
              <w:ind w:firstLine="420"/>
              <w:jc w:val="left"/>
              <w:rPr>
                <w:rFonts w:ascii="宋体" w:hAnsi="宋体"/>
                <w:snapToGrid w:val="0"/>
                <w:kern w:val="0"/>
                <w:szCs w:val="21"/>
              </w:rPr>
            </w:pPr>
          </w:p>
        </w:tc>
      </w:tr>
      <w:tr w14:paraId="74EBD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41DEA42E">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联合体其他成员单位一名称</w:t>
            </w:r>
          </w:p>
        </w:tc>
        <w:tc>
          <w:tcPr>
            <w:tcW w:w="2410" w:type="dxa"/>
            <w:vAlign w:val="top"/>
          </w:tcPr>
          <w:p w14:paraId="55B29581">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14:paraId="24C9A432">
            <w:pPr>
              <w:autoSpaceDE w:val="0"/>
              <w:autoSpaceDN w:val="0"/>
              <w:adjustRightInd w:val="0"/>
              <w:snapToGrid w:val="0"/>
              <w:spacing w:line="500" w:lineRule="exact"/>
              <w:ind w:firstLine="420"/>
              <w:jc w:val="left"/>
              <w:rPr>
                <w:rFonts w:ascii="宋体" w:hAnsi="宋体"/>
                <w:snapToGrid w:val="0"/>
                <w:kern w:val="0"/>
                <w:szCs w:val="21"/>
              </w:rPr>
            </w:pPr>
          </w:p>
        </w:tc>
      </w:tr>
      <w:tr w14:paraId="53F16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5C99E084">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联合体其他成员单位二名称</w:t>
            </w:r>
          </w:p>
        </w:tc>
        <w:tc>
          <w:tcPr>
            <w:tcW w:w="2410" w:type="dxa"/>
            <w:vAlign w:val="top"/>
          </w:tcPr>
          <w:p w14:paraId="253288B8">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社会信用代码</w:t>
            </w:r>
          </w:p>
        </w:tc>
        <w:tc>
          <w:tcPr>
            <w:tcW w:w="2885" w:type="dxa"/>
            <w:vAlign w:val="top"/>
          </w:tcPr>
          <w:p w14:paraId="688F1F92">
            <w:pPr>
              <w:autoSpaceDE w:val="0"/>
              <w:autoSpaceDN w:val="0"/>
              <w:adjustRightInd w:val="0"/>
              <w:snapToGrid w:val="0"/>
              <w:spacing w:line="500" w:lineRule="exact"/>
              <w:ind w:firstLine="420"/>
              <w:jc w:val="left"/>
              <w:rPr>
                <w:rFonts w:ascii="宋体" w:hAnsi="宋体"/>
                <w:snapToGrid w:val="0"/>
                <w:kern w:val="0"/>
                <w:szCs w:val="21"/>
              </w:rPr>
            </w:pPr>
          </w:p>
        </w:tc>
      </w:tr>
      <w:tr w14:paraId="62E9F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vAlign w:val="top"/>
          </w:tcPr>
          <w:p w14:paraId="6945FC6D">
            <w:pPr>
              <w:autoSpaceDE w:val="0"/>
              <w:autoSpaceDN w:val="0"/>
              <w:adjustRightInd w:val="0"/>
              <w:snapToGrid w:val="0"/>
              <w:spacing w:line="500" w:lineRule="exact"/>
              <w:ind w:firstLine="420"/>
              <w:jc w:val="left"/>
              <w:rPr>
                <w:rFonts w:ascii="宋体" w:hAnsi="宋体"/>
                <w:snapToGrid w:val="0"/>
                <w:kern w:val="0"/>
                <w:szCs w:val="21"/>
              </w:rPr>
            </w:pPr>
            <w:r>
              <w:rPr>
                <w:rFonts w:ascii="宋体" w:hAnsi="宋体"/>
                <w:snapToGrid w:val="0"/>
                <w:kern w:val="0"/>
                <w:szCs w:val="21"/>
              </w:rPr>
              <w:t>……</w:t>
            </w:r>
          </w:p>
        </w:tc>
        <w:tc>
          <w:tcPr>
            <w:tcW w:w="2410" w:type="dxa"/>
            <w:vAlign w:val="top"/>
          </w:tcPr>
          <w:p w14:paraId="41F3032A">
            <w:pPr>
              <w:autoSpaceDE w:val="0"/>
              <w:autoSpaceDN w:val="0"/>
              <w:adjustRightInd w:val="0"/>
              <w:snapToGrid w:val="0"/>
              <w:spacing w:line="500" w:lineRule="exact"/>
              <w:ind w:firstLine="420"/>
              <w:jc w:val="left"/>
              <w:rPr>
                <w:rFonts w:ascii="宋体" w:hAnsi="宋体"/>
                <w:snapToGrid w:val="0"/>
                <w:kern w:val="0"/>
                <w:szCs w:val="21"/>
              </w:rPr>
            </w:pPr>
          </w:p>
        </w:tc>
        <w:tc>
          <w:tcPr>
            <w:tcW w:w="2885" w:type="dxa"/>
            <w:vAlign w:val="top"/>
          </w:tcPr>
          <w:p w14:paraId="408570D5">
            <w:pPr>
              <w:autoSpaceDE w:val="0"/>
              <w:autoSpaceDN w:val="0"/>
              <w:adjustRightInd w:val="0"/>
              <w:snapToGrid w:val="0"/>
              <w:spacing w:line="500" w:lineRule="exact"/>
              <w:ind w:firstLine="420"/>
              <w:jc w:val="left"/>
              <w:rPr>
                <w:rFonts w:ascii="宋体" w:hAnsi="宋体"/>
                <w:snapToGrid w:val="0"/>
                <w:kern w:val="0"/>
                <w:szCs w:val="21"/>
              </w:rPr>
            </w:pPr>
          </w:p>
        </w:tc>
      </w:tr>
    </w:tbl>
    <w:p w14:paraId="41BAB8E6">
      <w:pPr>
        <w:tabs>
          <w:tab w:val="left" w:pos="2020"/>
          <w:tab w:val="left" w:pos="4680"/>
          <w:tab w:val="left" w:pos="7640"/>
          <w:tab w:val="left" w:pos="7820"/>
        </w:tabs>
        <w:autoSpaceDE w:val="0"/>
        <w:autoSpaceDN w:val="0"/>
        <w:adjustRightInd w:val="0"/>
        <w:spacing w:line="500" w:lineRule="exact"/>
        <w:ind w:firstLine="420" w:firstLineChars="200"/>
        <w:jc w:val="left"/>
        <w:rPr>
          <w:rFonts w:hint="eastAsia" w:ascii="宋体" w:hAnsi="宋体"/>
          <w:spacing w:val="7"/>
          <w:kern w:val="0"/>
          <w:szCs w:val="21"/>
        </w:rPr>
      </w:pPr>
      <w:r>
        <w:rPr>
          <w:rFonts w:ascii="宋体" w:hAnsi="宋体"/>
          <w:kern w:val="0"/>
          <w:szCs w:val="21"/>
        </w:rPr>
        <w:t>6</w:t>
      </w:r>
      <w:r>
        <w:rPr>
          <w:rFonts w:ascii="宋体" w:hAnsi="宋体"/>
          <w:spacing w:val="7"/>
          <w:kern w:val="0"/>
          <w:szCs w:val="21"/>
        </w:rPr>
        <w:t>.</w:t>
      </w:r>
      <w:r>
        <w:rPr>
          <w:rFonts w:hint="eastAsia" w:ascii="宋体" w:hAnsi="宋体"/>
          <w:spacing w:val="7"/>
          <w:kern w:val="0"/>
          <w:szCs w:val="21"/>
        </w:rPr>
        <w:t>由联合体牵头人委派本项目的委托代理人。</w:t>
      </w:r>
    </w:p>
    <w:p w14:paraId="5F8B9A8A">
      <w:pPr>
        <w:autoSpaceDE w:val="0"/>
        <w:autoSpaceDN w:val="0"/>
        <w:adjustRightInd w:val="0"/>
        <w:spacing w:line="500" w:lineRule="exact"/>
        <w:ind w:firstLine="448" w:firstLineChars="200"/>
        <w:jc w:val="left"/>
        <w:rPr>
          <w:rFonts w:ascii="宋体" w:hAnsi="宋体"/>
          <w:kern w:val="0"/>
          <w:szCs w:val="21"/>
        </w:rPr>
      </w:pPr>
      <w:r>
        <w:rPr>
          <w:rFonts w:hint="eastAsia" w:ascii="宋体" w:hAnsi="宋体"/>
          <w:spacing w:val="7"/>
          <w:kern w:val="0"/>
          <w:szCs w:val="21"/>
        </w:rPr>
        <w:t>7.</w:t>
      </w:r>
      <w:r>
        <w:rPr>
          <w:rFonts w:ascii="宋体" w:hAnsi="宋体"/>
          <w:spacing w:val="7"/>
          <w:kern w:val="0"/>
          <w:szCs w:val="21"/>
        </w:rPr>
        <w:t>投标工作和联合体</w:t>
      </w:r>
      <w:r>
        <w:rPr>
          <w:rFonts w:ascii="宋体" w:hAnsi="宋体"/>
          <w:spacing w:val="5"/>
          <w:kern w:val="0"/>
          <w:szCs w:val="21"/>
        </w:rPr>
        <w:t>在</w:t>
      </w:r>
      <w:r>
        <w:rPr>
          <w:rFonts w:ascii="宋体" w:hAnsi="宋体"/>
          <w:spacing w:val="7"/>
          <w:kern w:val="0"/>
          <w:szCs w:val="21"/>
        </w:rPr>
        <w:t>中标后工程实施过</w:t>
      </w:r>
      <w:r>
        <w:rPr>
          <w:rFonts w:ascii="宋体" w:hAnsi="宋体"/>
          <w:spacing w:val="5"/>
          <w:kern w:val="0"/>
          <w:szCs w:val="21"/>
        </w:rPr>
        <w:t>程</w:t>
      </w:r>
      <w:r>
        <w:rPr>
          <w:rFonts w:ascii="宋体" w:hAnsi="宋体"/>
          <w:spacing w:val="7"/>
          <w:kern w:val="0"/>
          <w:szCs w:val="21"/>
        </w:rPr>
        <w:t>中的有关费用按各</w:t>
      </w:r>
      <w:r>
        <w:rPr>
          <w:rFonts w:ascii="宋体" w:hAnsi="宋体"/>
          <w:spacing w:val="5"/>
          <w:kern w:val="0"/>
          <w:szCs w:val="21"/>
        </w:rPr>
        <w:t>自</w:t>
      </w:r>
      <w:r>
        <w:rPr>
          <w:rFonts w:ascii="宋体" w:hAnsi="宋体"/>
          <w:spacing w:val="7"/>
          <w:kern w:val="0"/>
          <w:szCs w:val="21"/>
        </w:rPr>
        <w:t>承担的工作</w:t>
      </w:r>
      <w:r>
        <w:rPr>
          <w:rFonts w:ascii="宋体" w:hAnsi="宋体"/>
          <w:kern w:val="0"/>
          <w:szCs w:val="21"/>
        </w:rPr>
        <w:t>量分摊。</w:t>
      </w:r>
    </w:p>
    <w:p w14:paraId="02501A84">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kern w:val="0"/>
          <w:szCs w:val="21"/>
        </w:rPr>
      </w:pPr>
      <w:r>
        <w:rPr>
          <w:rFonts w:hint="eastAsia" w:ascii="宋体" w:hAnsi="宋体"/>
          <w:snapToGrid w:val="0"/>
          <w:kern w:val="0"/>
          <w:szCs w:val="21"/>
        </w:rPr>
        <w:t>8</w:t>
      </w:r>
      <w:r>
        <w:rPr>
          <w:rFonts w:ascii="宋体" w:hAnsi="宋体"/>
          <w:snapToGrid w:val="0"/>
          <w:kern w:val="0"/>
          <w:szCs w:val="21"/>
        </w:rPr>
        <w:t>.本协议书自签署之日起生效，合同履行完毕后自动失效。</w:t>
      </w:r>
    </w:p>
    <w:p w14:paraId="20E35EE0">
      <w:pPr>
        <w:autoSpaceDE w:val="0"/>
        <w:autoSpaceDN w:val="0"/>
        <w:adjustRightInd w:val="0"/>
        <w:snapToGrid w:val="0"/>
        <w:spacing w:line="500" w:lineRule="exact"/>
        <w:ind w:firstLine="390" w:firstLineChars="186"/>
        <w:jc w:val="left"/>
        <w:rPr>
          <w:rFonts w:ascii="宋体" w:hAnsi="宋体"/>
          <w:snapToGrid w:val="0"/>
          <w:kern w:val="0"/>
          <w:szCs w:val="21"/>
        </w:rPr>
      </w:pPr>
      <w:r>
        <w:rPr>
          <w:rFonts w:hint="eastAsia" w:ascii="宋体" w:hAnsi="宋体"/>
          <w:snapToGrid w:val="0"/>
          <w:kern w:val="0"/>
          <w:szCs w:val="21"/>
        </w:rPr>
        <w:t>9</w:t>
      </w:r>
      <w:r>
        <w:rPr>
          <w:rFonts w:ascii="宋体" w:hAnsi="宋体"/>
          <w:snapToGrid w:val="0"/>
          <w:kern w:val="0"/>
          <w:szCs w:val="21"/>
        </w:rPr>
        <w:t>.本协议书一式</w:t>
      </w:r>
      <w:r>
        <w:rPr>
          <w:rFonts w:hint="eastAsia" w:ascii="宋体" w:hAnsi="宋体"/>
          <w:snapToGrid w:val="0"/>
          <w:kern w:val="0"/>
          <w:szCs w:val="21"/>
          <w:u w:val="single"/>
        </w:rPr>
        <w:t xml:space="preserve">    </w:t>
      </w:r>
      <w:r>
        <w:rPr>
          <w:rFonts w:ascii="宋体" w:hAnsi="宋体"/>
          <w:snapToGrid w:val="0"/>
          <w:kern w:val="0"/>
          <w:szCs w:val="21"/>
        </w:rPr>
        <w:t>份，联合体成员和招标人各执</w:t>
      </w:r>
      <w:r>
        <w:rPr>
          <w:rFonts w:hint="eastAsia" w:ascii="宋体" w:hAnsi="宋体"/>
          <w:snapToGrid w:val="0"/>
          <w:kern w:val="0"/>
          <w:szCs w:val="21"/>
          <w:u w:val="single"/>
        </w:rPr>
        <w:t xml:space="preserve">    </w:t>
      </w:r>
      <w:r>
        <w:rPr>
          <w:rFonts w:ascii="宋体" w:hAnsi="宋体"/>
          <w:snapToGrid w:val="0"/>
          <w:kern w:val="0"/>
          <w:szCs w:val="21"/>
        </w:rPr>
        <w:t>份。</w:t>
      </w:r>
    </w:p>
    <w:p w14:paraId="03030670">
      <w:pPr>
        <w:autoSpaceDE w:val="0"/>
        <w:autoSpaceDN w:val="0"/>
        <w:adjustRightInd w:val="0"/>
        <w:snapToGrid w:val="0"/>
        <w:spacing w:line="500" w:lineRule="exact"/>
        <w:ind w:firstLine="390" w:firstLineChars="186"/>
        <w:jc w:val="left"/>
        <w:rPr>
          <w:rFonts w:ascii="宋体" w:hAnsi="宋体"/>
          <w:snapToGrid w:val="0"/>
          <w:kern w:val="0"/>
          <w:szCs w:val="21"/>
        </w:rPr>
      </w:pPr>
    </w:p>
    <w:p w14:paraId="668E1C60">
      <w:pPr>
        <w:tabs>
          <w:tab w:val="left" w:pos="484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szCs w:val="21"/>
        </w:rPr>
        <w:t>牵头人名称：</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hint="eastAsia" w:ascii="宋体" w:hAnsi="宋体"/>
          <w:snapToGrid w:val="0"/>
          <w:w w:val="200"/>
          <w:kern w:val="0"/>
          <w:szCs w:val="21"/>
          <w:u w:val="single"/>
        </w:rPr>
        <w:t xml:space="preserve"> </w:t>
      </w:r>
      <w:r>
        <w:rPr>
          <w:rFonts w:ascii="宋体" w:hAnsi="宋体"/>
          <w:snapToGrid w:val="0"/>
          <w:w w:val="200"/>
          <w:kern w:val="0"/>
          <w:szCs w:val="21"/>
          <w:u w:val="single"/>
        </w:rPr>
        <w:t xml:space="preserve"> </w:t>
      </w:r>
      <w:r>
        <w:rPr>
          <w:rFonts w:ascii="宋体" w:hAnsi="宋体"/>
          <w:snapToGrid w:val="0"/>
          <w:kern w:val="0"/>
          <w:szCs w:val="21"/>
        </w:rPr>
        <w:t>（盖单位法人章）</w:t>
      </w:r>
    </w:p>
    <w:p w14:paraId="367AC24F">
      <w:pPr>
        <w:tabs>
          <w:tab w:val="left" w:pos="5260"/>
        </w:tabs>
        <w:autoSpaceDE w:val="0"/>
        <w:autoSpaceDN w:val="0"/>
        <w:adjustRightInd w:val="0"/>
        <w:snapToGrid w:val="0"/>
        <w:spacing w:line="500" w:lineRule="exact"/>
        <w:ind w:firstLine="420" w:firstLineChars="200"/>
        <w:jc w:val="left"/>
        <w:rPr>
          <w:rFonts w:ascii="宋体" w:hAnsi="宋体"/>
          <w:snapToGrid w:val="0"/>
          <w:kern w:val="0"/>
          <w:szCs w:val="21"/>
        </w:rPr>
      </w:pPr>
      <w:r>
        <w:rPr>
          <w:rFonts w:ascii="宋体" w:hAnsi="宋体"/>
          <w:snapToGrid w:val="0"/>
          <w:kern w:val="0"/>
          <w:position w:val="-2"/>
          <w:szCs w:val="21"/>
        </w:rPr>
        <w:t>法定代表人或其委托代理人：</w:t>
      </w:r>
      <w:r>
        <w:rPr>
          <w:rFonts w:hint="eastAsia" w:ascii="宋体" w:hAnsi="宋体"/>
          <w:snapToGrid w:val="0"/>
          <w:kern w:val="0"/>
          <w:position w:val="-2"/>
          <w:szCs w:val="21"/>
          <w:u w:val="single"/>
        </w:rPr>
        <w:t xml:space="preserve">                                    </w:t>
      </w:r>
      <w:r>
        <w:rPr>
          <w:rFonts w:ascii="宋体" w:hAnsi="宋体"/>
          <w:snapToGrid w:val="0"/>
          <w:kern w:val="0"/>
          <w:position w:val="-2"/>
          <w:szCs w:val="21"/>
        </w:rPr>
        <w:t>（</w:t>
      </w:r>
      <w:r>
        <w:rPr>
          <w:rFonts w:hint="eastAsia" w:ascii="宋体" w:hAnsi="宋体"/>
          <w:snapToGrid w:val="0"/>
          <w:kern w:val="0"/>
          <w:szCs w:val="21"/>
        </w:rPr>
        <w:t>签名</w:t>
      </w:r>
      <w:r>
        <w:rPr>
          <w:rFonts w:ascii="宋体" w:hAnsi="宋体"/>
          <w:snapToGrid w:val="0"/>
          <w:kern w:val="0"/>
          <w:szCs w:val="21"/>
        </w:rPr>
        <w:t>或盖章</w:t>
      </w:r>
      <w:r>
        <w:rPr>
          <w:rFonts w:ascii="宋体" w:hAnsi="宋体"/>
          <w:snapToGrid w:val="0"/>
          <w:kern w:val="0"/>
          <w:position w:val="-2"/>
          <w:szCs w:val="21"/>
        </w:rPr>
        <w:t>）</w:t>
      </w:r>
    </w:p>
    <w:p w14:paraId="35491F64">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w:t>
      </w:r>
      <w:r>
        <w:rPr>
          <w:rFonts w:ascii="宋体" w:hAnsi="宋体"/>
          <w:kern w:val="0"/>
          <w:szCs w:val="21"/>
        </w:rPr>
        <w:t>一名称：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14:paraId="0958A5F1">
      <w:pPr>
        <w:tabs>
          <w:tab w:val="left" w:pos="774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14:paraId="62A3D952">
      <w:pPr>
        <w:tabs>
          <w:tab w:val="left" w:pos="7890"/>
        </w:tabs>
        <w:autoSpaceDE w:val="0"/>
        <w:autoSpaceDN w:val="0"/>
        <w:adjustRightInd w:val="0"/>
        <w:spacing w:line="500" w:lineRule="exact"/>
        <w:ind w:firstLine="420" w:firstLineChars="200"/>
        <w:jc w:val="left"/>
        <w:rPr>
          <w:rFonts w:ascii="宋体" w:hAnsi="宋体"/>
          <w:kern w:val="0"/>
          <w:szCs w:val="21"/>
        </w:rPr>
      </w:pPr>
      <w:r>
        <w:rPr>
          <w:rFonts w:hint="eastAsia" w:ascii="宋体" w:hAnsi="宋体"/>
          <w:kern w:val="0"/>
          <w:szCs w:val="21"/>
        </w:rPr>
        <w:t>联合体其他成员单位二</w:t>
      </w:r>
      <w:r>
        <w:rPr>
          <w:rFonts w:ascii="宋体" w:hAnsi="宋体"/>
          <w:kern w:val="0"/>
          <w:szCs w:val="21"/>
        </w:rPr>
        <w:t>名称：</w:t>
      </w:r>
      <w:r>
        <w:rPr>
          <w:rFonts w:hint="eastAsia" w:ascii="宋体" w:hAnsi="宋体"/>
          <w:kern w:val="0"/>
          <w:szCs w:val="21"/>
          <w:u w:val="single"/>
        </w:rPr>
        <w:t xml:space="preserve">                                    </w:t>
      </w:r>
      <w:r>
        <w:rPr>
          <w:rFonts w:hint="eastAsia" w:ascii="宋体" w:hAnsi="宋体"/>
          <w:kern w:val="0"/>
          <w:szCs w:val="21"/>
        </w:rPr>
        <w:t>（</w:t>
      </w:r>
      <w:r>
        <w:rPr>
          <w:rFonts w:ascii="宋体" w:hAnsi="宋体"/>
          <w:kern w:val="0"/>
          <w:szCs w:val="21"/>
        </w:rPr>
        <w:t>盖单位法人章）</w:t>
      </w:r>
    </w:p>
    <w:p w14:paraId="1BBCF797">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法定代表人或其委托代理人</w:t>
      </w:r>
      <w:r>
        <w:rPr>
          <w:rFonts w:hint="eastAsia" w:ascii="宋体" w:hAnsi="宋体"/>
          <w:kern w:val="0"/>
          <w:szCs w:val="21"/>
        </w:rPr>
        <w:t>：</w:t>
      </w:r>
      <w:r>
        <w:rPr>
          <w:rFonts w:hint="eastAsia" w:ascii="宋体" w:hAnsi="宋体"/>
          <w:kern w:val="0"/>
          <w:szCs w:val="21"/>
          <w:u w:val="single"/>
        </w:rPr>
        <w:t xml:space="preserve">                                    </w:t>
      </w:r>
      <w:r>
        <w:rPr>
          <w:rFonts w:ascii="宋体" w:hAnsi="宋体"/>
          <w:spacing w:val="-1"/>
          <w:kern w:val="0"/>
          <w:szCs w:val="21"/>
        </w:rPr>
        <w:t>（</w:t>
      </w:r>
      <w:r>
        <w:rPr>
          <w:rFonts w:hint="eastAsia" w:ascii="宋体" w:hAnsi="宋体"/>
          <w:kern w:val="0"/>
          <w:szCs w:val="21"/>
        </w:rPr>
        <w:t>签名</w:t>
      </w:r>
      <w:r>
        <w:rPr>
          <w:rFonts w:ascii="宋体" w:hAnsi="宋体"/>
          <w:snapToGrid w:val="0"/>
          <w:kern w:val="0"/>
          <w:szCs w:val="21"/>
        </w:rPr>
        <w:t>或盖章</w:t>
      </w:r>
      <w:r>
        <w:rPr>
          <w:rFonts w:ascii="宋体" w:hAnsi="宋体"/>
          <w:kern w:val="0"/>
          <w:szCs w:val="21"/>
        </w:rPr>
        <w:t>）</w:t>
      </w:r>
    </w:p>
    <w:p w14:paraId="59A2ABBE">
      <w:pPr>
        <w:tabs>
          <w:tab w:val="left" w:pos="5140"/>
          <w:tab w:val="left" w:pos="6100"/>
          <w:tab w:val="left" w:pos="6820"/>
        </w:tabs>
        <w:autoSpaceDE w:val="0"/>
        <w:autoSpaceDN w:val="0"/>
        <w:adjustRightInd w:val="0"/>
        <w:spacing w:line="500" w:lineRule="exact"/>
        <w:ind w:firstLine="420" w:firstLineChars="200"/>
        <w:jc w:val="left"/>
        <w:rPr>
          <w:rFonts w:ascii="宋体" w:hAnsi="宋体"/>
          <w:kern w:val="0"/>
          <w:szCs w:val="21"/>
        </w:rPr>
      </w:pPr>
      <w:r>
        <w:rPr>
          <w:rFonts w:ascii="宋体" w:hAnsi="宋体"/>
          <w:kern w:val="0"/>
          <w:szCs w:val="21"/>
        </w:rPr>
        <w:t>……</w:t>
      </w:r>
    </w:p>
    <w:p w14:paraId="32D776D2">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kern w:val="0"/>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4B623299">
      <w:pPr>
        <w:spacing w:line="360" w:lineRule="auto"/>
        <w:jc w:val="left"/>
        <w:rPr>
          <w:rFonts w:ascii="宋体" w:hAnsi="宋体"/>
          <w:snapToGrid w:val="0"/>
          <w:szCs w:val="21"/>
        </w:rPr>
      </w:pPr>
    </w:p>
    <w:p w14:paraId="2957AA7A">
      <w:pPr>
        <w:spacing w:line="360" w:lineRule="auto"/>
        <w:ind w:firstLine="420" w:firstLineChars="200"/>
        <w:jc w:val="left"/>
        <w:rPr>
          <w:rFonts w:ascii="宋体" w:hAnsi="宋体"/>
          <w:szCs w:val="21"/>
        </w:rPr>
      </w:pPr>
      <w:r>
        <w:rPr>
          <w:rFonts w:ascii="宋体" w:hAnsi="宋体"/>
          <w:snapToGrid w:val="0"/>
          <w:szCs w:val="21"/>
        </w:rPr>
        <w:t>注：</w:t>
      </w:r>
      <w:r>
        <w:rPr>
          <w:rFonts w:hint="eastAsia" w:ascii="宋体" w:hAnsi="宋体"/>
          <w:snapToGrid w:val="0"/>
          <w:szCs w:val="21"/>
        </w:rPr>
        <w:t>1.在联合体协议书第5条联合体各成员单位内部的职责分工中填写的联合体所有成员单位名称应与其营业执照、资质证书、安全生产许可证一致（依法变更名称的应提交相应证明材料），否则由评标委员会作否决投标处理</w:t>
      </w:r>
      <w:r>
        <w:rPr>
          <w:rFonts w:ascii="宋体" w:hAnsi="宋体"/>
          <w:szCs w:val="21"/>
        </w:rPr>
        <w:t>。</w:t>
      </w:r>
      <w:bookmarkEnd w:id="1012"/>
      <w:bookmarkEnd w:id="1013"/>
      <w:bookmarkEnd w:id="1014"/>
      <w:bookmarkEnd w:id="1015"/>
    </w:p>
    <w:p w14:paraId="1DD431EB">
      <w:pPr>
        <w:spacing w:line="360" w:lineRule="auto"/>
        <w:ind w:firstLine="420" w:firstLineChars="200"/>
        <w:jc w:val="left"/>
        <w:rPr>
          <w:rFonts w:hint="eastAsia" w:ascii="宋体" w:hAnsi="宋体"/>
          <w:szCs w:val="21"/>
        </w:rPr>
      </w:pPr>
      <w:r>
        <w:rPr>
          <w:rFonts w:hint="eastAsia" w:ascii="宋体" w:hAnsi="宋体"/>
          <w:snapToGrid w:val="0"/>
          <w:szCs w:val="21"/>
        </w:rPr>
        <w:t>2.</w:t>
      </w:r>
      <w:r>
        <w:rPr>
          <w:rFonts w:ascii="宋体" w:hAnsi="宋体"/>
          <w:snapToGrid w:val="0"/>
          <w:szCs w:val="21"/>
        </w:rPr>
        <w:t>本协议书由委托代理人</w:t>
      </w:r>
      <w:r>
        <w:rPr>
          <w:rFonts w:hint="eastAsia" w:ascii="宋体" w:hAnsi="宋体"/>
          <w:snapToGrid w:val="0"/>
          <w:szCs w:val="21"/>
        </w:rPr>
        <w:t>签名</w:t>
      </w:r>
      <w:r>
        <w:rPr>
          <w:rFonts w:ascii="宋体" w:hAnsi="宋体"/>
          <w:snapToGrid w:val="0"/>
          <w:szCs w:val="21"/>
        </w:rPr>
        <w:t>或盖章的，应附法定代表人</w:t>
      </w:r>
      <w:r>
        <w:rPr>
          <w:rFonts w:hint="eastAsia" w:ascii="宋体" w:hAnsi="宋体"/>
          <w:snapToGrid w:val="0"/>
          <w:szCs w:val="21"/>
        </w:rPr>
        <w:t>签名</w:t>
      </w:r>
      <w:r>
        <w:rPr>
          <w:rFonts w:ascii="宋体" w:hAnsi="宋体"/>
          <w:snapToGrid w:val="0"/>
          <w:szCs w:val="21"/>
        </w:rPr>
        <w:t>或盖章的授权委托书</w:t>
      </w:r>
      <w:r>
        <w:rPr>
          <w:rFonts w:hint="eastAsia" w:ascii="宋体" w:hAnsi="宋体"/>
          <w:snapToGrid w:val="0"/>
          <w:szCs w:val="21"/>
        </w:rPr>
        <w:t>。</w:t>
      </w:r>
    </w:p>
    <w:bookmarkEnd w:id="999"/>
    <w:p w14:paraId="5571AF8B">
      <w:pPr>
        <w:rPr>
          <w:rFonts w:hint="eastAsia" w:ascii="宋体" w:hAnsi="宋体"/>
        </w:rPr>
      </w:pPr>
      <w:bookmarkStart w:id="1016" w:name="_Toc57796021"/>
      <w:bookmarkStart w:id="1017" w:name="_Toc33106478"/>
      <w:r>
        <w:rPr>
          <w:rFonts w:hint="eastAsia" w:ascii="宋体" w:hAnsi="宋体"/>
        </w:rPr>
        <w:br w:type="page"/>
      </w:r>
    </w:p>
    <w:p w14:paraId="2173F492">
      <w:pPr>
        <w:pStyle w:val="5"/>
        <w:spacing w:before="0" w:after="0" w:line="240" w:lineRule="auto"/>
        <w:jc w:val="center"/>
        <w:rPr>
          <w:rFonts w:ascii="宋体" w:hAnsi="宋体"/>
        </w:rPr>
      </w:pPr>
      <w:bookmarkStart w:id="1018" w:name="_Toc28772"/>
      <w:r>
        <w:rPr>
          <w:rFonts w:hint="eastAsia" w:ascii="宋体" w:hAnsi="宋体"/>
          <w:b w:val="0"/>
          <w:bCs w:val="0"/>
        </w:rPr>
        <w:t>（三）投标人基本情况表</w:t>
      </w:r>
      <w:bookmarkEnd w:id="1016"/>
      <w:bookmarkEnd w:id="1017"/>
      <w:bookmarkEnd w:id="1018"/>
    </w:p>
    <w:tbl>
      <w:tblPr>
        <w:tblStyle w:val="31"/>
        <w:tblW w:w="9469"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39C1F8D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E983D61">
            <w:pPr>
              <w:autoSpaceDE w:val="0"/>
              <w:autoSpaceDN w:val="0"/>
              <w:adjustRightInd w:val="0"/>
              <w:snapToGrid w:val="0"/>
              <w:jc w:val="center"/>
              <w:rPr>
                <w:rFonts w:ascii="宋体" w:hAnsi="宋体"/>
                <w:kern w:val="0"/>
                <w:szCs w:val="21"/>
              </w:rPr>
            </w:pPr>
            <w:r>
              <w:rPr>
                <w:rFonts w:hint="eastAsia" w:ascii="宋体" w:hAnsi="宋体" w:cs="MingLiU"/>
                <w:kern w:val="0"/>
                <w:szCs w:val="21"/>
              </w:rPr>
              <w:t>投标人名称</w:t>
            </w:r>
          </w:p>
        </w:tc>
        <w:tc>
          <w:tcPr>
            <w:tcW w:w="7607" w:type="dxa"/>
            <w:gridSpan w:val="9"/>
            <w:vAlign w:val="center"/>
          </w:tcPr>
          <w:p w14:paraId="4662E07B">
            <w:pPr>
              <w:autoSpaceDE w:val="0"/>
              <w:autoSpaceDN w:val="0"/>
              <w:adjustRightInd w:val="0"/>
              <w:snapToGrid w:val="0"/>
              <w:jc w:val="center"/>
              <w:rPr>
                <w:rFonts w:ascii="宋体" w:hAnsi="宋体"/>
                <w:kern w:val="0"/>
                <w:szCs w:val="21"/>
              </w:rPr>
            </w:pPr>
          </w:p>
        </w:tc>
      </w:tr>
      <w:tr w14:paraId="37C883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4870940">
            <w:pPr>
              <w:autoSpaceDE w:val="0"/>
              <w:autoSpaceDN w:val="0"/>
              <w:adjustRightInd w:val="0"/>
              <w:snapToGrid w:val="0"/>
              <w:jc w:val="center"/>
              <w:rPr>
                <w:rFonts w:ascii="宋体" w:hAnsi="宋体"/>
                <w:kern w:val="0"/>
                <w:szCs w:val="21"/>
              </w:rPr>
            </w:pPr>
            <w:r>
              <w:rPr>
                <w:rFonts w:hint="eastAsia" w:ascii="宋体" w:hAnsi="宋体" w:cs="MingLiU"/>
                <w:kern w:val="0"/>
                <w:szCs w:val="21"/>
              </w:rPr>
              <w:t>注册地址</w:t>
            </w:r>
          </w:p>
        </w:tc>
        <w:tc>
          <w:tcPr>
            <w:tcW w:w="3450" w:type="dxa"/>
            <w:gridSpan w:val="5"/>
            <w:vAlign w:val="center"/>
          </w:tcPr>
          <w:p w14:paraId="128F48DF">
            <w:pPr>
              <w:autoSpaceDE w:val="0"/>
              <w:autoSpaceDN w:val="0"/>
              <w:adjustRightInd w:val="0"/>
              <w:snapToGrid w:val="0"/>
              <w:jc w:val="center"/>
              <w:rPr>
                <w:rFonts w:ascii="宋体" w:hAnsi="宋体"/>
                <w:kern w:val="0"/>
                <w:szCs w:val="21"/>
              </w:rPr>
            </w:pPr>
          </w:p>
        </w:tc>
        <w:tc>
          <w:tcPr>
            <w:tcW w:w="1392" w:type="dxa"/>
            <w:vAlign w:val="center"/>
          </w:tcPr>
          <w:p w14:paraId="2DEDAA67">
            <w:pPr>
              <w:autoSpaceDE w:val="0"/>
              <w:autoSpaceDN w:val="0"/>
              <w:adjustRightInd w:val="0"/>
              <w:snapToGrid w:val="0"/>
              <w:jc w:val="center"/>
              <w:rPr>
                <w:rFonts w:ascii="宋体" w:hAnsi="宋体"/>
                <w:kern w:val="0"/>
                <w:szCs w:val="21"/>
              </w:rPr>
            </w:pPr>
            <w:r>
              <w:rPr>
                <w:rFonts w:hint="eastAsia" w:ascii="宋体" w:hAnsi="宋体" w:cs="MingLiU"/>
                <w:kern w:val="0"/>
                <w:szCs w:val="21"/>
              </w:rPr>
              <w:t>邮政编码</w:t>
            </w:r>
          </w:p>
        </w:tc>
        <w:tc>
          <w:tcPr>
            <w:tcW w:w="2765" w:type="dxa"/>
            <w:gridSpan w:val="3"/>
            <w:vAlign w:val="center"/>
          </w:tcPr>
          <w:p w14:paraId="1583204A">
            <w:pPr>
              <w:autoSpaceDE w:val="0"/>
              <w:autoSpaceDN w:val="0"/>
              <w:adjustRightInd w:val="0"/>
              <w:snapToGrid w:val="0"/>
              <w:jc w:val="center"/>
              <w:rPr>
                <w:rFonts w:ascii="宋体" w:hAnsi="宋体"/>
                <w:kern w:val="0"/>
                <w:szCs w:val="21"/>
              </w:rPr>
            </w:pPr>
          </w:p>
        </w:tc>
      </w:tr>
      <w:tr w14:paraId="3EC61A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17FC69A7">
            <w:pPr>
              <w:autoSpaceDE w:val="0"/>
              <w:autoSpaceDN w:val="0"/>
              <w:adjustRightInd w:val="0"/>
              <w:snapToGrid w:val="0"/>
              <w:jc w:val="center"/>
              <w:rPr>
                <w:rFonts w:ascii="宋体" w:hAnsi="宋体"/>
                <w:kern w:val="0"/>
                <w:szCs w:val="21"/>
              </w:rPr>
            </w:pPr>
            <w:r>
              <w:rPr>
                <w:rFonts w:hint="eastAsia" w:ascii="宋体" w:hAnsi="宋体" w:cs="MingLiU"/>
                <w:kern w:val="0"/>
                <w:szCs w:val="21"/>
              </w:rPr>
              <w:t>联系方式</w:t>
            </w:r>
          </w:p>
        </w:tc>
        <w:tc>
          <w:tcPr>
            <w:tcW w:w="967" w:type="dxa"/>
            <w:vAlign w:val="center"/>
          </w:tcPr>
          <w:p w14:paraId="41A0EDDA">
            <w:pPr>
              <w:autoSpaceDE w:val="0"/>
              <w:autoSpaceDN w:val="0"/>
              <w:adjustRightInd w:val="0"/>
              <w:snapToGrid w:val="0"/>
              <w:jc w:val="center"/>
              <w:rPr>
                <w:rFonts w:ascii="宋体" w:hAnsi="宋体"/>
                <w:kern w:val="0"/>
                <w:szCs w:val="21"/>
              </w:rPr>
            </w:pPr>
            <w:r>
              <w:rPr>
                <w:rFonts w:hint="eastAsia" w:ascii="宋体" w:hAnsi="宋体" w:cs="MingLiU"/>
                <w:kern w:val="0"/>
                <w:szCs w:val="21"/>
              </w:rPr>
              <w:t>联系人</w:t>
            </w:r>
          </w:p>
        </w:tc>
        <w:tc>
          <w:tcPr>
            <w:tcW w:w="2483" w:type="dxa"/>
            <w:gridSpan w:val="4"/>
            <w:vAlign w:val="center"/>
          </w:tcPr>
          <w:p w14:paraId="15698910">
            <w:pPr>
              <w:autoSpaceDE w:val="0"/>
              <w:autoSpaceDN w:val="0"/>
              <w:adjustRightInd w:val="0"/>
              <w:snapToGrid w:val="0"/>
              <w:jc w:val="center"/>
              <w:rPr>
                <w:rFonts w:ascii="宋体" w:hAnsi="宋体"/>
                <w:kern w:val="0"/>
                <w:szCs w:val="21"/>
              </w:rPr>
            </w:pPr>
          </w:p>
        </w:tc>
        <w:tc>
          <w:tcPr>
            <w:tcW w:w="1392" w:type="dxa"/>
            <w:vAlign w:val="center"/>
          </w:tcPr>
          <w:p w14:paraId="30C1FC97">
            <w:pPr>
              <w:autoSpaceDE w:val="0"/>
              <w:autoSpaceDN w:val="0"/>
              <w:adjustRightInd w:val="0"/>
              <w:snapToGrid w:val="0"/>
              <w:jc w:val="center"/>
              <w:rPr>
                <w:rFonts w:ascii="宋体" w:hAnsi="宋体"/>
                <w:kern w:val="0"/>
                <w:szCs w:val="21"/>
              </w:rPr>
            </w:pPr>
            <w:r>
              <w:rPr>
                <w:rFonts w:hint="eastAsia" w:ascii="宋体" w:hAnsi="宋体" w:cs="MingLiU"/>
                <w:kern w:val="0"/>
                <w:szCs w:val="21"/>
              </w:rPr>
              <w:t>电话</w:t>
            </w:r>
          </w:p>
        </w:tc>
        <w:tc>
          <w:tcPr>
            <w:tcW w:w="2765" w:type="dxa"/>
            <w:gridSpan w:val="3"/>
            <w:vAlign w:val="center"/>
          </w:tcPr>
          <w:p w14:paraId="06B01BD0">
            <w:pPr>
              <w:autoSpaceDE w:val="0"/>
              <w:autoSpaceDN w:val="0"/>
              <w:adjustRightInd w:val="0"/>
              <w:snapToGrid w:val="0"/>
              <w:jc w:val="center"/>
              <w:rPr>
                <w:rFonts w:ascii="宋体" w:hAnsi="宋体"/>
                <w:kern w:val="0"/>
                <w:szCs w:val="21"/>
              </w:rPr>
            </w:pPr>
          </w:p>
        </w:tc>
      </w:tr>
      <w:tr w14:paraId="691BBD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384F6B1A">
            <w:pPr>
              <w:autoSpaceDE w:val="0"/>
              <w:autoSpaceDN w:val="0"/>
              <w:adjustRightInd w:val="0"/>
              <w:snapToGrid w:val="0"/>
              <w:jc w:val="center"/>
              <w:rPr>
                <w:rFonts w:ascii="宋体" w:hAnsi="宋体"/>
                <w:kern w:val="0"/>
                <w:szCs w:val="21"/>
              </w:rPr>
            </w:pPr>
          </w:p>
        </w:tc>
        <w:tc>
          <w:tcPr>
            <w:tcW w:w="967" w:type="dxa"/>
            <w:vAlign w:val="center"/>
          </w:tcPr>
          <w:p w14:paraId="79380BD0">
            <w:pPr>
              <w:tabs>
                <w:tab w:val="left" w:pos="540"/>
              </w:tabs>
              <w:autoSpaceDE w:val="0"/>
              <w:autoSpaceDN w:val="0"/>
              <w:adjustRightInd w:val="0"/>
              <w:snapToGrid w:val="0"/>
              <w:jc w:val="center"/>
              <w:rPr>
                <w:rFonts w:ascii="宋体" w:hAnsi="宋体"/>
                <w:kern w:val="0"/>
                <w:szCs w:val="21"/>
              </w:rPr>
            </w:pPr>
            <w:r>
              <w:rPr>
                <w:rFonts w:hint="eastAsia" w:ascii="宋体" w:hAnsi="宋体" w:cs="MingLiU"/>
                <w:kern w:val="0"/>
                <w:szCs w:val="21"/>
              </w:rPr>
              <w:t>传  真</w:t>
            </w:r>
          </w:p>
        </w:tc>
        <w:tc>
          <w:tcPr>
            <w:tcW w:w="2483" w:type="dxa"/>
            <w:gridSpan w:val="4"/>
            <w:vAlign w:val="center"/>
          </w:tcPr>
          <w:p w14:paraId="06FEA009">
            <w:pPr>
              <w:autoSpaceDE w:val="0"/>
              <w:autoSpaceDN w:val="0"/>
              <w:adjustRightInd w:val="0"/>
              <w:snapToGrid w:val="0"/>
              <w:jc w:val="center"/>
              <w:rPr>
                <w:rFonts w:ascii="宋体" w:hAnsi="宋体"/>
                <w:kern w:val="0"/>
                <w:szCs w:val="21"/>
              </w:rPr>
            </w:pPr>
          </w:p>
        </w:tc>
        <w:tc>
          <w:tcPr>
            <w:tcW w:w="1392" w:type="dxa"/>
            <w:vAlign w:val="center"/>
          </w:tcPr>
          <w:p w14:paraId="2742A1CC">
            <w:pPr>
              <w:autoSpaceDE w:val="0"/>
              <w:autoSpaceDN w:val="0"/>
              <w:adjustRightInd w:val="0"/>
              <w:snapToGrid w:val="0"/>
              <w:jc w:val="center"/>
              <w:rPr>
                <w:rFonts w:ascii="宋体" w:hAnsi="宋体"/>
                <w:kern w:val="0"/>
                <w:szCs w:val="21"/>
              </w:rPr>
            </w:pPr>
            <w:r>
              <w:rPr>
                <w:rFonts w:hint="eastAsia" w:ascii="宋体" w:hAnsi="宋体" w:cs="MingLiU"/>
                <w:kern w:val="0"/>
                <w:szCs w:val="21"/>
              </w:rPr>
              <w:t>网址</w:t>
            </w:r>
          </w:p>
        </w:tc>
        <w:tc>
          <w:tcPr>
            <w:tcW w:w="2765" w:type="dxa"/>
            <w:gridSpan w:val="3"/>
            <w:vAlign w:val="center"/>
          </w:tcPr>
          <w:p w14:paraId="08D5AA4B">
            <w:pPr>
              <w:autoSpaceDE w:val="0"/>
              <w:autoSpaceDN w:val="0"/>
              <w:adjustRightInd w:val="0"/>
              <w:snapToGrid w:val="0"/>
              <w:jc w:val="center"/>
              <w:rPr>
                <w:rFonts w:ascii="宋体" w:hAnsi="宋体"/>
                <w:kern w:val="0"/>
                <w:szCs w:val="21"/>
              </w:rPr>
            </w:pPr>
          </w:p>
        </w:tc>
      </w:tr>
      <w:tr w14:paraId="68D2CE9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76F496B">
            <w:pPr>
              <w:autoSpaceDE w:val="0"/>
              <w:autoSpaceDN w:val="0"/>
              <w:adjustRightInd w:val="0"/>
              <w:snapToGrid w:val="0"/>
              <w:jc w:val="center"/>
              <w:rPr>
                <w:rFonts w:ascii="宋体" w:hAnsi="宋体"/>
                <w:kern w:val="0"/>
                <w:szCs w:val="21"/>
              </w:rPr>
            </w:pPr>
            <w:r>
              <w:rPr>
                <w:rFonts w:hint="eastAsia" w:ascii="宋体" w:hAnsi="宋体" w:cs="MingLiU"/>
                <w:kern w:val="0"/>
                <w:szCs w:val="21"/>
              </w:rPr>
              <w:t>组织结构</w:t>
            </w:r>
          </w:p>
        </w:tc>
        <w:tc>
          <w:tcPr>
            <w:tcW w:w="7607" w:type="dxa"/>
            <w:gridSpan w:val="9"/>
            <w:vAlign w:val="center"/>
          </w:tcPr>
          <w:p w14:paraId="36B8ADA1">
            <w:pPr>
              <w:autoSpaceDE w:val="0"/>
              <w:autoSpaceDN w:val="0"/>
              <w:adjustRightInd w:val="0"/>
              <w:snapToGrid w:val="0"/>
              <w:jc w:val="center"/>
              <w:rPr>
                <w:rFonts w:ascii="宋体" w:hAnsi="宋体"/>
                <w:kern w:val="0"/>
                <w:szCs w:val="21"/>
              </w:rPr>
            </w:pPr>
          </w:p>
        </w:tc>
      </w:tr>
      <w:tr w14:paraId="3EAEEC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96DE543">
            <w:pPr>
              <w:autoSpaceDE w:val="0"/>
              <w:autoSpaceDN w:val="0"/>
              <w:adjustRightInd w:val="0"/>
              <w:snapToGrid w:val="0"/>
              <w:jc w:val="center"/>
              <w:rPr>
                <w:rFonts w:ascii="宋体" w:hAnsi="宋体"/>
                <w:kern w:val="0"/>
                <w:szCs w:val="21"/>
              </w:rPr>
            </w:pPr>
            <w:r>
              <w:rPr>
                <w:rFonts w:hint="eastAsia" w:ascii="宋体" w:hAnsi="宋体" w:cs="MingLiU"/>
                <w:kern w:val="0"/>
                <w:szCs w:val="21"/>
              </w:rPr>
              <w:t>法定代表人</w:t>
            </w:r>
          </w:p>
        </w:tc>
        <w:tc>
          <w:tcPr>
            <w:tcW w:w="967" w:type="dxa"/>
            <w:vAlign w:val="center"/>
          </w:tcPr>
          <w:p w14:paraId="3BF74477">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4BA2A7BE">
            <w:pPr>
              <w:autoSpaceDE w:val="0"/>
              <w:autoSpaceDN w:val="0"/>
              <w:adjustRightInd w:val="0"/>
              <w:snapToGrid w:val="0"/>
              <w:jc w:val="center"/>
              <w:rPr>
                <w:rFonts w:ascii="宋体" w:hAnsi="宋体"/>
                <w:kern w:val="0"/>
                <w:szCs w:val="21"/>
              </w:rPr>
            </w:pPr>
          </w:p>
        </w:tc>
        <w:tc>
          <w:tcPr>
            <w:tcW w:w="1356" w:type="dxa"/>
            <w:gridSpan w:val="2"/>
            <w:vAlign w:val="center"/>
          </w:tcPr>
          <w:p w14:paraId="0B2D1113">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3BC99656">
            <w:pPr>
              <w:autoSpaceDE w:val="0"/>
              <w:autoSpaceDN w:val="0"/>
              <w:adjustRightInd w:val="0"/>
              <w:snapToGrid w:val="0"/>
              <w:jc w:val="center"/>
              <w:rPr>
                <w:rFonts w:ascii="宋体" w:hAnsi="宋体"/>
                <w:kern w:val="0"/>
                <w:szCs w:val="21"/>
              </w:rPr>
            </w:pPr>
          </w:p>
        </w:tc>
        <w:tc>
          <w:tcPr>
            <w:tcW w:w="925" w:type="dxa"/>
            <w:vAlign w:val="center"/>
          </w:tcPr>
          <w:p w14:paraId="5600DA1C">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2490CD23">
            <w:pPr>
              <w:autoSpaceDE w:val="0"/>
              <w:autoSpaceDN w:val="0"/>
              <w:adjustRightInd w:val="0"/>
              <w:snapToGrid w:val="0"/>
              <w:jc w:val="center"/>
              <w:rPr>
                <w:rFonts w:ascii="宋体" w:hAnsi="宋体"/>
                <w:kern w:val="0"/>
                <w:szCs w:val="21"/>
              </w:rPr>
            </w:pPr>
          </w:p>
        </w:tc>
      </w:tr>
      <w:tr w14:paraId="1601BC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4F319611">
            <w:pPr>
              <w:autoSpaceDE w:val="0"/>
              <w:autoSpaceDN w:val="0"/>
              <w:adjustRightInd w:val="0"/>
              <w:snapToGrid w:val="0"/>
              <w:jc w:val="center"/>
              <w:rPr>
                <w:rFonts w:ascii="宋体" w:hAnsi="宋体"/>
                <w:kern w:val="0"/>
                <w:szCs w:val="21"/>
              </w:rPr>
            </w:pPr>
            <w:r>
              <w:rPr>
                <w:rFonts w:hint="eastAsia" w:ascii="宋体" w:hAnsi="宋体" w:cs="MingLiU"/>
                <w:kern w:val="0"/>
                <w:szCs w:val="21"/>
              </w:rPr>
              <w:t>项目总工</w:t>
            </w:r>
          </w:p>
        </w:tc>
        <w:tc>
          <w:tcPr>
            <w:tcW w:w="967" w:type="dxa"/>
            <w:vAlign w:val="center"/>
          </w:tcPr>
          <w:p w14:paraId="70084213">
            <w:pPr>
              <w:autoSpaceDE w:val="0"/>
              <w:autoSpaceDN w:val="0"/>
              <w:adjustRightInd w:val="0"/>
              <w:snapToGrid w:val="0"/>
              <w:jc w:val="center"/>
              <w:rPr>
                <w:rFonts w:ascii="宋体" w:hAnsi="宋体"/>
                <w:kern w:val="0"/>
                <w:szCs w:val="21"/>
              </w:rPr>
            </w:pPr>
            <w:r>
              <w:rPr>
                <w:rFonts w:hint="eastAsia" w:ascii="宋体" w:hAnsi="宋体" w:cs="MingLiU"/>
                <w:kern w:val="0"/>
                <w:szCs w:val="21"/>
              </w:rPr>
              <w:t>姓  名</w:t>
            </w:r>
          </w:p>
        </w:tc>
        <w:tc>
          <w:tcPr>
            <w:tcW w:w="1024" w:type="dxa"/>
            <w:vAlign w:val="center"/>
          </w:tcPr>
          <w:p w14:paraId="6A30A6B4">
            <w:pPr>
              <w:autoSpaceDE w:val="0"/>
              <w:autoSpaceDN w:val="0"/>
              <w:adjustRightInd w:val="0"/>
              <w:snapToGrid w:val="0"/>
              <w:jc w:val="center"/>
              <w:rPr>
                <w:rFonts w:ascii="宋体" w:hAnsi="宋体"/>
                <w:kern w:val="0"/>
                <w:szCs w:val="21"/>
              </w:rPr>
            </w:pPr>
          </w:p>
        </w:tc>
        <w:tc>
          <w:tcPr>
            <w:tcW w:w="1356" w:type="dxa"/>
            <w:gridSpan w:val="2"/>
            <w:vAlign w:val="center"/>
          </w:tcPr>
          <w:p w14:paraId="16414483">
            <w:pPr>
              <w:autoSpaceDE w:val="0"/>
              <w:autoSpaceDN w:val="0"/>
              <w:adjustRightInd w:val="0"/>
              <w:snapToGrid w:val="0"/>
              <w:jc w:val="center"/>
              <w:rPr>
                <w:rFonts w:ascii="宋体" w:hAnsi="宋体"/>
                <w:kern w:val="0"/>
                <w:szCs w:val="21"/>
              </w:rPr>
            </w:pPr>
            <w:r>
              <w:rPr>
                <w:rFonts w:hint="eastAsia" w:ascii="宋体" w:hAnsi="宋体" w:cs="MingLiU"/>
                <w:kern w:val="0"/>
                <w:szCs w:val="21"/>
              </w:rPr>
              <w:t>技术职称</w:t>
            </w:r>
          </w:p>
        </w:tc>
        <w:tc>
          <w:tcPr>
            <w:tcW w:w="2024" w:type="dxa"/>
            <w:gridSpan w:val="3"/>
            <w:vAlign w:val="center"/>
          </w:tcPr>
          <w:p w14:paraId="248F76CD">
            <w:pPr>
              <w:autoSpaceDE w:val="0"/>
              <w:autoSpaceDN w:val="0"/>
              <w:adjustRightInd w:val="0"/>
              <w:snapToGrid w:val="0"/>
              <w:jc w:val="center"/>
              <w:rPr>
                <w:rFonts w:ascii="宋体" w:hAnsi="宋体"/>
                <w:kern w:val="0"/>
                <w:szCs w:val="21"/>
              </w:rPr>
            </w:pPr>
          </w:p>
        </w:tc>
        <w:tc>
          <w:tcPr>
            <w:tcW w:w="925" w:type="dxa"/>
            <w:vAlign w:val="center"/>
          </w:tcPr>
          <w:p w14:paraId="6FA6B863">
            <w:pPr>
              <w:autoSpaceDE w:val="0"/>
              <w:autoSpaceDN w:val="0"/>
              <w:adjustRightInd w:val="0"/>
              <w:snapToGrid w:val="0"/>
              <w:jc w:val="center"/>
              <w:rPr>
                <w:rFonts w:ascii="宋体" w:hAnsi="宋体"/>
                <w:kern w:val="0"/>
                <w:szCs w:val="21"/>
              </w:rPr>
            </w:pPr>
            <w:r>
              <w:rPr>
                <w:rFonts w:hint="eastAsia" w:ascii="宋体" w:hAnsi="宋体" w:cs="MingLiU"/>
                <w:kern w:val="0"/>
                <w:szCs w:val="21"/>
              </w:rPr>
              <w:t>电  话</w:t>
            </w:r>
          </w:p>
        </w:tc>
        <w:tc>
          <w:tcPr>
            <w:tcW w:w="1311" w:type="dxa"/>
            <w:vAlign w:val="center"/>
          </w:tcPr>
          <w:p w14:paraId="294CD17C">
            <w:pPr>
              <w:autoSpaceDE w:val="0"/>
              <w:autoSpaceDN w:val="0"/>
              <w:adjustRightInd w:val="0"/>
              <w:snapToGrid w:val="0"/>
              <w:jc w:val="center"/>
              <w:rPr>
                <w:rFonts w:ascii="宋体" w:hAnsi="宋体"/>
                <w:kern w:val="0"/>
                <w:szCs w:val="21"/>
              </w:rPr>
            </w:pPr>
          </w:p>
        </w:tc>
      </w:tr>
      <w:tr w14:paraId="2A4A50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5FA69B12">
            <w:pPr>
              <w:autoSpaceDE w:val="0"/>
              <w:autoSpaceDN w:val="0"/>
              <w:adjustRightInd w:val="0"/>
              <w:snapToGrid w:val="0"/>
              <w:jc w:val="center"/>
              <w:rPr>
                <w:rFonts w:ascii="宋体" w:hAnsi="宋体"/>
                <w:kern w:val="0"/>
                <w:szCs w:val="21"/>
              </w:rPr>
            </w:pPr>
            <w:r>
              <w:rPr>
                <w:rFonts w:hint="eastAsia" w:ascii="宋体" w:hAnsi="宋体" w:cs="MingLiU"/>
                <w:kern w:val="0"/>
                <w:szCs w:val="21"/>
              </w:rPr>
              <w:t>成立时间</w:t>
            </w:r>
          </w:p>
        </w:tc>
        <w:tc>
          <w:tcPr>
            <w:tcW w:w="1991" w:type="dxa"/>
            <w:gridSpan w:val="2"/>
            <w:vAlign w:val="center"/>
          </w:tcPr>
          <w:p w14:paraId="6DE2C9B4">
            <w:pPr>
              <w:autoSpaceDE w:val="0"/>
              <w:autoSpaceDN w:val="0"/>
              <w:adjustRightInd w:val="0"/>
              <w:snapToGrid w:val="0"/>
              <w:jc w:val="center"/>
              <w:rPr>
                <w:rFonts w:ascii="宋体" w:hAnsi="宋体"/>
                <w:kern w:val="0"/>
                <w:szCs w:val="21"/>
              </w:rPr>
            </w:pPr>
          </w:p>
        </w:tc>
        <w:tc>
          <w:tcPr>
            <w:tcW w:w="5616" w:type="dxa"/>
            <w:gridSpan w:val="7"/>
            <w:vAlign w:val="center"/>
          </w:tcPr>
          <w:p w14:paraId="006EA851">
            <w:pPr>
              <w:autoSpaceDE w:val="0"/>
              <w:autoSpaceDN w:val="0"/>
              <w:adjustRightInd w:val="0"/>
              <w:snapToGrid w:val="0"/>
              <w:jc w:val="center"/>
              <w:rPr>
                <w:rFonts w:ascii="宋体" w:hAnsi="宋体"/>
                <w:kern w:val="0"/>
                <w:szCs w:val="21"/>
              </w:rPr>
            </w:pPr>
            <w:r>
              <w:rPr>
                <w:rFonts w:hint="eastAsia" w:ascii="宋体" w:hAnsi="宋体" w:cs="MingLiU"/>
                <w:kern w:val="0"/>
                <w:szCs w:val="21"/>
              </w:rPr>
              <w:t>员工总人数：</w:t>
            </w:r>
          </w:p>
        </w:tc>
      </w:tr>
      <w:tr w14:paraId="6B8D3CA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93DFCE0">
            <w:pPr>
              <w:autoSpaceDE w:val="0"/>
              <w:autoSpaceDN w:val="0"/>
              <w:adjustRightInd w:val="0"/>
              <w:snapToGrid w:val="0"/>
              <w:jc w:val="center"/>
              <w:rPr>
                <w:rFonts w:ascii="宋体" w:hAnsi="宋体"/>
                <w:kern w:val="0"/>
                <w:szCs w:val="21"/>
              </w:rPr>
            </w:pPr>
            <w:r>
              <w:rPr>
                <w:rFonts w:hint="eastAsia" w:ascii="宋体" w:hAnsi="宋体" w:cs="MingLiU"/>
                <w:kern w:val="0"/>
                <w:szCs w:val="21"/>
              </w:rPr>
              <w:t>企业资质等级</w:t>
            </w:r>
          </w:p>
        </w:tc>
        <w:tc>
          <w:tcPr>
            <w:tcW w:w="1991" w:type="dxa"/>
            <w:gridSpan w:val="2"/>
            <w:vAlign w:val="center"/>
          </w:tcPr>
          <w:p w14:paraId="63D267A9">
            <w:pPr>
              <w:autoSpaceDE w:val="0"/>
              <w:autoSpaceDN w:val="0"/>
              <w:adjustRightInd w:val="0"/>
              <w:snapToGrid w:val="0"/>
              <w:jc w:val="center"/>
              <w:rPr>
                <w:rFonts w:ascii="宋体" w:hAnsi="宋体"/>
                <w:kern w:val="0"/>
                <w:szCs w:val="21"/>
              </w:rPr>
            </w:pPr>
          </w:p>
        </w:tc>
        <w:tc>
          <w:tcPr>
            <w:tcW w:w="904" w:type="dxa"/>
            <w:vMerge w:val="restart"/>
            <w:vAlign w:val="center"/>
          </w:tcPr>
          <w:p w14:paraId="6172E0DC">
            <w:pPr>
              <w:autoSpaceDE w:val="0"/>
              <w:autoSpaceDN w:val="0"/>
              <w:adjustRightInd w:val="0"/>
              <w:snapToGrid w:val="0"/>
              <w:jc w:val="center"/>
              <w:rPr>
                <w:rFonts w:ascii="宋体" w:hAnsi="宋体"/>
                <w:kern w:val="0"/>
                <w:szCs w:val="21"/>
              </w:rPr>
            </w:pPr>
            <w:r>
              <w:rPr>
                <w:rFonts w:hint="eastAsia" w:ascii="宋体" w:hAnsi="宋体" w:cs="MingLiU"/>
                <w:kern w:val="0"/>
                <w:szCs w:val="21"/>
              </w:rPr>
              <w:t>其中</w:t>
            </w:r>
          </w:p>
        </w:tc>
        <w:tc>
          <w:tcPr>
            <w:tcW w:w="2476" w:type="dxa"/>
            <w:gridSpan w:val="4"/>
            <w:vAlign w:val="center"/>
          </w:tcPr>
          <w:p w14:paraId="7196E46F">
            <w:pPr>
              <w:autoSpaceDE w:val="0"/>
              <w:autoSpaceDN w:val="0"/>
              <w:adjustRightInd w:val="0"/>
              <w:snapToGrid w:val="0"/>
              <w:jc w:val="center"/>
              <w:rPr>
                <w:rFonts w:ascii="宋体" w:hAnsi="宋体"/>
                <w:kern w:val="0"/>
                <w:szCs w:val="21"/>
              </w:rPr>
            </w:pPr>
            <w:r>
              <w:rPr>
                <w:rFonts w:hint="eastAsia" w:ascii="宋体" w:hAnsi="宋体" w:cs="MingLiU"/>
                <w:kern w:val="0"/>
                <w:szCs w:val="21"/>
              </w:rPr>
              <w:t>项目经理</w:t>
            </w:r>
          </w:p>
        </w:tc>
        <w:tc>
          <w:tcPr>
            <w:tcW w:w="2236" w:type="dxa"/>
            <w:gridSpan w:val="2"/>
            <w:vAlign w:val="center"/>
          </w:tcPr>
          <w:p w14:paraId="3CBDB377">
            <w:pPr>
              <w:autoSpaceDE w:val="0"/>
              <w:autoSpaceDN w:val="0"/>
              <w:adjustRightInd w:val="0"/>
              <w:snapToGrid w:val="0"/>
              <w:jc w:val="center"/>
              <w:rPr>
                <w:rFonts w:ascii="宋体" w:hAnsi="宋体"/>
                <w:kern w:val="0"/>
                <w:szCs w:val="21"/>
              </w:rPr>
            </w:pPr>
          </w:p>
        </w:tc>
      </w:tr>
      <w:tr w14:paraId="275299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1403576">
            <w:pPr>
              <w:autoSpaceDE w:val="0"/>
              <w:autoSpaceDN w:val="0"/>
              <w:adjustRightInd w:val="0"/>
              <w:snapToGrid w:val="0"/>
              <w:jc w:val="center"/>
              <w:rPr>
                <w:rFonts w:ascii="宋体" w:hAnsi="宋体"/>
                <w:kern w:val="0"/>
                <w:szCs w:val="21"/>
              </w:rPr>
            </w:pPr>
            <w:r>
              <w:rPr>
                <w:rFonts w:hint="eastAsia" w:ascii="宋体" w:hAnsi="宋体" w:cs="MingLiU"/>
                <w:kern w:val="0"/>
                <w:szCs w:val="21"/>
              </w:rPr>
              <w:t>统一社会信用代码</w:t>
            </w:r>
          </w:p>
        </w:tc>
        <w:tc>
          <w:tcPr>
            <w:tcW w:w="1991" w:type="dxa"/>
            <w:gridSpan w:val="2"/>
            <w:vAlign w:val="center"/>
          </w:tcPr>
          <w:p w14:paraId="6EC3243D">
            <w:pPr>
              <w:autoSpaceDE w:val="0"/>
              <w:autoSpaceDN w:val="0"/>
              <w:adjustRightInd w:val="0"/>
              <w:snapToGrid w:val="0"/>
              <w:jc w:val="center"/>
              <w:rPr>
                <w:rFonts w:ascii="宋体" w:hAnsi="宋体"/>
                <w:kern w:val="0"/>
                <w:szCs w:val="21"/>
              </w:rPr>
            </w:pPr>
          </w:p>
        </w:tc>
        <w:tc>
          <w:tcPr>
            <w:tcW w:w="904" w:type="dxa"/>
            <w:vMerge w:val="continue"/>
            <w:vAlign w:val="center"/>
          </w:tcPr>
          <w:p w14:paraId="5AE8763C">
            <w:pPr>
              <w:autoSpaceDE w:val="0"/>
              <w:autoSpaceDN w:val="0"/>
              <w:adjustRightInd w:val="0"/>
              <w:snapToGrid w:val="0"/>
              <w:jc w:val="center"/>
              <w:rPr>
                <w:rFonts w:ascii="宋体" w:hAnsi="宋体"/>
                <w:kern w:val="0"/>
                <w:szCs w:val="21"/>
              </w:rPr>
            </w:pPr>
          </w:p>
        </w:tc>
        <w:tc>
          <w:tcPr>
            <w:tcW w:w="2476" w:type="dxa"/>
            <w:gridSpan w:val="4"/>
            <w:vAlign w:val="center"/>
          </w:tcPr>
          <w:p w14:paraId="2F690EE2">
            <w:pPr>
              <w:autoSpaceDE w:val="0"/>
              <w:autoSpaceDN w:val="0"/>
              <w:adjustRightInd w:val="0"/>
              <w:snapToGrid w:val="0"/>
              <w:jc w:val="center"/>
              <w:rPr>
                <w:rFonts w:ascii="宋体" w:hAnsi="宋体"/>
                <w:kern w:val="0"/>
                <w:szCs w:val="21"/>
              </w:rPr>
            </w:pPr>
            <w:r>
              <w:rPr>
                <w:rFonts w:hint="eastAsia" w:ascii="宋体" w:hAnsi="宋体" w:cs="MingLiU"/>
                <w:kern w:val="0"/>
                <w:szCs w:val="21"/>
              </w:rPr>
              <w:t>高级职称人员</w:t>
            </w:r>
          </w:p>
        </w:tc>
        <w:tc>
          <w:tcPr>
            <w:tcW w:w="2236" w:type="dxa"/>
            <w:gridSpan w:val="2"/>
            <w:vAlign w:val="center"/>
          </w:tcPr>
          <w:p w14:paraId="407A1C48">
            <w:pPr>
              <w:autoSpaceDE w:val="0"/>
              <w:autoSpaceDN w:val="0"/>
              <w:adjustRightInd w:val="0"/>
              <w:snapToGrid w:val="0"/>
              <w:jc w:val="center"/>
              <w:rPr>
                <w:rFonts w:ascii="宋体" w:hAnsi="宋体"/>
                <w:kern w:val="0"/>
                <w:szCs w:val="21"/>
              </w:rPr>
            </w:pPr>
          </w:p>
        </w:tc>
      </w:tr>
      <w:tr w14:paraId="4A48AE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3CDFC9A">
            <w:pPr>
              <w:autoSpaceDE w:val="0"/>
              <w:autoSpaceDN w:val="0"/>
              <w:adjustRightInd w:val="0"/>
              <w:snapToGrid w:val="0"/>
              <w:jc w:val="center"/>
              <w:rPr>
                <w:rFonts w:ascii="宋体" w:hAnsi="宋体"/>
                <w:kern w:val="0"/>
                <w:szCs w:val="21"/>
              </w:rPr>
            </w:pPr>
            <w:r>
              <w:rPr>
                <w:rFonts w:hint="eastAsia" w:ascii="宋体" w:hAnsi="宋体" w:cs="MingLiU"/>
                <w:kern w:val="0"/>
                <w:szCs w:val="21"/>
              </w:rPr>
              <w:t>注册资金</w:t>
            </w:r>
          </w:p>
        </w:tc>
        <w:tc>
          <w:tcPr>
            <w:tcW w:w="1991" w:type="dxa"/>
            <w:gridSpan w:val="2"/>
            <w:vAlign w:val="center"/>
          </w:tcPr>
          <w:p w14:paraId="477712F4">
            <w:pPr>
              <w:autoSpaceDE w:val="0"/>
              <w:autoSpaceDN w:val="0"/>
              <w:adjustRightInd w:val="0"/>
              <w:snapToGrid w:val="0"/>
              <w:jc w:val="center"/>
              <w:rPr>
                <w:rFonts w:ascii="宋体" w:hAnsi="宋体"/>
                <w:kern w:val="0"/>
                <w:szCs w:val="21"/>
              </w:rPr>
            </w:pPr>
          </w:p>
        </w:tc>
        <w:tc>
          <w:tcPr>
            <w:tcW w:w="904" w:type="dxa"/>
            <w:vMerge w:val="continue"/>
            <w:vAlign w:val="center"/>
          </w:tcPr>
          <w:p w14:paraId="09E50618">
            <w:pPr>
              <w:autoSpaceDE w:val="0"/>
              <w:autoSpaceDN w:val="0"/>
              <w:adjustRightInd w:val="0"/>
              <w:snapToGrid w:val="0"/>
              <w:jc w:val="center"/>
              <w:rPr>
                <w:rFonts w:ascii="宋体" w:hAnsi="宋体"/>
                <w:kern w:val="0"/>
                <w:szCs w:val="21"/>
              </w:rPr>
            </w:pPr>
          </w:p>
        </w:tc>
        <w:tc>
          <w:tcPr>
            <w:tcW w:w="2476" w:type="dxa"/>
            <w:gridSpan w:val="4"/>
            <w:vAlign w:val="center"/>
          </w:tcPr>
          <w:p w14:paraId="76ECCFC6">
            <w:pPr>
              <w:autoSpaceDE w:val="0"/>
              <w:autoSpaceDN w:val="0"/>
              <w:adjustRightInd w:val="0"/>
              <w:snapToGrid w:val="0"/>
              <w:jc w:val="center"/>
              <w:rPr>
                <w:rFonts w:ascii="宋体" w:hAnsi="宋体"/>
                <w:kern w:val="0"/>
                <w:szCs w:val="21"/>
              </w:rPr>
            </w:pPr>
            <w:r>
              <w:rPr>
                <w:rFonts w:hint="eastAsia" w:ascii="宋体" w:hAnsi="宋体" w:cs="MingLiU"/>
                <w:kern w:val="0"/>
                <w:szCs w:val="21"/>
              </w:rPr>
              <w:t>中级职称人员</w:t>
            </w:r>
          </w:p>
        </w:tc>
        <w:tc>
          <w:tcPr>
            <w:tcW w:w="2236" w:type="dxa"/>
            <w:gridSpan w:val="2"/>
            <w:vAlign w:val="center"/>
          </w:tcPr>
          <w:p w14:paraId="1517E0E6">
            <w:pPr>
              <w:autoSpaceDE w:val="0"/>
              <w:autoSpaceDN w:val="0"/>
              <w:adjustRightInd w:val="0"/>
              <w:snapToGrid w:val="0"/>
              <w:jc w:val="center"/>
              <w:rPr>
                <w:rFonts w:ascii="宋体" w:hAnsi="宋体"/>
                <w:kern w:val="0"/>
                <w:szCs w:val="21"/>
              </w:rPr>
            </w:pPr>
          </w:p>
        </w:tc>
      </w:tr>
      <w:tr w14:paraId="6D809B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53116DB">
            <w:pPr>
              <w:autoSpaceDE w:val="0"/>
              <w:autoSpaceDN w:val="0"/>
              <w:adjustRightInd w:val="0"/>
              <w:snapToGrid w:val="0"/>
              <w:jc w:val="center"/>
              <w:rPr>
                <w:rFonts w:ascii="宋体" w:hAnsi="宋体"/>
                <w:kern w:val="0"/>
                <w:szCs w:val="21"/>
              </w:rPr>
            </w:pPr>
            <w:r>
              <w:rPr>
                <w:rFonts w:hint="eastAsia" w:ascii="宋体" w:hAnsi="宋体" w:cs="MingLiU"/>
                <w:kern w:val="0"/>
                <w:szCs w:val="21"/>
              </w:rPr>
              <w:t>开户银行</w:t>
            </w:r>
          </w:p>
        </w:tc>
        <w:tc>
          <w:tcPr>
            <w:tcW w:w="1991" w:type="dxa"/>
            <w:gridSpan w:val="2"/>
            <w:vAlign w:val="center"/>
          </w:tcPr>
          <w:p w14:paraId="2750692C">
            <w:pPr>
              <w:autoSpaceDE w:val="0"/>
              <w:autoSpaceDN w:val="0"/>
              <w:adjustRightInd w:val="0"/>
              <w:snapToGrid w:val="0"/>
              <w:jc w:val="center"/>
              <w:rPr>
                <w:rFonts w:ascii="宋体" w:hAnsi="宋体"/>
                <w:kern w:val="0"/>
                <w:szCs w:val="21"/>
              </w:rPr>
            </w:pPr>
          </w:p>
        </w:tc>
        <w:tc>
          <w:tcPr>
            <w:tcW w:w="904" w:type="dxa"/>
            <w:vMerge w:val="continue"/>
            <w:vAlign w:val="center"/>
          </w:tcPr>
          <w:p w14:paraId="11F77FCC">
            <w:pPr>
              <w:autoSpaceDE w:val="0"/>
              <w:autoSpaceDN w:val="0"/>
              <w:adjustRightInd w:val="0"/>
              <w:snapToGrid w:val="0"/>
              <w:jc w:val="center"/>
              <w:rPr>
                <w:rFonts w:ascii="宋体" w:hAnsi="宋体"/>
                <w:kern w:val="0"/>
                <w:szCs w:val="21"/>
              </w:rPr>
            </w:pPr>
          </w:p>
        </w:tc>
        <w:tc>
          <w:tcPr>
            <w:tcW w:w="2476" w:type="dxa"/>
            <w:gridSpan w:val="4"/>
            <w:vAlign w:val="center"/>
          </w:tcPr>
          <w:p w14:paraId="48E3FE1D">
            <w:pPr>
              <w:autoSpaceDE w:val="0"/>
              <w:autoSpaceDN w:val="0"/>
              <w:adjustRightInd w:val="0"/>
              <w:snapToGrid w:val="0"/>
              <w:jc w:val="center"/>
              <w:rPr>
                <w:rFonts w:ascii="宋体" w:hAnsi="宋体"/>
                <w:kern w:val="0"/>
                <w:szCs w:val="21"/>
              </w:rPr>
            </w:pPr>
            <w:r>
              <w:rPr>
                <w:rFonts w:hint="eastAsia" w:ascii="宋体" w:hAnsi="宋体" w:cs="MingLiU"/>
                <w:kern w:val="0"/>
                <w:szCs w:val="21"/>
              </w:rPr>
              <w:t>初级职称人员</w:t>
            </w:r>
          </w:p>
        </w:tc>
        <w:tc>
          <w:tcPr>
            <w:tcW w:w="2236" w:type="dxa"/>
            <w:gridSpan w:val="2"/>
            <w:vAlign w:val="center"/>
          </w:tcPr>
          <w:p w14:paraId="7532955A">
            <w:pPr>
              <w:autoSpaceDE w:val="0"/>
              <w:autoSpaceDN w:val="0"/>
              <w:adjustRightInd w:val="0"/>
              <w:snapToGrid w:val="0"/>
              <w:jc w:val="center"/>
              <w:rPr>
                <w:rFonts w:ascii="宋体" w:hAnsi="宋体"/>
                <w:kern w:val="0"/>
                <w:szCs w:val="21"/>
              </w:rPr>
            </w:pPr>
          </w:p>
        </w:tc>
      </w:tr>
      <w:tr w14:paraId="7846EA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F9EFCD3">
            <w:pPr>
              <w:autoSpaceDE w:val="0"/>
              <w:autoSpaceDN w:val="0"/>
              <w:adjustRightInd w:val="0"/>
              <w:snapToGrid w:val="0"/>
              <w:jc w:val="center"/>
              <w:rPr>
                <w:rFonts w:ascii="宋体" w:hAnsi="宋体"/>
                <w:kern w:val="0"/>
                <w:szCs w:val="21"/>
              </w:rPr>
            </w:pPr>
            <w:r>
              <w:rPr>
                <w:rFonts w:hint="eastAsia" w:ascii="宋体" w:hAnsi="宋体"/>
                <w:kern w:val="0"/>
                <w:szCs w:val="21"/>
              </w:rPr>
              <w:t>账号</w:t>
            </w:r>
          </w:p>
        </w:tc>
        <w:tc>
          <w:tcPr>
            <w:tcW w:w="1991" w:type="dxa"/>
            <w:gridSpan w:val="2"/>
            <w:vAlign w:val="center"/>
          </w:tcPr>
          <w:p w14:paraId="3A2656CA">
            <w:pPr>
              <w:autoSpaceDE w:val="0"/>
              <w:autoSpaceDN w:val="0"/>
              <w:adjustRightInd w:val="0"/>
              <w:snapToGrid w:val="0"/>
              <w:jc w:val="center"/>
              <w:rPr>
                <w:rFonts w:ascii="宋体" w:hAnsi="宋体"/>
                <w:kern w:val="0"/>
                <w:szCs w:val="21"/>
              </w:rPr>
            </w:pPr>
          </w:p>
        </w:tc>
        <w:tc>
          <w:tcPr>
            <w:tcW w:w="904" w:type="dxa"/>
            <w:vMerge w:val="continue"/>
            <w:vAlign w:val="center"/>
          </w:tcPr>
          <w:p w14:paraId="2FA9A976">
            <w:pPr>
              <w:autoSpaceDE w:val="0"/>
              <w:autoSpaceDN w:val="0"/>
              <w:adjustRightInd w:val="0"/>
              <w:snapToGrid w:val="0"/>
              <w:jc w:val="center"/>
              <w:rPr>
                <w:rFonts w:ascii="宋体" w:hAnsi="宋体"/>
                <w:kern w:val="0"/>
                <w:szCs w:val="21"/>
              </w:rPr>
            </w:pPr>
          </w:p>
        </w:tc>
        <w:tc>
          <w:tcPr>
            <w:tcW w:w="2476" w:type="dxa"/>
            <w:gridSpan w:val="4"/>
            <w:vAlign w:val="center"/>
          </w:tcPr>
          <w:p w14:paraId="05B8A8EF">
            <w:pPr>
              <w:tabs>
                <w:tab w:val="left" w:pos="1240"/>
              </w:tabs>
              <w:autoSpaceDE w:val="0"/>
              <w:autoSpaceDN w:val="0"/>
              <w:adjustRightInd w:val="0"/>
              <w:snapToGrid w:val="0"/>
              <w:jc w:val="center"/>
              <w:rPr>
                <w:rFonts w:ascii="宋体" w:hAnsi="宋体"/>
                <w:kern w:val="0"/>
                <w:szCs w:val="21"/>
              </w:rPr>
            </w:pPr>
            <w:r>
              <w:rPr>
                <w:rFonts w:hint="eastAsia" w:ascii="宋体" w:hAnsi="宋体" w:cs="MingLiU"/>
                <w:kern w:val="0"/>
                <w:szCs w:val="21"/>
              </w:rPr>
              <w:t>技</w:t>
            </w:r>
            <w:r>
              <w:rPr>
                <w:rFonts w:ascii="宋体" w:hAnsi="宋体"/>
                <w:kern w:val="0"/>
                <w:szCs w:val="21"/>
              </w:rPr>
              <w:tab/>
            </w:r>
            <w:r>
              <w:rPr>
                <w:rFonts w:hint="eastAsia" w:ascii="宋体" w:hAnsi="宋体" w:cs="MingLiU"/>
                <w:kern w:val="0"/>
                <w:szCs w:val="21"/>
              </w:rPr>
              <w:t>工</w:t>
            </w:r>
          </w:p>
        </w:tc>
        <w:tc>
          <w:tcPr>
            <w:tcW w:w="2236" w:type="dxa"/>
            <w:gridSpan w:val="2"/>
            <w:vAlign w:val="center"/>
          </w:tcPr>
          <w:p w14:paraId="103C577D">
            <w:pPr>
              <w:autoSpaceDE w:val="0"/>
              <w:autoSpaceDN w:val="0"/>
              <w:adjustRightInd w:val="0"/>
              <w:snapToGrid w:val="0"/>
              <w:jc w:val="center"/>
              <w:rPr>
                <w:rFonts w:ascii="宋体" w:hAnsi="宋体"/>
                <w:kern w:val="0"/>
                <w:szCs w:val="21"/>
              </w:rPr>
            </w:pPr>
          </w:p>
        </w:tc>
      </w:tr>
      <w:tr w14:paraId="52077FE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9D30388">
            <w:pPr>
              <w:autoSpaceDE w:val="0"/>
              <w:autoSpaceDN w:val="0"/>
              <w:adjustRightInd w:val="0"/>
              <w:snapToGrid w:val="0"/>
              <w:jc w:val="center"/>
              <w:rPr>
                <w:rFonts w:ascii="宋体" w:hAnsi="宋体"/>
                <w:kern w:val="0"/>
                <w:szCs w:val="21"/>
              </w:rPr>
            </w:pPr>
            <w:r>
              <w:rPr>
                <w:rFonts w:hint="eastAsia" w:ascii="宋体" w:hAnsi="宋体" w:cs="MingLiU"/>
                <w:kern w:val="0"/>
                <w:szCs w:val="21"/>
              </w:rPr>
              <w:t>经营范围</w:t>
            </w:r>
          </w:p>
        </w:tc>
        <w:tc>
          <w:tcPr>
            <w:tcW w:w="7607" w:type="dxa"/>
            <w:gridSpan w:val="9"/>
            <w:vAlign w:val="center"/>
          </w:tcPr>
          <w:p w14:paraId="78F2A653">
            <w:pPr>
              <w:autoSpaceDE w:val="0"/>
              <w:autoSpaceDN w:val="0"/>
              <w:adjustRightInd w:val="0"/>
              <w:snapToGrid w:val="0"/>
              <w:jc w:val="center"/>
              <w:rPr>
                <w:rFonts w:ascii="宋体" w:hAnsi="宋体"/>
                <w:kern w:val="0"/>
                <w:szCs w:val="21"/>
              </w:rPr>
            </w:pPr>
          </w:p>
        </w:tc>
      </w:tr>
      <w:tr w14:paraId="225675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CDD698A">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c>
          <w:tcPr>
            <w:tcW w:w="7607" w:type="dxa"/>
            <w:gridSpan w:val="9"/>
            <w:vAlign w:val="center"/>
          </w:tcPr>
          <w:p w14:paraId="6205C27C">
            <w:pPr>
              <w:autoSpaceDE w:val="0"/>
              <w:autoSpaceDN w:val="0"/>
              <w:adjustRightInd w:val="0"/>
              <w:snapToGrid w:val="0"/>
              <w:jc w:val="center"/>
              <w:rPr>
                <w:rFonts w:ascii="宋体" w:hAnsi="宋体"/>
                <w:kern w:val="0"/>
                <w:szCs w:val="21"/>
              </w:rPr>
            </w:pPr>
          </w:p>
        </w:tc>
      </w:tr>
    </w:tbl>
    <w:p w14:paraId="2E99BB89">
      <w:pPr>
        <w:spacing w:line="360" w:lineRule="auto"/>
        <w:rPr>
          <w:rFonts w:hint="eastAsia" w:ascii="宋体" w:hAnsi="宋体"/>
          <w:szCs w:val="21"/>
        </w:rPr>
      </w:pPr>
    </w:p>
    <w:p w14:paraId="50F51E59">
      <w:pPr>
        <w:pStyle w:val="5"/>
        <w:spacing w:before="0" w:after="0" w:line="240" w:lineRule="auto"/>
        <w:jc w:val="center"/>
        <w:rPr>
          <w:rFonts w:ascii="宋体" w:hAnsi="宋体"/>
          <w:b w:val="0"/>
          <w:bCs w:val="0"/>
        </w:rPr>
      </w:pPr>
      <w:bookmarkStart w:id="1019" w:name="_Toc57796022"/>
      <w:bookmarkStart w:id="1020" w:name="_Toc33106479"/>
      <w:bookmarkStart w:id="1021" w:name="_Toc29963"/>
      <w:r>
        <w:rPr>
          <w:rFonts w:hint="eastAsia" w:ascii="宋体" w:hAnsi="宋体"/>
          <w:b w:val="0"/>
          <w:bCs w:val="0"/>
        </w:rPr>
        <w:t>（四）项目管理机构</w:t>
      </w:r>
      <w:bookmarkEnd w:id="1019"/>
      <w:bookmarkEnd w:id="1020"/>
      <w:bookmarkEnd w:id="1021"/>
    </w:p>
    <w:p w14:paraId="758E2AA2">
      <w:pPr>
        <w:spacing w:line="360" w:lineRule="auto"/>
        <w:rPr>
          <w:rFonts w:ascii="宋体" w:hAnsi="宋体"/>
        </w:rPr>
      </w:pPr>
    </w:p>
    <w:p w14:paraId="0F4584DC">
      <w:pPr>
        <w:autoSpaceDE w:val="0"/>
        <w:autoSpaceDN w:val="0"/>
        <w:adjustRightInd w:val="0"/>
        <w:snapToGrid w:val="0"/>
        <w:spacing w:line="360" w:lineRule="auto"/>
        <w:jc w:val="center"/>
        <w:rPr>
          <w:rFonts w:ascii="宋体" w:hAnsi="宋体" w:cs="MingLiU"/>
          <w:kern w:val="0"/>
          <w:sz w:val="28"/>
          <w:szCs w:val="28"/>
        </w:rPr>
      </w:pPr>
      <w:r>
        <w:rPr>
          <w:rFonts w:hint="eastAsia" w:ascii="宋体" w:hAnsi="宋体" w:cs="MingLiU"/>
          <w:kern w:val="0"/>
          <w:sz w:val="28"/>
          <w:szCs w:val="28"/>
        </w:rPr>
        <w:t>项目管理机构组成表</w:t>
      </w:r>
    </w:p>
    <w:tbl>
      <w:tblPr>
        <w:tblStyle w:val="31"/>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060F65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6C7C3065">
            <w:pPr>
              <w:autoSpaceDE w:val="0"/>
              <w:autoSpaceDN w:val="0"/>
              <w:adjustRightInd w:val="0"/>
              <w:snapToGrid w:val="0"/>
              <w:jc w:val="center"/>
              <w:rPr>
                <w:rFonts w:ascii="宋体" w:hAnsi="宋体"/>
                <w:kern w:val="0"/>
                <w:szCs w:val="21"/>
              </w:rPr>
            </w:pPr>
            <w:r>
              <w:rPr>
                <w:rFonts w:hint="eastAsia" w:ascii="宋体" w:hAnsi="宋体" w:cs="MingLiU"/>
                <w:kern w:val="0"/>
                <w:szCs w:val="21"/>
              </w:rPr>
              <w:t>职务</w:t>
            </w:r>
          </w:p>
        </w:tc>
        <w:tc>
          <w:tcPr>
            <w:tcW w:w="734" w:type="dxa"/>
            <w:vMerge w:val="restart"/>
            <w:vAlign w:val="center"/>
          </w:tcPr>
          <w:p w14:paraId="2C33AA49">
            <w:pPr>
              <w:autoSpaceDE w:val="0"/>
              <w:autoSpaceDN w:val="0"/>
              <w:adjustRightInd w:val="0"/>
              <w:snapToGrid w:val="0"/>
              <w:jc w:val="center"/>
              <w:rPr>
                <w:rFonts w:ascii="宋体" w:hAnsi="宋体"/>
                <w:kern w:val="0"/>
                <w:szCs w:val="21"/>
              </w:rPr>
            </w:pPr>
            <w:r>
              <w:rPr>
                <w:rFonts w:hint="eastAsia" w:ascii="宋体" w:hAnsi="宋体" w:cs="MingLiU"/>
                <w:kern w:val="0"/>
                <w:szCs w:val="21"/>
              </w:rPr>
              <w:t>姓名</w:t>
            </w:r>
          </w:p>
        </w:tc>
        <w:tc>
          <w:tcPr>
            <w:tcW w:w="776" w:type="dxa"/>
            <w:vMerge w:val="restart"/>
            <w:vAlign w:val="center"/>
          </w:tcPr>
          <w:p w14:paraId="1912C843">
            <w:pPr>
              <w:autoSpaceDE w:val="0"/>
              <w:autoSpaceDN w:val="0"/>
              <w:adjustRightInd w:val="0"/>
              <w:snapToGrid w:val="0"/>
              <w:jc w:val="center"/>
              <w:rPr>
                <w:rFonts w:ascii="宋体" w:hAnsi="宋体"/>
                <w:kern w:val="0"/>
                <w:szCs w:val="21"/>
              </w:rPr>
            </w:pPr>
            <w:r>
              <w:rPr>
                <w:rFonts w:hint="eastAsia" w:ascii="宋体" w:hAnsi="宋体" w:cs="MingLiU"/>
                <w:kern w:val="0"/>
                <w:szCs w:val="21"/>
              </w:rPr>
              <w:t>职称</w:t>
            </w:r>
          </w:p>
        </w:tc>
        <w:tc>
          <w:tcPr>
            <w:tcW w:w="6220" w:type="dxa"/>
            <w:gridSpan w:val="5"/>
            <w:vAlign w:val="center"/>
          </w:tcPr>
          <w:p w14:paraId="63D4CC9E">
            <w:pPr>
              <w:autoSpaceDE w:val="0"/>
              <w:autoSpaceDN w:val="0"/>
              <w:adjustRightInd w:val="0"/>
              <w:snapToGrid w:val="0"/>
              <w:jc w:val="center"/>
              <w:rPr>
                <w:rFonts w:ascii="宋体" w:hAnsi="宋体"/>
                <w:kern w:val="0"/>
                <w:szCs w:val="21"/>
              </w:rPr>
            </w:pPr>
            <w:r>
              <w:rPr>
                <w:rFonts w:hint="eastAsia" w:ascii="宋体" w:hAnsi="宋体" w:cs="MingLiU"/>
                <w:kern w:val="0"/>
                <w:szCs w:val="21"/>
              </w:rPr>
              <w:t>执业或职业资格证明</w:t>
            </w:r>
          </w:p>
        </w:tc>
        <w:tc>
          <w:tcPr>
            <w:tcW w:w="896" w:type="dxa"/>
            <w:vAlign w:val="center"/>
          </w:tcPr>
          <w:p w14:paraId="45ACE6F5">
            <w:pPr>
              <w:autoSpaceDE w:val="0"/>
              <w:autoSpaceDN w:val="0"/>
              <w:adjustRightInd w:val="0"/>
              <w:snapToGrid w:val="0"/>
              <w:jc w:val="center"/>
              <w:rPr>
                <w:rFonts w:ascii="宋体" w:hAnsi="宋体"/>
                <w:kern w:val="0"/>
                <w:szCs w:val="21"/>
              </w:rPr>
            </w:pPr>
            <w:r>
              <w:rPr>
                <w:rFonts w:hint="eastAsia" w:ascii="宋体" w:hAnsi="宋体" w:cs="MingLiU"/>
                <w:kern w:val="0"/>
                <w:szCs w:val="21"/>
              </w:rPr>
              <w:t>备注</w:t>
            </w:r>
          </w:p>
        </w:tc>
      </w:tr>
      <w:tr w14:paraId="2C47F1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vAlign w:val="top"/>
          </w:tcPr>
          <w:p w14:paraId="7BB705F4">
            <w:pPr>
              <w:autoSpaceDE w:val="0"/>
              <w:autoSpaceDN w:val="0"/>
              <w:adjustRightInd w:val="0"/>
              <w:snapToGrid w:val="0"/>
              <w:jc w:val="left"/>
              <w:rPr>
                <w:rFonts w:ascii="宋体" w:hAnsi="宋体"/>
                <w:kern w:val="0"/>
                <w:szCs w:val="21"/>
              </w:rPr>
            </w:pPr>
          </w:p>
        </w:tc>
        <w:tc>
          <w:tcPr>
            <w:tcW w:w="734" w:type="dxa"/>
            <w:vMerge w:val="continue"/>
            <w:vAlign w:val="top"/>
          </w:tcPr>
          <w:p w14:paraId="32AE2EE1">
            <w:pPr>
              <w:autoSpaceDE w:val="0"/>
              <w:autoSpaceDN w:val="0"/>
              <w:adjustRightInd w:val="0"/>
              <w:snapToGrid w:val="0"/>
              <w:jc w:val="left"/>
              <w:rPr>
                <w:rFonts w:ascii="宋体" w:hAnsi="宋体"/>
                <w:kern w:val="0"/>
                <w:szCs w:val="21"/>
              </w:rPr>
            </w:pPr>
          </w:p>
        </w:tc>
        <w:tc>
          <w:tcPr>
            <w:tcW w:w="776" w:type="dxa"/>
            <w:vMerge w:val="continue"/>
            <w:vAlign w:val="top"/>
          </w:tcPr>
          <w:p w14:paraId="2EB7890E">
            <w:pPr>
              <w:autoSpaceDE w:val="0"/>
              <w:autoSpaceDN w:val="0"/>
              <w:adjustRightInd w:val="0"/>
              <w:snapToGrid w:val="0"/>
              <w:jc w:val="left"/>
              <w:rPr>
                <w:rFonts w:ascii="宋体" w:hAnsi="宋体"/>
                <w:kern w:val="0"/>
                <w:szCs w:val="21"/>
              </w:rPr>
            </w:pPr>
          </w:p>
        </w:tc>
        <w:tc>
          <w:tcPr>
            <w:tcW w:w="1167" w:type="dxa"/>
            <w:vAlign w:val="center"/>
          </w:tcPr>
          <w:p w14:paraId="4E81688F">
            <w:pPr>
              <w:autoSpaceDE w:val="0"/>
              <w:autoSpaceDN w:val="0"/>
              <w:adjustRightInd w:val="0"/>
              <w:snapToGrid w:val="0"/>
              <w:jc w:val="center"/>
              <w:rPr>
                <w:rFonts w:ascii="宋体" w:hAnsi="宋体"/>
                <w:kern w:val="0"/>
                <w:szCs w:val="21"/>
              </w:rPr>
            </w:pPr>
            <w:r>
              <w:rPr>
                <w:rFonts w:hint="eastAsia" w:ascii="宋体" w:hAnsi="宋体" w:cs="MingLiU"/>
                <w:kern w:val="0"/>
                <w:szCs w:val="21"/>
              </w:rPr>
              <w:t>证书名称</w:t>
            </w:r>
          </w:p>
        </w:tc>
        <w:tc>
          <w:tcPr>
            <w:tcW w:w="776" w:type="dxa"/>
            <w:vAlign w:val="center"/>
          </w:tcPr>
          <w:p w14:paraId="0C767119">
            <w:pPr>
              <w:autoSpaceDE w:val="0"/>
              <w:autoSpaceDN w:val="0"/>
              <w:adjustRightInd w:val="0"/>
              <w:snapToGrid w:val="0"/>
              <w:jc w:val="center"/>
              <w:rPr>
                <w:rFonts w:ascii="宋体" w:hAnsi="宋体"/>
                <w:kern w:val="0"/>
                <w:szCs w:val="21"/>
              </w:rPr>
            </w:pPr>
            <w:r>
              <w:rPr>
                <w:rFonts w:hint="eastAsia" w:ascii="宋体" w:hAnsi="宋体" w:cs="MingLiU"/>
                <w:kern w:val="0"/>
                <w:szCs w:val="21"/>
              </w:rPr>
              <w:t>级别</w:t>
            </w:r>
          </w:p>
        </w:tc>
        <w:tc>
          <w:tcPr>
            <w:tcW w:w="778" w:type="dxa"/>
            <w:vAlign w:val="center"/>
          </w:tcPr>
          <w:p w14:paraId="77C18120">
            <w:pPr>
              <w:autoSpaceDE w:val="0"/>
              <w:autoSpaceDN w:val="0"/>
              <w:adjustRightInd w:val="0"/>
              <w:snapToGrid w:val="0"/>
              <w:jc w:val="center"/>
              <w:rPr>
                <w:rFonts w:ascii="宋体" w:hAnsi="宋体"/>
                <w:kern w:val="0"/>
                <w:szCs w:val="21"/>
              </w:rPr>
            </w:pPr>
            <w:r>
              <w:rPr>
                <w:rFonts w:hint="eastAsia" w:ascii="宋体" w:hAnsi="宋体" w:cs="MingLiU"/>
                <w:kern w:val="0"/>
                <w:szCs w:val="21"/>
              </w:rPr>
              <w:t>证号</w:t>
            </w:r>
          </w:p>
        </w:tc>
        <w:tc>
          <w:tcPr>
            <w:tcW w:w="776" w:type="dxa"/>
            <w:vAlign w:val="center"/>
          </w:tcPr>
          <w:p w14:paraId="49D9ADD7">
            <w:pPr>
              <w:autoSpaceDE w:val="0"/>
              <w:autoSpaceDN w:val="0"/>
              <w:adjustRightInd w:val="0"/>
              <w:snapToGrid w:val="0"/>
              <w:jc w:val="center"/>
              <w:rPr>
                <w:rFonts w:ascii="宋体" w:hAnsi="宋体"/>
                <w:kern w:val="0"/>
                <w:szCs w:val="21"/>
              </w:rPr>
            </w:pPr>
            <w:r>
              <w:rPr>
                <w:rFonts w:hint="eastAsia" w:ascii="宋体" w:hAnsi="宋体" w:cs="MingLiU"/>
                <w:kern w:val="0"/>
                <w:szCs w:val="21"/>
              </w:rPr>
              <w:t>专业</w:t>
            </w:r>
          </w:p>
        </w:tc>
        <w:tc>
          <w:tcPr>
            <w:tcW w:w="2723" w:type="dxa"/>
            <w:vAlign w:val="center"/>
          </w:tcPr>
          <w:p w14:paraId="024AD61B">
            <w:pPr>
              <w:autoSpaceDE w:val="0"/>
              <w:autoSpaceDN w:val="0"/>
              <w:adjustRightInd w:val="0"/>
              <w:snapToGrid w:val="0"/>
              <w:jc w:val="center"/>
              <w:rPr>
                <w:rFonts w:ascii="宋体" w:hAnsi="宋体"/>
                <w:kern w:val="0"/>
                <w:szCs w:val="21"/>
              </w:rPr>
            </w:pPr>
            <w:r>
              <w:rPr>
                <w:rFonts w:hint="eastAsia" w:ascii="宋体" w:hAnsi="宋体" w:cs="MingLiU"/>
                <w:kern w:val="0"/>
                <w:szCs w:val="21"/>
              </w:rPr>
              <w:t>养老保险</w:t>
            </w:r>
          </w:p>
        </w:tc>
        <w:tc>
          <w:tcPr>
            <w:tcW w:w="896" w:type="dxa"/>
            <w:vAlign w:val="top"/>
          </w:tcPr>
          <w:p w14:paraId="693CBF81">
            <w:pPr>
              <w:autoSpaceDE w:val="0"/>
              <w:autoSpaceDN w:val="0"/>
              <w:adjustRightInd w:val="0"/>
              <w:snapToGrid w:val="0"/>
              <w:jc w:val="left"/>
              <w:rPr>
                <w:rFonts w:ascii="宋体" w:hAnsi="宋体"/>
                <w:kern w:val="0"/>
                <w:szCs w:val="21"/>
              </w:rPr>
            </w:pPr>
          </w:p>
        </w:tc>
      </w:tr>
      <w:tr w14:paraId="48001B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7B6A0FC2">
            <w:pPr>
              <w:autoSpaceDE w:val="0"/>
              <w:autoSpaceDN w:val="0"/>
              <w:adjustRightInd w:val="0"/>
              <w:snapToGrid w:val="0"/>
              <w:jc w:val="center"/>
              <w:rPr>
                <w:rFonts w:ascii="宋体" w:hAnsi="宋体"/>
                <w:kern w:val="0"/>
                <w:szCs w:val="21"/>
              </w:rPr>
            </w:pPr>
            <w:r>
              <w:rPr>
                <w:rFonts w:hint="eastAsia" w:ascii="宋体" w:hAnsi="宋体"/>
                <w:kern w:val="0"/>
                <w:szCs w:val="21"/>
              </w:rPr>
              <w:t>项目经理</w:t>
            </w:r>
          </w:p>
        </w:tc>
        <w:tc>
          <w:tcPr>
            <w:tcW w:w="734" w:type="dxa"/>
            <w:vAlign w:val="top"/>
          </w:tcPr>
          <w:p w14:paraId="62FF8A1A">
            <w:pPr>
              <w:autoSpaceDE w:val="0"/>
              <w:autoSpaceDN w:val="0"/>
              <w:adjustRightInd w:val="0"/>
              <w:snapToGrid w:val="0"/>
              <w:jc w:val="left"/>
              <w:rPr>
                <w:rFonts w:ascii="宋体" w:hAnsi="宋体"/>
                <w:kern w:val="0"/>
                <w:szCs w:val="21"/>
              </w:rPr>
            </w:pPr>
          </w:p>
        </w:tc>
        <w:tc>
          <w:tcPr>
            <w:tcW w:w="776" w:type="dxa"/>
            <w:vAlign w:val="top"/>
          </w:tcPr>
          <w:p w14:paraId="297CA26E">
            <w:pPr>
              <w:autoSpaceDE w:val="0"/>
              <w:autoSpaceDN w:val="0"/>
              <w:adjustRightInd w:val="0"/>
              <w:snapToGrid w:val="0"/>
              <w:jc w:val="left"/>
              <w:rPr>
                <w:rFonts w:ascii="宋体" w:hAnsi="宋体"/>
                <w:kern w:val="0"/>
                <w:szCs w:val="21"/>
              </w:rPr>
            </w:pPr>
          </w:p>
        </w:tc>
        <w:tc>
          <w:tcPr>
            <w:tcW w:w="1167" w:type="dxa"/>
            <w:vAlign w:val="top"/>
          </w:tcPr>
          <w:p w14:paraId="5E57CE5D">
            <w:pPr>
              <w:autoSpaceDE w:val="0"/>
              <w:autoSpaceDN w:val="0"/>
              <w:adjustRightInd w:val="0"/>
              <w:snapToGrid w:val="0"/>
              <w:jc w:val="left"/>
              <w:rPr>
                <w:rFonts w:ascii="宋体" w:hAnsi="宋体"/>
                <w:kern w:val="0"/>
                <w:szCs w:val="21"/>
              </w:rPr>
            </w:pPr>
          </w:p>
        </w:tc>
        <w:tc>
          <w:tcPr>
            <w:tcW w:w="776" w:type="dxa"/>
            <w:vAlign w:val="top"/>
          </w:tcPr>
          <w:p w14:paraId="66ACA4E4">
            <w:pPr>
              <w:autoSpaceDE w:val="0"/>
              <w:autoSpaceDN w:val="0"/>
              <w:adjustRightInd w:val="0"/>
              <w:snapToGrid w:val="0"/>
              <w:jc w:val="left"/>
              <w:rPr>
                <w:rFonts w:ascii="宋体" w:hAnsi="宋体"/>
                <w:kern w:val="0"/>
                <w:szCs w:val="21"/>
              </w:rPr>
            </w:pPr>
          </w:p>
        </w:tc>
        <w:tc>
          <w:tcPr>
            <w:tcW w:w="778" w:type="dxa"/>
            <w:vAlign w:val="top"/>
          </w:tcPr>
          <w:p w14:paraId="56F975AA">
            <w:pPr>
              <w:autoSpaceDE w:val="0"/>
              <w:autoSpaceDN w:val="0"/>
              <w:adjustRightInd w:val="0"/>
              <w:snapToGrid w:val="0"/>
              <w:jc w:val="left"/>
              <w:rPr>
                <w:rFonts w:ascii="宋体" w:hAnsi="宋体"/>
                <w:kern w:val="0"/>
                <w:szCs w:val="21"/>
              </w:rPr>
            </w:pPr>
          </w:p>
        </w:tc>
        <w:tc>
          <w:tcPr>
            <w:tcW w:w="776" w:type="dxa"/>
            <w:vAlign w:val="top"/>
          </w:tcPr>
          <w:p w14:paraId="1B1CB396">
            <w:pPr>
              <w:autoSpaceDE w:val="0"/>
              <w:autoSpaceDN w:val="0"/>
              <w:adjustRightInd w:val="0"/>
              <w:snapToGrid w:val="0"/>
              <w:jc w:val="left"/>
              <w:rPr>
                <w:rFonts w:ascii="宋体" w:hAnsi="宋体"/>
                <w:kern w:val="0"/>
                <w:szCs w:val="21"/>
              </w:rPr>
            </w:pPr>
          </w:p>
        </w:tc>
        <w:tc>
          <w:tcPr>
            <w:tcW w:w="2723" w:type="dxa"/>
            <w:vAlign w:val="top"/>
          </w:tcPr>
          <w:p w14:paraId="2984B1EA">
            <w:pPr>
              <w:autoSpaceDE w:val="0"/>
              <w:autoSpaceDN w:val="0"/>
              <w:adjustRightInd w:val="0"/>
              <w:snapToGrid w:val="0"/>
              <w:jc w:val="left"/>
              <w:rPr>
                <w:rFonts w:ascii="宋体" w:hAnsi="宋体"/>
                <w:kern w:val="0"/>
                <w:szCs w:val="21"/>
              </w:rPr>
            </w:pPr>
          </w:p>
        </w:tc>
        <w:tc>
          <w:tcPr>
            <w:tcW w:w="896" w:type="dxa"/>
            <w:vAlign w:val="top"/>
          </w:tcPr>
          <w:p w14:paraId="6B85D467">
            <w:pPr>
              <w:autoSpaceDE w:val="0"/>
              <w:autoSpaceDN w:val="0"/>
              <w:adjustRightInd w:val="0"/>
              <w:snapToGrid w:val="0"/>
              <w:jc w:val="left"/>
              <w:rPr>
                <w:rFonts w:ascii="宋体" w:hAnsi="宋体"/>
                <w:kern w:val="0"/>
                <w:szCs w:val="21"/>
              </w:rPr>
            </w:pPr>
          </w:p>
        </w:tc>
      </w:tr>
      <w:tr w14:paraId="1F2C19E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154F78ED">
            <w:pPr>
              <w:autoSpaceDE w:val="0"/>
              <w:autoSpaceDN w:val="0"/>
              <w:adjustRightInd w:val="0"/>
              <w:snapToGrid w:val="0"/>
              <w:jc w:val="center"/>
              <w:rPr>
                <w:rFonts w:ascii="宋体" w:hAnsi="宋体"/>
                <w:kern w:val="0"/>
                <w:szCs w:val="21"/>
              </w:rPr>
            </w:pPr>
            <w:r>
              <w:rPr>
                <w:rFonts w:hint="eastAsia" w:ascii="宋体" w:hAnsi="宋体"/>
                <w:kern w:val="0"/>
                <w:szCs w:val="21"/>
              </w:rPr>
              <w:t>项目总工</w:t>
            </w:r>
          </w:p>
        </w:tc>
        <w:tc>
          <w:tcPr>
            <w:tcW w:w="734" w:type="dxa"/>
            <w:vAlign w:val="top"/>
          </w:tcPr>
          <w:p w14:paraId="1BC142C2">
            <w:pPr>
              <w:autoSpaceDE w:val="0"/>
              <w:autoSpaceDN w:val="0"/>
              <w:adjustRightInd w:val="0"/>
              <w:snapToGrid w:val="0"/>
              <w:jc w:val="left"/>
              <w:rPr>
                <w:rFonts w:ascii="宋体" w:hAnsi="宋体"/>
                <w:kern w:val="0"/>
                <w:szCs w:val="21"/>
              </w:rPr>
            </w:pPr>
          </w:p>
        </w:tc>
        <w:tc>
          <w:tcPr>
            <w:tcW w:w="776" w:type="dxa"/>
            <w:vAlign w:val="top"/>
          </w:tcPr>
          <w:p w14:paraId="37D22E1F">
            <w:pPr>
              <w:autoSpaceDE w:val="0"/>
              <w:autoSpaceDN w:val="0"/>
              <w:adjustRightInd w:val="0"/>
              <w:snapToGrid w:val="0"/>
              <w:jc w:val="left"/>
              <w:rPr>
                <w:rFonts w:ascii="宋体" w:hAnsi="宋体"/>
                <w:kern w:val="0"/>
                <w:szCs w:val="21"/>
              </w:rPr>
            </w:pPr>
          </w:p>
        </w:tc>
        <w:tc>
          <w:tcPr>
            <w:tcW w:w="1167" w:type="dxa"/>
            <w:vAlign w:val="top"/>
          </w:tcPr>
          <w:p w14:paraId="13BD4BCF">
            <w:pPr>
              <w:autoSpaceDE w:val="0"/>
              <w:autoSpaceDN w:val="0"/>
              <w:adjustRightInd w:val="0"/>
              <w:snapToGrid w:val="0"/>
              <w:jc w:val="left"/>
              <w:rPr>
                <w:rFonts w:ascii="宋体" w:hAnsi="宋体"/>
                <w:kern w:val="0"/>
                <w:szCs w:val="21"/>
              </w:rPr>
            </w:pPr>
          </w:p>
        </w:tc>
        <w:tc>
          <w:tcPr>
            <w:tcW w:w="776" w:type="dxa"/>
            <w:vAlign w:val="top"/>
          </w:tcPr>
          <w:p w14:paraId="1AAAD071">
            <w:pPr>
              <w:autoSpaceDE w:val="0"/>
              <w:autoSpaceDN w:val="0"/>
              <w:adjustRightInd w:val="0"/>
              <w:snapToGrid w:val="0"/>
              <w:jc w:val="left"/>
              <w:rPr>
                <w:rFonts w:ascii="宋体" w:hAnsi="宋体"/>
                <w:kern w:val="0"/>
                <w:szCs w:val="21"/>
              </w:rPr>
            </w:pPr>
          </w:p>
        </w:tc>
        <w:tc>
          <w:tcPr>
            <w:tcW w:w="778" w:type="dxa"/>
            <w:vAlign w:val="top"/>
          </w:tcPr>
          <w:p w14:paraId="0CD8980C">
            <w:pPr>
              <w:autoSpaceDE w:val="0"/>
              <w:autoSpaceDN w:val="0"/>
              <w:adjustRightInd w:val="0"/>
              <w:snapToGrid w:val="0"/>
              <w:jc w:val="left"/>
              <w:rPr>
                <w:rFonts w:ascii="宋体" w:hAnsi="宋体"/>
                <w:kern w:val="0"/>
                <w:szCs w:val="21"/>
              </w:rPr>
            </w:pPr>
          </w:p>
        </w:tc>
        <w:tc>
          <w:tcPr>
            <w:tcW w:w="776" w:type="dxa"/>
            <w:vAlign w:val="top"/>
          </w:tcPr>
          <w:p w14:paraId="18485FD5">
            <w:pPr>
              <w:autoSpaceDE w:val="0"/>
              <w:autoSpaceDN w:val="0"/>
              <w:adjustRightInd w:val="0"/>
              <w:snapToGrid w:val="0"/>
              <w:jc w:val="left"/>
              <w:rPr>
                <w:rFonts w:ascii="宋体" w:hAnsi="宋体"/>
                <w:kern w:val="0"/>
                <w:szCs w:val="21"/>
              </w:rPr>
            </w:pPr>
          </w:p>
        </w:tc>
        <w:tc>
          <w:tcPr>
            <w:tcW w:w="2723" w:type="dxa"/>
            <w:vAlign w:val="top"/>
          </w:tcPr>
          <w:p w14:paraId="26302C59">
            <w:pPr>
              <w:autoSpaceDE w:val="0"/>
              <w:autoSpaceDN w:val="0"/>
              <w:adjustRightInd w:val="0"/>
              <w:snapToGrid w:val="0"/>
              <w:jc w:val="left"/>
              <w:rPr>
                <w:rFonts w:ascii="宋体" w:hAnsi="宋体"/>
                <w:kern w:val="0"/>
                <w:szCs w:val="21"/>
              </w:rPr>
            </w:pPr>
          </w:p>
        </w:tc>
        <w:tc>
          <w:tcPr>
            <w:tcW w:w="896" w:type="dxa"/>
            <w:vAlign w:val="top"/>
          </w:tcPr>
          <w:p w14:paraId="31E3DEDC">
            <w:pPr>
              <w:autoSpaceDE w:val="0"/>
              <w:autoSpaceDN w:val="0"/>
              <w:adjustRightInd w:val="0"/>
              <w:snapToGrid w:val="0"/>
              <w:jc w:val="left"/>
              <w:rPr>
                <w:rFonts w:ascii="宋体" w:hAnsi="宋体"/>
                <w:kern w:val="0"/>
                <w:szCs w:val="21"/>
              </w:rPr>
            </w:pPr>
          </w:p>
        </w:tc>
      </w:tr>
      <w:tr w14:paraId="735DF94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2B5D1F48">
            <w:pPr>
              <w:autoSpaceDE w:val="0"/>
              <w:autoSpaceDN w:val="0"/>
              <w:adjustRightInd w:val="0"/>
              <w:snapToGrid w:val="0"/>
              <w:jc w:val="left"/>
              <w:rPr>
                <w:rFonts w:ascii="宋体" w:hAnsi="宋体"/>
                <w:kern w:val="0"/>
                <w:szCs w:val="21"/>
              </w:rPr>
            </w:pPr>
          </w:p>
        </w:tc>
        <w:tc>
          <w:tcPr>
            <w:tcW w:w="734" w:type="dxa"/>
            <w:vAlign w:val="top"/>
          </w:tcPr>
          <w:p w14:paraId="0540CB96">
            <w:pPr>
              <w:autoSpaceDE w:val="0"/>
              <w:autoSpaceDN w:val="0"/>
              <w:adjustRightInd w:val="0"/>
              <w:snapToGrid w:val="0"/>
              <w:jc w:val="left"/>
              <w:rPr>
                <w:rFonts w:ascii="宋体" w:hAnsi="宋体"/>
                <w:kern w:val="0"/>
                <w:szCs w:val="21"/>
              </w:rPr>
            </w:pPr>
          </w:p>
        </w:tc>
        <w:tc>
          <w:tcPr>
            <w:tcW w:w="776" w:type="dxa"/>
            <w:vAlign w:val="top"/>
          </w:tcPr>
          <w:p w14:paraId="48B0A48A">
            <w:pPr>
              <w:autoSpaceDE w:val="0"/>
              <w:autoSpaceDN w:val="0"/>
              <w:adjustRightInd w:val="0"/>
              <w:snapToGrid w:val="0"/>
              <w:jc w:val="left"/>
              <w:rPr>
                <w:rFonts w:ascii="宋体" w:hAnsi="宋体"/>
                <w:kern w:val="0"/>
                <w:szCs w:val="21"/>
              </w:rPr>
            </w:pPr>
          </w:p>
        </w:tc>
        <w:tc>
          <w:tcPr>
            <w:tcW w:w="1167" w:type="dxa"/>
            <w:vAlign w:val="top"/>
          </w:tcPr>
          <w:p w14:paraId="0C90E9F3">
            <w:pPr>
              <w:autoSpaceDE w:val="0"/>
              <w:autoSpaceDN w:val="0"/>
              <w:adjustRightInd w:val="0"/>
              <w:snapToGrid w:val="0"/>
              <w:jc w:val="left"/>
              <w:rPr>
                <w:rFonts w:ascii="宋体" w:hAnsi="宋体"/>
                <w:kern w:val="0"/>
                <w:szCs w:val="21"/>
              </w:rPr>
            </w:pPr>
          </w:p>
        </w:tc>
        <w:tc>
          <w:tcPr>
            <w:tcW w:w="776" w:type="dxa"/>
            <w:vAlign w:val="top"/>
          </w:tcPr>
          <w:p w14:paraId="5650247E">
            <w:pPr>
              <w:autoSpaceDE w:val="0"/>
              <w:autoSpaceDN w:val="0"/>
              <w:adjustRightInd w:val="0"/>
              <w:snapToGrid w:val="0"/>
              <w:jc w:val="left"/>
              <w:rPr>
                <w:rFonts w:ascii="宋体" w:hAnsi="宋体"/>
                <w:kern w:val="0"/>
                <w:szCs w:val="21"/>
              </w:rPr>
            </w:pPr>
          </w:p>
        </w:tc>
        <w:tc>
          <w:tcPr>
            <w:tcW w:w="778" w:type="dxa"/>
            <w:vAlign w:val="top"/>
          </w:tcPr>
          <w:p w14:paraId="0DAFBDE6">
            <w:pPr>
              <w:autoSpaceDE w:val="0"/>
              <w:autoSpaceDN w:val="0"/>
              <w:adjustRightInd w:val="0"/>
              <w:snapToGrid w:val="0"/>
              <w:jc w:val="left"/>
              <w:rPr>
                <w:rFonts w:ascii="宋体" w:hAnsi="宋体"/>
                <w:kern w:val="0"/>
                <w:szCs w:val="21"/>
              </w:rPr>
            </w:pPr>
          </w:p>
        </w:tc>
        <w:tc>
          <w:tcPr>
            <w:tcW w:w="776" w:type="dxa"/>
            <w:vAlign w:val="top"/>
          </w:tcPr>
          <w:p w14:paraId="14801418">
            <w:pPr>
              <w:autoSpaceDE w:val="0"/>
              <w:autoSpaceDN w:val="0"/>
              <w:adjustRightInd w:val="0"/>
              <w:snapToGrid w:val="0"/>
              <w:jc w:val="left"/>
              <w:rPr>
                <w:rFonts w:ascii="宋体" w:hAnsi="宋体"/>
                <w:kern w:val="0"/>
                <w:szCs w:val="21"/>
              </w:rPr>
            </w:pPr>
          </w:p>
        </w:tc>
        <w:tc>
          <w:tcPr>
            <w:tcW w:w="2723" w:type="dxa"/>
            <w:vAlign w:val="top"/>
          </w:tcPr>
          <w:p w14:paraId="232C537D">
            <w:pPr>
              <w:autoSpaceDE w:val="0"/>
              <w:autoSpaceDN w:val="0"/>
              <w:adjustRightInd w:val="0"/>
              <w:snapToGrid w:val="0"/>
              <w:jc w:val="left"/>
              <w:rPr>
                <w:rFonts w:ascii="宋体" w:hAnsi="宋体"/>
                <w:kern w:val="0"/>
                <w:szCs w:val="21"/>
              </w:rPr>
            </w:pPr>
          </w:p>
        </w:tc>
        <w:tc>
          <w:tcPr>
            <w:tcW w:w="896" w:type="dxa"/>
            <w:vAlign w:val="top"/>
          </w:tcPr>
          <w:p w14:paraId="480FED45">
            <w:pPr>
              <w:autoSpaceDE w:val="0"/>
              <w:autoSpaceDN w:val="0"/>
              <w:adjustRightInd w:val="0"/>
              <w:snapToGrid w:val="0"/>
              <w:jc w:val="left"/>
              <w:rPr>
                <w:rFonts w:ascii="宋体" w:hAnsi="宋体"/>
                <w:kern w:val="0"/>
                <w:szCs w:val="21"/>
              </w:rPr>
            </w:pPr>
          </w:p>
        </w:tc>
      </w:tr>
      <w:tr w14:paraId="67BF840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6C16045A">
            <w:pPr>
              <w:autoSpaceDE w:val="0"/>
              <w:autoSpaceDN w:val="0"/>
              <w:adjustRightInd w:val="0"/>
              <w:snapToGrid w:val="0"/>
              <w:jc w:val="left"/>
              <w:rPr>
                <w:rFonts w:ascii="宋体" w:hAnsi="宋体"/>
                <w:kern w:val="0"/>
                <w:szCs w:val="21"/>
              </w:rPr>
            </w:pPr>
          </w:p>
        </w:tc>
        <w:tc>
          <w:tcPr>
            <w:tcW w:w="734" w:type="dxa"/>
            <w:vAlign w:val="top"/>
          </w:tcPr>
          <w:p w14:paraId="7E9EB7F4">
            <w:pPr>
              <w:autoSpaceDE w:val="0"/>
              <w:autoSpaceDN w:val="0"/>
              <w:adjustRightInd w:val="0"/>
              <w:snapToGrid w:val="0"/>
              <w:jc w:val="left"/>
              <w:rPr>
                <w:rFonts w:ascii="宋体" w:hAnsi="宋体"/>
                <w:kern w:val="0"/>
                <w:szCs w:val="21"/>
              </w:rPr>
            </w:pPr>
          </w:p>
        </w:tc>
        <w:tc>
          <w:tcPr>
            <w:tcW w:w="776" w:type="dxa"/>
            <w:vAlign w:val="top"/>
          </w:tcPr>
          <w:p w14:paraId="3B809337">
            <w:pPr>
              <w:autoSpaceDE w:val="0"/>
              <w:autoSpaceDN w:val="0"/>
              <w:adjustRightInd w:val="0"/>
              <w:snapToGrid w:val="0"/>
              <w:jc w:val="left"/>
              <w:rPr>
                <w:rFonts w:ascii="宋体" w:hAnsi="宋体"/>
                <w:kern w:val="0"/>
                <w:szCs w:val="21"/>
              </w:rPr>
            </w:pPr>
          </w:p>
        </w:tc>
        <w:tc>
          <w:tcPr>
            <w:tcW w:w="1167" w:type="dxa"/>
            <w:vAlign w:val="top"/>
          </w:tcPr>
          <w:p w14:paraId="51386A40">
            <w:pPr>
              <w:autoSpaceDE w:val="0"/>
              <w:autoSpaceDN w:val="0"/>
              <w:adjustRightInd w:val="0"/>
              <w:snapToGrid w:val="0"/>
              <w:jc w:val="left"/>
              <w:rPr>
                <w:rFonts w:ascii="宋体" w:hAnsi="宋体"/>
                <w:kern w:val="0"/>
                <w:szCs w:val="21"/>
              </w:rPr>
            </w:pPr>
          </w:p>
        </w:tc>
        <w:tc>
          <w:tcPr>
            <w:tcW w:w="776" w:type="dxa"/>
            <w:vAlign w:val="top"/>
          </w:tcPr>
          <w:p w14:paraId="27646775">
            <w:pPr>
              <w:autoSpaceDE w:val="0"/>
              <w:autoSpaceDN w:val="0"/>
              <w:adjustRightInd w:val="0"/>
              <w:snapToGrid w:val="0"/>
              <w:jc w:val="left"/>
              <w:rPr>
                <w:rFonts w:ascii="宋体" w:hAnsi="宋体"/>
                <w:kern w:val="0"/>
                <w:szCs w:val="21"/>
              </w:rPr>
            </w:pPr>
          </w:p>
        </w:tc>
        <w:tc>
          <w:tcPr>
            <w:tcW w:w="778" w:type="dxa"/>
            <w:vAlign w:val="top"/>
          </w:tcPr>
          <w:p w14:paraId="2D5D8163">
            <w:pPr>
              <w:autoSpaceDE w:val="0"/>
              <w:autoSpaceDN w:val="0"/>
              <w:adjustRightInd w:val="0"/>
              <w:snapToGrid w:val="0"/>
              <w:jc w:val="left"/>
              <w:rPr>
                <w:rFonts w:ascii="宋体" w:hAnsi="宋体"/>
                <w:kern w:val="0"/>
                <w:szCs w:val="21"/>
              </w:rPr>
            </w:pPr>
          </w:p>
        </w:tc>
        <w:tc>
          <w:tcPr>
            <w:tcW w:w="776" w:type="dxa"/>
            <w:vAlign w:val="top"/>
          </w:tcPr>
          <w:p w14:paraId="25101132">
            <w:pPr>
              <w:autoSpaceDE w:val="0"/>
              <w:autoSpaceDN w:val="0"/>
              <w:adjustRightInd w:val="0"/>
              <w:snapToGrid w:val="0"/>
              <w:jc w:val="left"/>
              <w:rPr>
                <w:rFonts w:ascii="宋体" w:hAnsi="宋体"/>
                <w:kern w:val="0"/>
                <w:szCs w:val="21"/>
              </w:rPr>
            </w:pPr>
          </w:p>
        </w:tc>
        <w:tc>
          <w:tcPr>
            <w:tcW w:w="2723" w:type="dxa"/>
            <w:vAlign w:val="top"/>
          </w:tcPr>
          <w:p w14:paraId="0062A76D">
            <w:pPr>
              <w:autoSpaceDE w:val="0"/>
              <w:autoSpaceDN w:val="0"/>
              <w:adjustRightInd w:val="0"/>
              <w:snapToGrid w:val="0"/>
              <w:jc w:val="left"/>
              <w:rPr>
                <w:rFonts w:ascii="宋体" w:hAnsi="宋体"/>
                <w:kern w:val="0"/>
                <w:szCs w:val="21"/>
              </w:rPr>
            </w:pPr>
          </w:p>
        </w:tc>
        <w:tc>
          <w:tcPr>
            <w:tcW w:w="896" w:type="dxa"/>
            <w:vAlign w:val="top"/>
          </w:tcPr>
          <w:p w14:paraId="7DB1204C">
            <w:pPr>
              <w:autoSpaceDE w:val="0"/>
              <w:autoSpaceDN w:val="0"/>
              <w:adjustRightInd w:val="0"/>
              <w:snapToGrid w:val="0"/>
              <w:jc w:val="left"/>
              <w:rPr>
                <w:rFonts w:ascii="宋体" w:hAnsi="宋体"/>
                <w:kern w:val="0"/>
                <w:szCs w:val="21"/>
              </w:rPr>
            </w:pPr>
          </w:p>
        </w:tc>
      </w:tr>
      <w:tr w14:paraId="7C3C54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116CB225">
            <w:pPr>
              <w:autoSpaceDE w:val="0"/>
              <w:autoSpaceDN w:val="0"/>
              <w:adjustRightInd w:val="0"/>
              <w:snapToGrid w:val="0"/>
              <w:jc w:val="left"/>
              <w:rPr>
                <w:rFonts w:ascii="宋体" w:hAnsi="宋体"/>
                <w:kern w:val="0"/>
                <w:szCs w:val="21"/>
              </w:rPr>
            </w:pPr>
          </w:p>
        </w:tc>
        <w:tc>
          <w:tcPr>
            <w:tcW w:w="734" w:type="dxa"/>
            <w:vAlign w:val="top"/>
          </w:tcPr>
          <w:p w14:paraId="7499E5FF">
            <w:pPr>
              <w:autoSpaceDE w:val="0"/>
              <w:autoSpaceDN w:val="0"/>
              <w:adjustRightInd w:val="0"/>
              <w:snapToGrid w:val="0"/>
              <w:jc w:val="left"/>
              <w:rPr>
                <w:rFonts w:ascii="宋体" w:hAnsi="宋体"/>
                <w:kern w:val="0"/>
                <w:szCs w:val="21"/>
              </w:rPr>
            </w:pPr>
          </w:p>
        </w:tc>
        <w:tc>
          <w:tcPr>
            <w:tcW w:w="776" w:type="dxa"/>
            <w:vAlign w:val="top"/>
          </w:tcPr>
          <w:p w14:paraId="435FDF9F">
            <w:pPr>
              <w:autoSpaceDE w:val="0"/>
              <w:autoSpaceDN w:val="0"/>
              <w:adjustRightInd w:val="0"/>
              <w:snapToGrid w:val="0"/>
              <w:jc w:val="left"/>
              <w:rPr>
                <w:rFonts w:ascii="宋体" w:hAnsi="宋体"/>
                <w:kern w:val="0"/>
                <w:szCs w:val="21"/>
              </w:rPr>
            </w:pPr>
          </w:p>
        </w:tc>
        <w:tc>
          <w:tcPr>
            <w:tcW w:w="1167" w:type="dxa"/>
            <w:vAlign w:val="top"/>
          </w:tcPr>
          <w:p w14:paraId="3FF76CBA">
            <w:pPr>
              <w:autoSpaceDE w:val="0"/>
              <w:autoSpaceDN w:val="0"/>
              <w:adjustRightInd w:val="0"/>
              <w:snapToGrid w:val="0"/>
              <w:jc w:val="left"/>
              <w:rPr>
                <w:rFonts w:ascii="宋体" w:hAnsi="宋体"/>
                <w:kern w:val="0"/>
                <w:szCs w:val="21"/>
              </w:rPr>
            </w:pPr>
          </w:p>
        </w:tc>
        <w:tc>
          <w:tcPr>
            <w:tcW w:w="776" w:type="dxa"/>
            <w:vAlign w:val="top"/>
          </w:tcPr>
          <w:p w14:paraId="27914950">
            <w:pPr>
              <w:autoSpaceDE w:val="0"/>
              <w:autoSpaceDN w:val="0"/>
              <w:adjustRightInd w:val="0"/>
              <w:snapToGrid w:val="0"/>
              <w:jc w:val="left"/>
              <w:rPr>
                <w:rFonts w:ascii="宋体" w:hAnsi="宋体"/>
                <w:kern w:val="0"/>
                <w:szCs w:val="21"/>
              </w:rPr>
            </w:pPr>
          </w:p>
        </w:tc>
        <w:tc>
          <w:tcPr>
            <w:tcW w:w="778" w:type="dxa"/>
            <w:vAlign w:val="top"/>
          </w:tcPr>
          <w:p w14:paraId="79D1EE6B">
            <w:pPr>
              <w:autoSpaceDE w:val="0"/>
              <w:autoSpaceDN w:val="0"/>
              <w:adjustRightInd w:val="0"/>
              <w:snapToGrid w:val="0"/>
              <w:jc w:val="left"/>
              <w:rPr>
                <w:rFonts w:ascii="宋体" w:hAnsi="宋体"/>
                <w:kern w:val="0"/>
                <w:szCs w:val="21"/>
              </w:rPr>
            </w:pPr>
          </w:p>
        </w:tc>
        <w:tc>
          <w:tcPr>
            <w:tcW w:w="776" w:type="dxa"/>
            <w:vAlign w:val="top"/>
          </w:tcPr>
          <w:p w14:paraId="493AD0DF">
            <w:pPr>
              <w:autoSpaceDE w:val="0"/>
              <w:autoSpaceDN w:val="0"/>
              <w:adjustRightInd w:val="0"/>
              <w:snapToGrid w:val="0"/>
              <w:jc w:val="left"/>
              <w:rPr>
                <w:rFonts w:ascii="宋体" w:hAnsi="宋体"/>
                <w:kern w:val="0"/>
                <w:szCs w:val="21"/>
              </w:rPr>
            </w:pPr>
          </w:p>
        </w:tc>
        <w:tc>
          <w:tcPr>
            <w:tcW w:w="2723" w:type="dxa"/>
            <w:vAlign w:val="top"/>
          </w:tcPr>
          <w:p w14:paraId="7020C3D2">
            <w:pPr>
              <w:autoSpaceDE w:val="0"/>
              <w:autoSpaceDN w:val="0"/>
              <w:adjustRightInd w:val="0"/>
              <w:snapToGrid w:val="0"/>
              <w:jc w:val="left"/>
              <w:rPr>
                <w:rFonts w:ascii="宋体" w:hAnsi="宋体"/>
                <w:kern w:val="0"/>
                <w:szCs w:val="21"/>
              </w:rPr>
            </w:pPr>
          </w:p>
        </w:tc>
        <w:tc>
          <w:tcPr>
            <w:tcW w:w="896" w:type="dxa"/>
            <w:vAlign w:val="top"/>
          </w:tcPr>
          <w:p w14:paraId="7C7C3BBF">
            <w:pPr>
              <w:autoSpaceDE w:val="0"/>
              <w:autoSpaceDN w:val="0"/>
              <w:adjustRightInd w:val="0"/>
              <w:snapToGrid w:val="0"/>
              <w:jc w:val="left"/>
              <w:rPr>
                <w:rFonts w:ascii="宋体" w:hAnsi="宋体"/>
                <w:kern w:val="0"/>
                <w:szCs w:val="21"/>
              </w:rPr>
            </w:pPr>
          </w:p>
        </w:tc>
      </w:tr>
      <w:tr w14:paraId="23FC0C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096C7229">
            <w:pPr>
              <w:autoSpaceDE w:val="0"/>
              <w:autoSpaceDN w:val="0"/>
              <w:adjustRightInd w:val="0"/>
              <w:snapToGrid w:val="0"/>
              <w:jc w:val="left"/>
              <w:rPr>
                <w:rFonts w:ascii="宋体" w:hAnsi="宋体"/>
                <w:kern w:val="0"/>
                <w:szCs w:val="21"/>
              </w:rPr>
            </w:pPr>
          </w:p>
        </w:tc>
        <w:tc>
          <w:tcPr>
            <w:tcW w:w="734" w:type="dxa"/>
            <w:vAlign w:val="top"/>
          </w:tcPr>
          <w:p w14:paraId="7D215C61">
            <w:pPr>
              <w:autoSpaceDE w:val="0"/>
              <w:autoSpaceDN w:val="0"/>
              <w:adjustRightInd w:val="0"/>
              <w:snapToGrid w:val="0"/>
              <w:jc w:val="left"/>
              <w:rPr>
                <w:rFonts w:ascii="宋体" w:hAnsi="宋体"/>
                <w:kern w:val="0"/>
                <w:szCs w:val="21"/>
              </w:rPr>
            </w:pPr>
          </w:p>
        </w:tc>
        <w:tc>
          <w:tcPr>
            <w:tcW w:w="776" w:type="dxa"/>
            <w:vAlign w:val="top"/>
          </w:tcPr>
          <w:p w14:paraId="6C6C8730">
            <w:pPr>
              <w:autoSpaceDE w:val="0"/>
              <w:autoSpaceDN w:val="0"/>
              <w:adjustRightInd w:val="0"/>
              <w:snapToGrid w:val="0"/>
              <w:jc w:val="left"/>
              <w:rPr>
                <w:rFonts w:ascii="宋体" w:hAnsi="宋体"/>
                <w:kern w:val="0"/>
                <w:szCs w:val="21"/>
              </w:rPr>
            </w:pPr>
          </w:p>
        </w:tc>
        <w:tc>
          <w:tcPr>
            <w:tcW w:w="1167" w:type="dxa"/>
            <w:vAlign w:val="top"/>
          </w:tcPr>
          <w:p w14:paraId="55FC61F3">
            <w:pPr>
              <w:autoSpaceDE w:val="0"/>
              <w:autoSpaceDN w:val="0"/>
              <w:adjustRightInd w:val="0"/>
              <w:snapToGrid w:val="0"/>
              <w:jc w:val="left"/>
              <w:rPr>
                <w:rFonts w:ascii="宋体" w:hAnsi="宋体"/>
                <w:kern w:val="0"/>
                <w:szCs w:val="21"/>
              </w:rPr>
            </w:pPr>
          </w:p>
        </w:tc>
        <w:tc>
          <w:tcPr>
            <w:tcW w:w="776" w:type="dxa"/>
            <w:vAlign w:val="top"/>
          </w:tcPr>
          <w:p w14:paraId="2D13B97D">
            <w:pPr>
              <w:autoSpaceDE w:val="0"/>
              <w:autoSpaceDN w:val="0"/>
              <w:adjustRightInd w:val="0"/>
              <w:snapToGrid w:val="0"/>
              <w:jc w:val="left"/>
              <w:rPr>
                <w:rFonts w:ascii="宋体" w:hAnsi="宋体"/>
                <w:kern w:val="0"/>
                <w:szCs w:val="21"/>
              </w:rPr>
            </w:pPr>
          </w:p>
        </w:tc>
        <w:tc>
          <w:tcPr>
            <w:tcW w:w="778" w:type="dxa"/>
            <w:vAlign w:val="top"/>
          </w:tcPr>
          <w:p w14:paraId="7AC190D4">
            <w:pPr>
              <w:autoSpaceDE w:val="0"/>
              <w:autoSpaceDN w:val="0"/>
              <w:adjustRightInd w:val="0"/>
              <w:snapToGrid w:val="0"/>
              <w:jc w:val="left"/>
              <w:rPr>
                <w:rFonts w:ascii="宋体" w:hAnsi="宋体"/>
                <w:kern w:val="0"/>
                <w:szCs w:val="21"/>
              </w:rPr>
            </w:pPr>
          </w:p>
        </w:tc>
        <w:tc>
          <w:tcPr>
            <w:tcW w:w="776" w:type="dxa"/>
            <w:vAlign w:val="top"/>
          </w:tcPr>
          <w:p w14:paraId="581ECE14">
            <w:pPr>
              <w:autoSpaceDE w:val="0"/>
              <w:autoSpaceDN w:val="0"/>
              <w:adjustRightInd w:val="0"/>
              <w:snapToGrid w:val="0"/>
              <w:jc w:val="left"/>
              <w:rPr>
                <w:rFonts w:ascii="宋体" w:hAnsi="宋体"/>
                <w:kern w:val="0"/>
                <w:szCs w:val="21"/>
              </w:rPr>
            </w:pPr>
          </w:p>
        </w:tc>
        <w:tc>
          <w:tcPr>
            <w:tcW w:w="2723" w:type="dxa"/>
            <w:vAlign w:val="top"/>
          </w:tcPr>
          <w:p w14:paraId="0AB69943">
            <w:pPr>
              <w:autoSpaceDE w:val="0"/>
              <w:autoSpaceDN w:val="0"/>
              <w:adjustRightInd w:val="0"/>
              <w:snapToGrid w:val="0"/>
              <w:jc w:val="left"/>
              <w:rPr>
                <w:rFonts w:ascii="宋体" w:hAnsi="宋体"/>
                <w:kern w:val="0"/>
                <w:szCs w:val="21"/>
              </w:rPr>
            </w:pPr>
          </w:p>
        </w:tc>
        <w:tc>
          <w:tcPr>
            <w:tcW w:w="896" w:type="dxa"/>
            <w:vAlign w:val="top"/>
          </w:tcPr>
          <w:p w14:paraId="2EE38B70">
            <w:pPr>
              <w:autoSpaceDE w:val="0"/>
              <w:autoSpaceDN w:val="0"/>
              <w:adjustRightInd w:val="0"/>
              <w:snapToGrid w:val="0"/>
              <w:jc w:val="left"/>
              <w:rPr>
                <w:rFonts w:ascii="宋体" w:hAnsi="宋体"/>
                <w:kern w:val="0"/>
                <w:szCs w:val="21"/>
              </w:rPr>
            </w:pPr>
          </w:p>
        </w:tc>
      </w:tr>
      <w:tr w14:paraId="316D66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00E42AC6">
            <w:pPr>
              <w:autoSpaceDE w:val="0"/>
              <w:autoSpaceDN w:val="0"/>
              <w:adjustRightInd w:val="0"/>
              <w:snapToGrid w:val="0"/>
              <w:jc w:val="left"/>
              <w:rPr>
                <w:rFonts w:ascii="宋体" w:hAnsi="宋体"/>
                <w:kern w:val="0"/>
                <w:szCs w:val="21"/>
              </w:rPr>
            </w:pPr>
          </w:p>
        </w:tc>
        <w:tc>
          <w:tcPr>
            <w:tcW w:w="734" w:type="dxa"/>
            <w:vAlign w:val="top"/>
          </w:tcPr>
          <w:p w14:paraId="282D4ED1">
            <w:pPr>
              <w:autoSpaceDE w:val="0"/>
              <w:autoSpaceDN w:val="0"/>
              <w:adjustRightInd w:val="0"/>
              <w:snapToGrid w:val="0"/>
              <w:jc w:val="left"/>
              <w:rPr>
                <w:rFonts w:ascii="宋体" w:hAnsi="宋体"/>
                <w:kern w:val="0"/>
                <w:szCs w:val="21"/>
              </w:rPr>
            </w:pPr>
          </w:p>
        </w:tc>
        <w:tc>
          <w:tcPr>
            <w:tcW w:w="776" w:type="dxa"/>
            <w:vAlign w:val="top"/>
          </w:tcPr>
          <w:p w14:paraId="09EB9AF8">
            <w:pPr>
              <w:autoSpaceDE w:val="0"/>
              <w:autoSpaceDN w:val="0"/>
              <w:adjustRightInd w:val="0"/>
              <w:snapToGrid w:val="0"/>
              <w:jc w:val="left"/>
              <w:rPr>
                <w:rFonts w:ascii="宋体" w:hAnsi="宋体"/>
                <w:kern w:val="0"/>
                <w:szCs w:val="21"/>
              </w:rPr>
            </w:pPr>
          </w:p>
        </w:tc>
        <w:tc>
          <w:tcPr>
            <w:tcW w:w="1167" w:type="dxa"/>
            <w:vAlign w:val="top"/>
          </w:tcPr>
          <w:p w14:paraId="77B4E49F">
            <w:pPr>
              <w:autoSpaceDE w:val="0"/>
              <w:autoSpaceDN w:val="0"/>
              <w:adjustRightInd w:val="0"/>
              <w:snapToGrid w:val="0"/>
              <w:jc w:val="left"/>
              <w:rPr>
                <w:rFonts w:ascii="宋体" w:hAnsi="宋体"/>
                <w:kern w:val="0"/>
                <w:szCs w:val="21"/>
              </w:rPr>
            </w:pPr>
          </w:p>
        </w:tc>
        <w:tc>
          <w:tcPr>
            <w:tcW w:w="776" w:type="dxa"/>
            <w:vAlign w:val="top"/>
          </w:tcPr>
          <w:p w14:paraId="1F218F6D">
            <w:pPr>
              <w:autoSpaceDE w:val="0"/>
              <w:autoSpaceDN w:val="0"/>
              <w:adjustRightInd w:val="0"/>
              <w:snapToGrid w:val="0"/>
              <w:jc w:val="left"/>
              <w:rPr>
                <w:rFonts w:ascii="宋体" w:hAnsi="宋体"/>
                <w:kern w:val="0"/>
                <w:szCs w:val="21"/>
              </w:rPr>
            </w:pPr>
          </w:p>
        </w:tc>
        <w:tc>
          <w:tcPr>
            <w:tcW w:w="778" w:type="dxa"/>
            <w:vAlign w:val="top"/>
          </w:tcPr>
          <w:p w14:paraId="5F46D315">
            <w:pPr>
              <w:autoSpaceDE w:val="0"/>
              <w:autoSpaceDN w:val="0"/>
              <w:adjustRightInd w:val="0"/>
              <w:snapToGrid w:val="0"/>
              <w:jc w:val="left"/>
              <w:rPr>
                <w:rFonts w:ascii="宋体" w:hAnsi="宋体"/>
                <w:kern w:val="0"/>
                <w:szCs w:val="21"/>
              </w:rPr>
            </w:pPr>
          </w:p>
        </w:tc>
        <w:tc>
          <w:tcPr>
            <w:tcW w:w="776" w:type="dxa"/>
            <w:vAlign w:val="top"/>
          </w:tcPr>
          <w:p w14:paraId="7E30DE03">
            <w:pPr>
              <w:autoSpaceDE w:val="0"/>
              <w:autoSpaceDN w:val="0"/>
              <w:adjustRightInd w:val="0"/>
              <w:snapToGrid w:val="0"/>
              <w:jc w:val="left"/>
              <w:rPr>
                <w:rFonts w:ascii="宋体" w:hAnsi="宋体"/>
                <w:kern w:val="0"/>
                <w:szCs w:val="21"/>
              </w:rPr>
            </w:pPr>
          </w:p>
        </w:tc>
        <w:tc>
          <w:tcPr>
            <w:tcW w:w="2723" w:type="dxa"/>
            <w:vAlign w:val="top"/>
          </w:tcPr>
          <w:p w14:paraId="28F59A8B">
            <w:pPr>
              <w:autoSpaceDE w:val="0"/>
              <w:autoSpaceDN w:val="0"/>
              <w:adjustRightInd w:val="0"/>
              <w:snapToGrid w:val="0"/>
              <w:jc w:val="left"/>
              <w:rPr>
                <w:rFonts w:ascii="宋体" w:hAnsi="宋体"/>
                <w:kern w:val="0"/>
                <w:szCs w:val="21"/>
              </w:rPr>
            </w:pPr>
          </w:p>
        </w:tc>
        <w:tc>
          <w:tcPr>
            <w:tcW w:w="896" w:type="dxa"/>
            <w:vAlign w:val="top"/>
          </w:tcPr>
          <w:p w14:paraId="11B785FD">
            <w:pPr>
              <w:autoSpaceDE w:val="0"/>
              <w:autoSpaceDN w:val="0"/>
              <w:adjustRightInd w:val="0"/>
              <w:snapToGrid w:val="0"/>
              <w:jc w:val="left"/>
              <w:rPr>
                <w:rFonts w:ascii="宋体" w:hAnsi="宋体"/>
                <w:kern w:val="0"/>
                <w:szCs w:val="21"/>
              </w:rPr>
            </w:pPr>
          </w:p>
        </w:tc>
      </w:tr>
      <w:tr w14:paraId="0CD094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3CF23113">
            <w:pPr>
              <w:autoSpaceDE w:val="0"/>
              <w:autoSpaceDN w:val="0"/>
              <w:adjustRightInd w:val="0"/>
              <w:snapToGrid w:val="0"/>
              <w:jc w:val="left"/>
              <w:rPr>
                <w:rFonts w:ascii="宋体" w:hAnsi="宋体"/>
                <w:kern w:val="0"/>
                <w:szCs w:val="21"/>
              </w:rPr>
            </w:pPr>
          </w:p>
        </w:tc>
        <w:tc>
          <w:tcPr>
            <w:tcW w:w="734" w:type="dxa"/>
            <w:vAlign w:val="top"/>
          </w:tcPr>
          <w:p w14:paraId="0E0A1567">
            <w:pPr>
              <w:autoSpaceDE w:val="0"/>
              <w:autoSpaceDN w:val="0"/>
              <w:adjustRightInd w:val="0"/>
              <w:snapToGrid w:val="0"/>
              <w:jc w:val="left"/>
              <w:rPr>
                <w:rFonts w:ascii="宋体" w:hAnsi="宋体"/>
                <w:kern w:val="0"/>
                <w:szCs w:val="21"/>
              </w:rPr>
            </w:pPr>
          </w:p>
        </w:tc>
        <w:tc>
          <w:tcPr>
            <w:tcW w:w="776" w:type="dxa"/>
            <w:vAlign w:val="top"/>
          </w:tcPr>
          <w:p w14:paraId="6BF3D7E1">
            <w:pPr>
              <w:autoSpaceDE w:val="0"/>
              <w:autoSpaceDN w:val="0"/>
              <w:adjustRightInd w:val="0"/>
              <w:snapToGrid w:val="0"/>
              <w:jc w:val="left"/>
              <w:rPr>
                <w:rFonts w:ascii="宋体" w:hAnsi="宋体"/>
                <w:kern w:val="0"/>
                <w:szCs w:val="21"/>
              </w:rPr>
            </w:pPr>
          </w:p>
        </w:tc>
        <w:tc>
          <w:tcPr>
            <w:tcW w:w="1167" w:type="dxa"/>
            <w:vAlign w:val="top"/>
          </w:tcPr>
          <w:p w14:paraId="408E8D96">
            <w:pPr>
              <w:autoSpaceDE w:val="0"/>
              <w:autoSpaceDN w:val="0"/>
              <w:adjustRightInd w:val="0"/>
              <w:snapToGrid w:val="0"/>
              <w:jc w:val="left"/>
              <w:rPr>
                <w:rFonts w:ascii="宋体" w:hAnsi="宋体"/>
                <w:kern w:val="0"/>
                <w:szCs w:val="21"/>
              </w:rPr>
            </w:pPr>
          </w:p>
        </w:tc>
        <w:tc>
          <w:tcPr>
            <w:tcW w:w="776" w:type="dxa"/>
            <w:vAlign w:val="top"/>
          </w:tcPr>
          <w:p w14:paraId="5DCDF04A">
            <w:pPr>
              <w:autoSpaceDE w:val="0"/>
              <w:autoSpaceDN w:val="0"/>
              <w:adjustRightInd w:val="0"/>
              <w:snapToGrid w:val="0"/>
              <w:jc w:val="left"/>
              <w:rPr>
                <w:rFonts w:ascii="宋体" w:hAnsi="宋体"/>
                <w:kern w:val="0"/>
                <w:szCs w:val="21"/>
              </w:rPr>
            </w:pPr>
          </w:p>
        </w:tc>
        <w:tc>
          <w:tcPr>
            <w:tcW w:w="778" w:type="dxa"/>
            <w:vAlign w:val="top"/>
          </w:tcPr>
          <w:p w14:paraId="77730D98">
            <w:pPr>
              <w:autoSpaceDE w:val="0"/>
              <w:autoSpaceDN w:val="0"/>
              <w:adjustRightInd w:val="0"/>
              <w:snapToGrid w:val="0"/>
              <w:jc w:val="left"/>
              <w:rPr>
                <w:rFonts w:ascii="宋体" w:hAnsi="宋体"/>
                <w:kern w:val="0"/>
                <w:szCs w:val="21"/>
              </w:rPr>
            </w:pPr>
          </w:p>
        </w:tc>
        <w:tc>
          <w:tcPr>
            <w:tcW w:w="776" w:type="dxa"/>
            <w:vAlign w:val="top"/>
          </w:tcPr>
          <w:p w14:paraId="02F6098C">
            <w:pPr>
              <w:autoSpaceDE w:val="0"/>
              <w:autoSpaceDN w:val="0"/>
              <w:adjustRightInd w:val="0"/>
              <w:snapToGrid w:val="0"/>
              <w:jc w:val="left"/>
              <w:rPr>
                <w:rFonts w:ascii="宋体" w:hAnsi="宋体"/>
                <w:kern w:val="0"/>
                <w:szCs w:val="21"/>
              </w:rPr>
            </w:pPr>
          </w:p>
        </w:tc>
        <w:tc>
          <w:tcPr>
            <w:tcW w:w="2723" w:type="dxa"/>
            <w:vAlign w:val="top"/>
          </w:tcPr>
          <w:p w14:paraId="4839B39A">
            <w:pPr>
              <w:autoSpaceDE w:val="0"/>
              <w:autoSpaceDN w:val="0"/>
              <w:adjustRightInd w:val="0"/>
              <w:snapToGrid w:val="0"/>
              <w:jc w:val="left"/>
              <w:rPr>
                <w:rFonts w:ascii="宋体" w:hAnsi="宋体"/>
                <w:kern w:val="0"/>
                <w:szCs w:val="21"/>
              </w:rPr>
            </w:pPr>
          </w:p>
        </w:tc>
        <w:tc>
          <w:tcPr>
            <w:tcW w:w="896" w:type="dxa"/>
            <w:vAlign w:val="top"/>
          </w:tcPr>
          <w:p w14:paraId="49E78A5C">
            <w:pPr>
              <w:autoSpaceDE w:val="0"/>
              <w:autoSpaceDN w:val="0"/>
              <w:adjustRightInd w:val="0"/>
              <w:snapToGrid w:val="0"/>
              <w:jc w:val="left"/>
              <w:rPr>
                <w:rFonts w:ascii="宋体" w:hAnsi="宋体"/>
                <w:kern w:val="0"/>
                <w:szCs w:val="21"/>
              </w:rPr>
            </w:pPr>
          </w:p>
        </w:tc>
      </w:tr>
      <w:tr w14:paraId="4EA761F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0EC848C2">
            <w:pPr>
              <w:autoSpaceDE w:val="0"/>
              <w:autoSpaceDN w:val="0"/>
              <w:adjustRightInd w:val="0"/>
              <w:snapToGrid w:val="0"/>
              <w:jc w:val="left"/>
              <w:rPr>
                <w:rFonts w:ascii="宋体" w:hAnsi="宋体"/>
                <w:kern w:val="0"/>
                <w:szCs w:val="21"/>
              </w:rPr>
            </w:pPr>
          </w:p>
        </w:tc>
        <w:tc>
          <w:tcPr>
            <w:tcW w:w="734" w:type="dxa"/>
            <w:vAlign w:val="top"/>
          </w:tcPr>
          <w:p w14:paraId="25E4AB54">
            <w:pPr>
              <w:autoSpaceDE w:val="0"/>
              <w:autoSpaceDN w:val="0"/>
              <w:adjustRightInd w:val="0"/>
              <w:snapToGrid w:val="0"/>
              <w:jc w:val="left"/>
              <w:rPr>
                <w:rFonts w:ascii="宋体" w:hAnsi="宋体"/>
                <w:kern w:val="0"/>
                <w:szCs w:val="21"/>
              </w:rPr>
            </w:pPr>
          </w:p>
        </w:tc>
        <w:tc>
          <w:tcPr>
            <w:tcW w:w="776" w:type="dxa"/>
            <w:vAlign w:val="top"/>
          </w:tcPr>
          <w:p w14:paraId="2B7EEDAD">
            <w:pPr>
              <w:autoSpaceDE w:val="0"/>
              <w:autoSpaceDN w:val="0"/>
              <w:adjustRightInd w:val="0"/>
              <w:snapToGrid w:val="0"/>
              <w:jc w:val="left"/>
              <w:rPr>
                <w:rFonts w:ascii="宋体" w:hAnsi="宋体"/>
                <w:kern w:val="0"/>
                <w:szCs w:val="21"/>
              </w:rPr>
            </w:pPr>
          </w:p>
        </w:tc>
        <w:tc>
          <w:tcPr>
            <w:tcW w:w="1167" w:type="dxa"/>
            <w:vAlign w:val="top"/>
          </w:tcPr>
          <w:p w14:paraId="391F9CA4">
            <w:pPr>
              <w:autoSpaceDE w:val="0"/>
              <w:autoSpaceDN w:val="0"/>
              <w:adjustRightInd w:val="0"/>
              <w:snapToGrid w:val="0"/>
              <w:jc w:val="left"/>
              <w:rPr>
                <w:rFonts w:ascii="宋体" w:hAnsi="宋体"/>
                <w:kern w:val="0"/>
                <w:szCs w:val="21"/>
              </w:rPr>
            </w:pPr>
          </w:p>
        </w:tc>
        <w:tc>
          <w:tcPr>
            <w:tcW w:w="776" w:type="dxa"/>
            <w:vAlign w:val="top"/>
          </w:tcPr>
          <w:p w14:paraId="08805892">
            <w:pPr>
              <w:autoSpaceDE w:val="0"/>
              <w:autoSpaceDN w:val="0"/>
              <w:adjustRightInd w:val="0"/>
              <w:snapToGrid w:val="0"/>
              <w:jc w:val="left"/>
              <w:rPr>
                <w:rFonts w:ascii="宋体" w:hAnsi="宋体"/>
                <w:kern w:val="0"/>
                <w:szCs w:val="21"/>
              </w:rPr>
            </w:pPr>
          </w:p>
        </w:tc>
        <w:tc>
          <w:tcPr>
            <w:tcW w:w="778" w:type="dxa"/>
            <w:vAlign w:val="top"/>
          </w:tcPr>
          <w:p w14:paraId="3AE023DD">
            <w:pPr>
              <w:autoSpaceDE w:val="0"/>
              <w:autoSpaceDN w:val="0"/>
              <w:adjustRightInd w:val="0"/>
              <w:snapToGrid w:val="0"/>
              <w:jc w:val="left"/>
              <w:rPr>
                <w:rFonts w:ascii="宋体" w:hAnsi="宋体"/>
                <w:kern w:val="0"/>
                <w:szCs w:val="21"/>
              </w:rPr>
            </w:pPr>
          </w:p>
        </w:tc>
        <w:tc>
          <w:tcPr>
            <w:tcW w:w="776" w:type="dxa"/>
            <w:vAlign w:val="top"/>
          </w:tcPr>
          <w:p w14:paraId="3C62FA47">
            <w:pPr>
              <w:autoSpaceDE w:val="0"/>
              <w:autoSpaceDN w:val="0"/>
              <w:adjustRightInd w:val="0"/>
              <w:snapToGrid w:val="0"/>
              <w:jc w:val="left"/>
              <w:rPr>
                <w:rFonts w:ascii="宋体" w:hAnsi="宋体"/>
                <w:kern w:val="0"/>
                <w:szCs w:val="21"/>
              </w:rPr>
            </w:pPr>
          </w:p>
        </w:tc>
        <w:tc>
          <w:tcPr>
            <w:tcW w:w="2723" w:type="dxa"/>
            <w:vAlign w:val="top"/>
          </w:tcPr>
          <w:p w14:paraId="51785605">
            <w:pPr>
              <w:autoSpaceDE w:val="0"/>
              <w:autoSpaceDN w:val="0"/>
              <w:adjustRightInd w:val="0"/>
              <w:snapToGrid w:val="0"/>
              <w:jc w:val="left"/>
              <w:rPr>
                <w:rFonts w:ascii="宋体" w:hAnsi="宋体"/>
                <w:kern w:val="0"/>
                <w:szCs w:val="21"/>
              </w:rPr>
            </w:pPr>
          </w:p>
        </w:tc>
        <w:tc>
          <w:tcPr>
            <w:tcW w:w="896" w:type="dxa"/>
            <w:vAlign w:val="top"/>
          </w:tcPr>
          <w:p w14:paraId="6239445E">
            <w:pPr>
              <w:autoSpaceDE w:val="0"/>
              <w:autoSpaceDN w:val="0"/>
              <w:adjustRightInd w:val="0"/>
              <w:snapToGrid w:val="0"/>
              <w:jc w:val="left"/>
              <w:rPr>
                <w:rFonts w:ascii="宋体" w:hAnsi="宋体"/>
                <w:kern w:val="0"/>
                <w:szCs w:val="21"/>
              </w:rPr>
            </w:pPr>
          </w:p>
        </w:tc>
      </w:tr>
      <w:tr w14:paraId="20A22D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1CC7215D">
            <w:pPr>
              <w:autoSpaceDE w:val="0"/>
              <w:autoSpaceDN w:val="0"/>
              <w:adjustRightInd w:val="0"/>
              <w:snapToGrid w:val="0"/>
              <w:jc w:val="left"/>
              <w:rPr>
                <w:rFonts w:ascii="宋体" w:hAnsi="宋体"/>
                <w:kern w:val="0"/>
                <w:szCs w:val="21"/>
              </w:rPr>
            </w:pPr>
          </w:p>
        </w:tc>
        <w:tc>
          <w:tcPr>
            <w:tcW w:w="734" w:type="dxa"/>
            <w:vAlign w:val="top"/>
          </w:tcPr>
          <w:p w14:paraId="1B9106FA">
            <w:pPr>
              <w:autoSpaceDE w:val="0"/>
              <w:autoSpaceDN w:val="0"/>
              <w:adjustRightInd w:val="0"/>
              <w:snapToGrid w:val="0"/>
              <w:jc w:val="left"/>
              <w:rPr>
                <w:rFonts w:ascii="宋体" w:hAnsi="宋体"/>
                <w:kern w:val="0"/>
                <w:szCs w:val="21"/>
              </w:rPr>
            </w:pPr>
          </w:p>
        </w:tc>
        <w:tc>
          <w:tcPr>
            <w:tcW w:w="776" w:type="dxa"/>
            <w:vAlign w:val="top"/>
          </w:tcPr>
          <w:p w14:paraId="00AB0BE7">
            <w:pPr>
              <w:autoSpaceDE w:val="0"/>
              <w:autoSpaceDN w:val="0"/>
              <w:adjustRightInd w:val="0"/>
              <w:snapToGrid w:val="0"/>
              <w:jc w:val="left"/>
              <w:rPr>
                <w:rFonts w:ascii="宋体" w:hAnsi="宋体"/>
                <w:kern w:val="0"/>
                <w:szCs w:val="21"/>
              </w:rPr>
            </w:pPr>
          </w:p>
        </w:tc>
        <w:tc>
          <w:tcPr>
            <w:tcW w:w="1167" w:type="dxa"/>
            <w:vAlign w:val="top"/>
          </w:tcPr>
          <w:p w14:paraId="0CD3C507">
            <w:pPr>
              <w:autoSpaceDE w:val="0"/>
              <w:autoSpaceDN w:val="0"/>
              <w:adjustRightInd w:val="0"/>
              <w:snapToGrid w:val="0"/>
              <w:jc w:val="left"/>
              <w:rPr>
                <w:rFonts w:ascii="宋体" w:hAnsi="宋体"/>
                <w:kern w:val="0"/>
                <w:szCs w:val="21"/>
              </w:rPr>
            </w:pPr>
          </w:p>
        </w:tc>
        <w:tc>
          <w:tcPr>
            <w:tcW w:w="776" w:type="dxa"/>
            <w:vAlign w:val="top"/>
          </w:tcPr>
          <w:p w14:paraId="1F965B96">
            <w:pPr>
              <w:autoSpaceDE w:val="0"/>
              <w:autoSpaceDN w:val="0"/>
              <w:adjustRightInd w:val="0"/>
              <w:snapToGrid w:val="0"/>
              <w:jc w:val="left"/>
              <w:rPr>
                <w:rFonts w:ascii="宋体" w:hAnsi="宋体"/>
                <w:kern w:val="0"/>
                <w:szCs w:val="21"/>
              </w:rPr>
            </w:pPr>
          </w:p>
        </w:tc>
        <w:tc>
          <w:tcPr>
            <w:tcW w:w="778" w:type="dxa"/>
            <w:vAlign w:val="top"/>
          </w:tcPr>
          <w:p w14:paraId="4720CBB6">
            <w:pPr>
              <w:autoSpaceDE w:val="0"/>
              <w:autoSpaceDN w:val="0"/>
              <w:adjustRightInd w:val="0"/>
              <w:snapToGrid w:val="0"/>
              <w:jc w:val="left"/>
              <w:rPr>
                <w:rFonts w:ascii="宋体" w:hAnsi="宋体"/>
                <w:kern w:val="0"/>
                <w:szCs w:val="21"/>
              </w:rPr>
            </w:pPr>
          </w:p>
        </w:tc>
        <w:tc>
          <w:tcPr>
            <w:tcW w:w="776" w:type="dxa"/>
            <w:vAlign w:val="top"/>
          </w:tcPr>
          <w:p w14:paraId="14D4F2E3">
            <w:pPr>
              <w:autoSpaceDE w:val="0"/>
              <w:autoSpaceDN w:val="0"/>
              <w:adjustRightInd w:val="0"/>
              <w:snapToGrid w:val="0"/>
              <w:jc w:val="left"/>
              <w:rPr>
                <w:rFonts w:ascii="宋体" w:hAnsi="宋体"/>
                <w:kern w:val="0"/>
                <w:szCs w:val="21"/>
              </w:rPr>
            </w:pPr>
          </w:p>
        </w:tc>
        <w:tc>
          <w:tcPr>
            <w:tcW w:w="2723" w:type="dxa"/>
            <w:vAlign w:val="top"/>
          </w:tcPr>
          <w:p w14:paraId="3F276478">
            <w:pPr>
              <w:autoSpaceDE w:val="0"/>
              <w:autoSpaceDN w:val="0"/>
              <w:adjustRightInd w:val="0"/>
              <w:snapToGrid w:val="0"/>
              <w:jc w:val="left"/>
              <w:rPr>
                <w:rFonts w:ascii="宋体" w:hAnsi="宋体"/>
                <w:kern w:val="0"/>
                <w:szCs w:val="21"/>
              </w:rPr>
            </w:pPr>
          </w:p>
        </w:tc>
        <w:tc>
          <w:tcPr>
            <w:tcW w:w="896" w:type="dxa"/>
            <w:vAlign w:val="top"/>
          </w:tcPr>
          <w:p w14:paraId="5234BCA4">
            <w:pPr>
              <w:autoSpaceDE w:val="0"/>
              <w:autoSpaceDN w:val="0"/>
              <w:adjustRightInd w:val="0"/>
              <w:snapToGrid w:val="0"/>
              <w:jc w:val="left"/>
              <w:rPr>
                <w:rFonts w:ascii="宋体" w:hAnsi="宋体"/>
                <w:kern w:val="0"/>
                <w:szCs w:val="21"/>
              </w:rPr>
            </w:pPr>
          </w:p>
        </w:tc>
      </w:tr>
      <w:tr w14:paraId="688D2A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697BED7D">
            <w:pPr>
              <w:autoSpaceDE w:val="0"/>
              <w:autoSpaceDN w:val="0"/>
              <w:adjustRightInd w:val="0"/>
              <w:snapToGrid w:val="0"/>
              <w:jc w:val="left"/>
              <w:rPr>
                <w:rFonts w:ascii="宋体" w:hAnsi="宋体"/>
                <w:kern w:val="0"/>
                <w:szCs w:val="21"/>
              </w:rPr>
            </w:pPr>
          </w:p>
        </w:tc>
        <w:tc>
          <w:tcPr>
            <w:tcW w:w="734" w:type="dxa"/>
            <w:vAlign w:val="top"/>
          </w:tcPr>
          <w:p w14:paraId="5161F818">
            <w:pPr>
              <w:autoSpaceDE w:val="0"/>
              <w:autoSpaceDN w:val="0"/>
              <w:adjustRightInd w:val="0"/>
              <w:snapToGrid w:val="0"/>
              <w:jc w:val="left"/>
              <w:rPr>
                <w:rFonts w:ascii="宋体" w:hAnsi="宋体"/>
                <w:kern w:val="0"/>
                <w:szCs w:val="21"/>
              </w:rPr>
            </w:pPr>
          </w:p>
        </w:tc>
        <w:tc>
          <w:tcPr>
            <w:tcW w:w="776" w:type="dxa"/>
            <w:vAlign w:val="top"/>
          </w:tcPr>
          <w:p w14:paraId="312C5242">
            <w:pPr>
              <w:autoSpaceDE w:val="0"/>
              <w:autoSpaceDN w:val="0"/>
              <w:adjustRightInd w:val="0"/>
              <w:snapToGrid w:val="0"/>
              <w:jc w:val="left"/>
              <w:rPr>
                <w:rFonts w:ascii="宋体" w:hAnsi="宋体"/>
                <w:kern w:val="0"/>
                <w:szCs w:val="21"/>
              </w:rPr>
            </w:pPr>
          </w:p>
        </w:tc>
        <w:tc>
          <w:tcPr>
            <w:tcW w:w="1167" w:type="dxa"/>
            <w:vAlign w:val="top"/>
          </w:tcPr>
          <w:p w14:paraId="7926572A">
            <w:pPr>
              <w:autoSpaceDE w:val="0"/>
              <w:autoSpaceDN w:val="0"/>
              <w:adjustRightInd w:val="0"/>
              <w:snapToGrid w:val="0"/>
              <w:jc w:val="left"/>
              <w:rPr>
                <w:rFonts w:ascii="宋体" w:hAnsi="宋体"/>
                <w:kern w:val="0"/>
                <w:szCs w:val="21"/>
              </w:rPr>
            </w:pPr>
          </w:p>
        </w:tc>
        <w:tc>
          <w:tcPr>
            <w:tcW w:w="776" w:type="dxa"/>
            <w:vAlign w:val="top"/>
          </w:tcPr>
          <w:p w14:paraId="23CDF45A">
            <w:pPr>
              <w:autoSpaceDE w:val="0"/>
              <w:autoSpaceDN w:val="0"/>
              <w:adjustRightInd w:val="0"/>
              <w:snapToGrid w:val="0"/>
              <w:jc w:val="left"/>
              <w:rPr>
                <w:rFonts w:ascii="宋体" w:hAnsi="宋体"/>
                <w:kern w:val="0"/>
                <w:szCs w:val="21"/>
              </w:rPr>
            </w:pPr>
          </w:p>
        </w:tc>
        <w:tc>
          <w:tcPr>
            <w:tcW w:w="778" w:type="dxa"/>
            <w:vAlign w:val="top"/>
          </w:tcPr>
          <w:p w14:paraId="020F97CA">
            <w:pPr>
              <w:autoSpaceDE w:val="0"/>
              <w:autoSpaceDN w:val="0"/>
              <w:adjustRightInd w:val="0"/>
              <w:snapToGrid w:val="0"/>
              <w:jc w:val="left"/>
              <w:rPr>
                <w:rFonts w:ascii="宋体" w:hAnsi="宋体"/>
                <w:kern w:val="0"/>
                <w:szCs w:val="21"/>
              </w:rPr>
            </w:pPr>
          </w:p>
        </w:tc>
        <w:tc>
          <w:tcPr>
            <w:tcW w:w="776" w:type="dxa"/>
            <w:vAlign w:val="top"/>
          </w:tcPr>
          <w:p w14:paraId="529E7424">
            <w:pPr>
              <w:autoSpaceDE w:val="0"/>
              <w:autoSpaceDN w:val="0"/>
              <w:adjustRightInd w:val="0"/>
              <w:snapToGrid w:val="0"/>
              <w:jc w:val="left"/>
              <w:rPr>
                <w:rFonts w:ascii="宋体" w:hAnsi="宋体"/>
                <w:kern w:val="0"/>
                <w:szCs w:val="21"/>
              </w:rPr>
            </w:pPr>
          </w:p>
        </w:tc>
        <w:tc>
          <w:tcPr>
            <w:tcW w:w="2723" w:type="dxa"/>
            <w:vAlign w:val="top"/>
          </w:tcPr>
          <w:p w14:paraId="4B2B55E4">
            <w:pPr>
              <w:autoSpaceDE w:val="0"/>
              <w:autoSpaceDN w:val="0"/>
              <w:adjustRightInd w:val="0"/>
              <w:snapToGrid w:val="0"/>
              <w:jc w:val="left"/>
              <w:rPr>
                <w:rFonts w:ascii="宋体" w:hAnsi="宋体"/>
                <w:kern w:val="0"/>
                <w:szCs w:val="21"/>
              </w:rPr>
            </w:pPr>
          </w:p>
        </w:tc>
        <w:tc>
          <w:tcPr>
            <w:tcW w:w="896" w:type="dxa"/>
            <w:vAlign w:val="top"/>
          </w:tcPr>
          <w:p w14:paraId="37BAB609">
            <w:pPr>
              <w:autoSpaceDE w:val="0"/>
              <w:autoSpaceDN w:val="0"/>
              <w:adjustRightInd w:val="0"/>
              <w:snapToGrid w:val="0"/>
              <w:jc w:val="left"/>
              <w:rPr>
                <w:rFonts w:ascii="宋体" w:hAnsi="宋体"/>
                <w:kern w:val="0"/>
                <w:szCs w:val="21"/>
              </w:rPr>
            </w:pPr>
          </w:p>
        </w:tc>
      </w:tr>
      <w:tr w14:paraId="0507003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7F1E5DA1">
            <w:pPr>
              <w:autoSpaceDE w:val="0"/>
              <w:autoSpaceDN w:val="0"/>
              <w:adjustRightInd w:val="0"/>
              <w:snapToGrid w:val="0"/>
              <w:jc w:val="left"/>
              <w:rPr>
                <w:rFonts w:ascii="宋体" w:hAnsi="宋体"/>
                <w:kern w:val="0"/>
                <w:szCs w:val="21"/>
              </w:rPr>
            </w:pPr>
          </w:p>
        </w:tc>
        <w:tc>
          <w:tcPr>
            <w:tcW w:w="734" w:type="dxa"/>
            <w:vAlign w:val="top"/>
          </w:tcPr>
          <w:p w14:paraId="2F67B1A0">
            <w:pPr>
              <w:autoSpaceDE w:val="0"/>
              <w:autoSpaceDN w:val="0"/>
              <w:adjustRightInd w:val="0"/>
              <w:snapToGrid w:val="0"/>
              <w:jc w:val="left"/>
              <w:rPr>
                <w:rFonts w:ascii="宋体" w:hAnsi="宋体"/>
                <w:kern w:val="0"/>
                <w:szCs w:val="21"/>
              </w:rPr>
            </w:pPr>
          </w:p>
        </w:tc>
        <w:tc>
          <w:tcPr>
            <w:tcW w:w="776" w:type="dxa"/>
            <w:vAlign w:val="top"/>
          </w:tcPr>
          <w:p w14:paraId="20F95BEF">
            <w:pPr>
              <w:autoSpaceDE w:val="0"/>
              <w:autoSpaceDN w:val="0"/>
              <w:adjustRightInd w:val="0"/>
              <w:snapToGrid w:val="0"/>
              <w:jc w:val="left"/>
              <w:rPr>
                <w:rFonts w:ascii="宋体" w:hAnsi="宋体"/>
                <w:kern w:val="0"/>
                <w:szCs w:val="21"/>
              </w:rPr>
            </w:pPr>
          </w:p>
        </w:tc>
        <w:tc>
          <w:tcPr>
            <w:tcW w:w="1167" w:type="dxa"/>
            <w:vAlign w:val="top"/>
          </w:tcPr>
          <w:p w14:paraId="03FFC16A">
            <w:pPr>
              <w:autoSpaceDE w:val="0"/>
              <w:autoSpaceDN w:val="0"/>
              <w:adjustRightInd w:val="0"/>
              <w:snapToGrid w:val="0"/>
              <w:jc w:val="left"/>
              <w:rPr>
                <w:rFonts w:ascii="宋体" w:hAnsi="宋体"/>
                <w:kern w:val="0"/>
                <w:szCs w:val="21"/>
              </w:rPr>
            </w:pPr>
          </w:p>
        </w:tc>
        <w:tc>
          <w:tcPr>
            <w:tcW w:w="776" w:type="dxa"/>
            <w:vAlign w:val="top"/>
          </w:tcPr>
          <w:p w14:paraId="2E5C004C">
            <w:pPr>
              <w:autoSpaceDE w:val="0"/>
              <w:autoSpaceDN w:val="0"/>
              <w:adjustRightInd w:val="0"/>
              <w:snapToGrid w:val="0"/>
              <w:jc w:val="left"/>
              <w:rPr>
                <w:rFonts w:ascii="宋体" w:hAnsi="宋体"/>
                <w:kern w:val="0"/>
                <w:szCs w:val="21"/>
              </w:rPr>
            </w:pPr>
          </w:p>
        </w:tc>
        <w:tc>
          <w:tcPr>
            <w:tcW w:w="778" w:type="dxa"/>
            <w:vAlign w:val="top"/>
          </w:tcPr>
          <w:p w14:paraId="39D14596">
            <w:pPr>
              <w:autoSpaceDE w:val="0"/>
              <w:autoSpaceDN w:val="0"/>
              <w:adjustRightInd w:val="0"/>
              <w:snapToGrid w:val="0"/>
              <w:jc w:val="left"/>
              <w:rPr>
                <w:rFonts w:ascii="宋体" w:hAnsi="宋体"/>
                <w:kern w:val="0"/>
                <w:szCs w:val="21"/>
              </w:rPr>
            </w:pPr>
          </w:p>
        </w:tc>
        <w:tc>
          <w:tcPr>
            <w:tcW w:w="776" w:type="dxa"/>
            <w:vAlign w:val="top"/>
          </w:tcPr>
          <w:p w14:paraId="144860FA">
            <w:pPr>
              <w:autoSpaceDE w:val="0"/>
              <w:autoSpaceDN w:val="0"/>
              <w:adjustRightInd w:val="0"/>
              <w:snapToGrid w:val="0"/>
              <w:jc w:val="left"/>
              <w:rPr>
                <w:rFonts w:ascii="宋体" w:hAnsi="宋体"/>
                <w:kern w:val="0"/>
                <w:szCs w:val="21"/>
              </w:rPr>
            </w:pPr>
          </w:p>
        </w:tc>
        <w:tc>
          <w:tcPr>
            <w:tcW w:w="2723" w:type="dxa"/>
            <w:vAlign w:val="top"/>
          </w:tcPr>
          <w:p w14:paraId="4ACEA16B">
            <w:pPr>
              <w:autoSpaceDE w:val="0"/>
              <w:autoSpaceDN w:val="0"/>
              <w:adjustRightInd w:val="0"/>
              <w:snapToGrid w:val="0"/>
              <w:jc w:val="left"/>
              <w:rPr>
                <w:rFonts w:ascii="宋体" w:hAnsi="宋体"/>
                <w:kern w:val="0"/>
                <w:szCs w:val="21"/>
              </w:rPr>
            </w:pPr>
          </w:p>
        </w:tc>
        <w:tc>
          <w:tcPr>
            <w:tcW w:w="896" w:type="dxa"/>
            <w:vAlign w:val="top"/>
          </w:tcPr>
          <w:p w14:paraId="2216FF80">
            <w:pPr>
              <w:autoSpaceDE w:val="0"/>
              <w:autoSpaceDN w:val="0"/>
              <w:adjustRightInd w:val="0"/>
              <w:snapToGrid w:val="0"/>
              <w:jc w:val="left"/>
              <w:rPr>
                <w:rFonts w:ascii="宋体" w:hAnsi="宋体"/>
                <w:kern w:val="0"/>
                <w:szCs w:val="21"/>
              </w:rPr>
            </w:pPr>
          </w:p>
        </w:tc>
      </w:tr>
      <w:tr w14:paraId="6D237B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0BD0B566">
            <w:pPr>
              <w:autoSpaceDE w:val="0"/>
              <w:autoSpaceDN w:val="0"/>
              <w:adjustRightInd w:val="0"/>
              <w:snapToGrid w:val="0"/>
              <w:jc w:val="left"/>
              <w:rPr>
                <w:rFonts w:ascii="宋体" w:hAnsi="宋体"/>
                <w:kern w:val="0"/>
                <w:szCs w:val="21"/>
              </w:rPr>
            </w:pPr>
          </w:p>
        </w:tc>
        <w:tc>
          <w:tcPr>
            <w:tcW w:w="734" w:type="dxa"/>
            <w:vAlign w:val="top"/>
          </w:tcPr>
          <w:p w14:paraId="35613E5F">
            <w:pPr>
              <w:autoSpaceDE w:val="0"/>
              <w:autoSpaceDN w:val="0"/>
              <w:adjustRightInd w:val="0"/>
              <w:snapToGrid w:val="0"/>
              <w:jc w:val="left"/>
              <w:rPr>
                <w:rFonts w:ascii="宋体" w:hAnsi="宋体"/>
                <w:kern w:val="0"/>
                <w:szCs w:val="21"/>
              </w:rPr>
            </w:pPr>
          </w:p>
        </w:tc>
        <w:tc>
          <w:tcPr>
            <w:tcW w:w="776" w:type="dxa"/>
            <w:vAlign w:val="top"/>
          </w:tcPr>
          <w:p w14:paraId="13F5A0B7">
            <w:pPr>
              <w:autoSpaceDE w:val="0"/>
              <w:autoSpaceDN w:val="0"/>
              <w:adjustRightInd w:val="0"/>
              <w:snapToGrid w:val="0"/>
              <w:jc w:val="left"/>
              <w:rPr>
                <w:rFonts w:ascii="宋体" w:hAnsi="宋体"/>
                <w:kern w:val="0"/>
                <w:szCs w:val="21"/>
              </w:rPr>
            </w:pPr>
          </w:p>
        </w:tc>
        <w:tc>
          <w:tcPr>
            <w:tcW w:w="1167" w:type="dxa"/>
            <w:vAlign w:val="top"/>
          </w:tcPr>
          <w:p w14:paraId="01F278FB">
            <w:pPr>
              <w:autoSpaceDE w:val="0"/>
              <w:autoSpaceDN w:val="0"/>
              <w:adjustRightInd w:val="0"/>
              <w:snapToGrid w:val="0"/>
              <w:jc w:val="left"/>
              <w:rPr>
                <w:rFonts w:ascii="宋体" w:hAnsi="宋体"/>
                <w:kern w:val="0"/>
                <w:szCs w:val="21"/>
              </w:rPr>
            </w:pPr>
          </w:p>
        </w:tc>
        <w:tc>
          <w:tcPr>
            <w:tcW w:w="776" w:type="dxa"/>
            <w:vAlign w:val="top"/>
          </w:tcPr>
          <w:p w14:paraId="51FA9331">
            <w:pPr>
              <w:autoSpaceDE w:val="0"/>
              <w:autoSpaceDN w:val="0"/>
              <w:adjustRightInd w:val="0"/>
              <w:snapToGrid w:val="0"/>
              <w:jc w:val="left"/>
              <w:rPr>
                <w:rFonts w:ascii="宋体" w:hAnsi="宋体"/>
                <w:kern w:val="0"/>
                <w:szCs w:val="21"/>
              </w:rPr>
            </w:pPr>
          </w:p>
        </w:tc>
        <w:tc>
          <w:tcPr>
            <w:tcW w:w="778" w:type="dxa"/>
            <w:vAlign w:val="top"/>
          </w:tcPr>
          <w:p w14:paraId="025BA930">
            <w:pPr>
              <w:autoSpaceDE w:val="0"/>
              <w:autoSpaceDN w:val="0"/>
              <w:adjustRightInd w:val="0"/>
              <w:snapToGrid w:val="0"/>
              <w:jc w:val="left"/>
              <w:rPr>
                <w:rFonts w:ascii="宋体" w:hAnsi="宋体"/>
                <w:kern w:val="0"/>
                <w:szCs w:val="21"/>
              </w:rPr>
            </w:pPr>
          </w:p>
        </w:tc>
        <w:tc>
          <w:tcPr>
            <w:tcW w:w="776" w:type="dxa"/>
            <w:vAlign w:val="top"/>
          </w:tcPr>
          <w:p w14:paraId="213D2B95">
            <w:pPr>
              <w:autoSpaceDE w:val="0"/>
              <w:autoSpaceDN w:val="0"/>
              <w:adjustRightInd w:val="0"/>
              <w:snapToGrid w:val="0"/>
              <w:jc w:val="left"/>
              <w:rPr>
                <w:rFonts w:ascii="宋体" w:hAnsi="宋体"/>
                <w:kern w:val="0"/>
                <w:szCs w:val="21"/>
              </w:rPr>
            </w:pPr>
          </w:p>
        </w:tc>
        <w:tc>
          <w:tcPr>
            <w:tcW w:w="2723" w:type="dxa"/>
            <w:vAlign w:val="top"/>
          </w:tcPr>
          <w:p w14:paraId="67F692F8">
            <w:pPr>
              <w:autoSpaceDE w:val="0"/>
              <w:autoSpaceDN w:val="0"/>
              <w:adjustRightInd w:val="0"/>
              <w:snapToGrid w:val="0"/>
              <w:jc w:val="left"/>
              <w:rPr>
                <w:rFonts w:ascii="宋体" w:hAnsi="宋体"/>
                <w:kern w:val="0"/>
                <w:szCs w:val="21"/>
              </w:rPr>
            </w:pPr>
          </w:p>
        </w:tc>
        <w:tc>
          <w:tcPr>
            <w:tcW w:w="896" w:type="dxa"/>
            <w:vAlign w:val="top"/>
          </w:tcPr>
          <w:p w14:paraId="4ACECFEE">
            <w:pPr>
              <w:autoSpaceDE w:val="0"/>
              <w:autoSpaceDN w:val="0"/>
              <w:adjustRightInd w:val="0"/>
              <w:snapToGrid w:val="0"/>
              <w:jc w:val="left"/>
              <w:rPr>
                <w:rFonts w:ascii="宋体" w:hAnsi="宋体"/>
                <w:kern w:val="0"/>
                <w:szCs w:val="21"/>
              </w:rPr>
            </w:pPr>
          </w:p>
        </w:tc>
      </w:tr>
      <w:tr w14:paraId="6CAD85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7F8132B5">
            <w:pPr>
              <w:autoSpaceDE w:val="0"/>
              <w:autoSpaceDN w:val="0"/>
              <w:adjustRightInd w:val="0"/>
              <w:snapToGrid w:val="0"/>
              <w:jc w:val="left"/>
              <w:rPr>
                <w:rFonts w:ascii="宋体" w:hAnsi="宋体"/>
                <w:kern w:val="0"/>
                <w:szCs w:val="21"/>
              </w:rPr>
            </w:pPr>
          </w:p>
        </w:tc>
        <w:tc>
          <w:tcPr>
            <w:tcW w:w="734" w:type="dxa"/>
            <w:vAlign w:val="top"/>
          </w:tcPr>
          <w:p w14:paraId="6A2336BD">
            <w:pPr>
              <w:autoSpaceDE w:val="0"/>
              <w:autoSpaceDN w:val="0"/>
              <w:adjustRightInd w:val="0"/>
              <w:snapToGrid w:val="0"/>
              <w:jc w:val="left"/>
              <w:rPr>
                <w:rFonts w:ascii="宋体" w:hAnsi="宋体"/>
                <w:kern w:val="0"/>
                <w:szCs w:val="21"/>
              </w:rPr>
            </w:pPr>
          </w:p>
        </w:tc>
        <w:tc>
          <w:tcPr>
            <w:tcW w:w="776" w:type="dxa"/>
            <w:vAlign w:val="top"/>
          </w:tcPr>
          <w:p w14:paraId="065ECB50">
            <w:pPr>
              <w:autoSpaceDE w:val="0"/>
              <w:autoSpaceDN w:val="0"/>
              <w:adjustRightInd w:val="0"/>
              <w:snapToGrid w:val="0"/>
              <w:jc w:val="left"/>
              <w:rPr>
                <w:rFonts w:ascii="宋体" w:hAnsi="宋体"/>
                <w:kern w:val="0"/>
                <w:szCs w:val="21"/>
              </w:rPr>
            </w:pPr>
          </w:p>
        </w:tc>
        <w:tc>
          <w:tcPr>
            <w:tcW w:w="1167" w:type="dxa"/>
            <w:vAlign w:val="top"/>
          </w:tcPr>
          <w:p w14:paraId="625AB31E">
            <w:pPr>
              <w:autoSpaceDE w:val="0"/>
              <w:autoSpaceDN w:val="0"/>
              <w:adjustRightInd w:val="0"/>
              <w:snapToGrid w:val="0"/>
              <w:jc w:val="left"/>
              <w:rPr>
                <w:rFonts w:ascii="宋体" w:hAnsi="宋体"/>
                <w:kern w:val="0"/>
                <w:szCs w:val="21"/>
              </w:rPr>
            </w:pPr>
          </w:p>
        </w:tc>
        <w:tc>
          <w:tcPr>
            <w:tcW w:w="776" w:type="dxa"/>
            <w:vAlign w:val="top"/>
          </w:tcPr>
          <w:p w14:paraId="528741FE">
            <w:pPr>
              <w:autoSpaceDE w:val="0"/>
              <w:autoSpaceDN w:val="0"/>
              <w:adjustRightInd w:val="0"/>
              <w:snapToGrid w:val="0"/>
              <w:jc w:val="left"/>
              <w:rPr>
                <w:rFonts w:ascii="宋体" w:hAnsi="宋体"/>
                <w:kern w:val="0"/>
                <w:szCs w:val="21"/>
              </w:rPr>
            </w:pPr>
          </w:p>
        </w:tc>
        <w:tc>
          <w:tcPr>
            <w:tcW w:w="778" w:type="dxa"/>
            <w:vAlign w:val="top"/>
          </w:tcPr>
          <w:p w14:paraId="7A8A5CCC">
            <w:pPr>
              <w:autoSpaceDE w:val="0"/>
              <w:autoSpaceDN w:val="0"/>
              <w:adjustRightInd w:val="0"/>
              <w:snapToGrid w:val="0"/>
              <w:jc w:val="left"/>
              <w:rPr>
                <w:rFonts w:ascii="宋体" w:hAnsi="宋体"/>
                <w:kern w:val="0"/>
                <w:szCs w:val="21"/>
              </w:rPr>
            </w:pPr>
          </w:p>
        </w:tc>
        <w:tc>
          <w:tcPr>
            <w:tcW w:w="776" w:type="dxa"/>
            <w:vAlign w:val="top"/>
          </w:tcPr>
          <w:p w14:paraId="788F3E5E">
            <w:pPr>
              <w:autoSpaceDE w:val="0"/>
              <w:autoSpaceDN w:val="0"/>
              <w:adjustRightInd w:val="0"/>
              <w:snapToGrid w:val="0"/>
              <w:jc w:val="left"/>
              <w:rPr>
                <w:rFonts w:ascii="宋体" w:hAnsi="宋体"/>
                <w:kern w:val="0"/>
                <w:szCs w:val="21"/>
              </w:rPr>
            </w:pPr>
          </w:p>
        </w:tc>
        <w:tc>
          <w:tcPr>
            <w:tcW w:w="2723" w:type="dxa"/>
            <w:vAlign w:val="top"/>
          </w:tcPr>
          <w:p w14:paraId="4374604D">
            <w:pPr>
              <w:autoSpaceDE w:val="0"/>
              <w:autoSpaceDN w:val="0"/>
              <w:adjustRightInd w:val="0"/>
              <w:snapToGrid w:val="0"/>
              <w:jc w:val="left"/>
              <w:rPr>
                <w:rFonts w:ascii="宋体" w:hAnsi="宋体"/>
                <w:kern w:val="0"/>
                <w:szCs w:val="21"/>
              </w:rPr>
            </w:pPr>
          </w:p>
        </w:tc>
        <w:tc>
          <w:tcPr>
            <w:tcW w:w="896" w:type="dxa"/>
            <w:vAlign w:val="top"/>
          </w:tcPr>
          <w:p w14:paraId="2385F95A">
            <w:pPr>
              <w:autoSpaceDE w:val="0"/>
              <w:autoSpaceDN w:val="0"/>
              <w:adjustRightInd w:val="0"/>
              <w:snapToGrid w:val="0"/>
              <w:jc w:val="left"/>
              <w:rPr>
                <w:rFonts w:ascii="宋体" w:hAnsi="宋体"/>
                <w:kern w:val="0"/>
                <w:szCs w:val="21"/>
              </w:rPr>
            </w:pPr>
          </w:p>
        </w:tc>
      </w:tr>
      <w:tr w14:paraId="7DE080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5C1208C8">
            <w:pPr>
              <w:autoSpaceDE w:val="0"/>
              <w:autoSpaceDN w:val="0"/>
              <w:adjustRightInd w:val="0"/>
              <w:snapToGrid w:val="0"/>
              <w:jc w:val="left"/>
              <w:rPr>
                <w:rFonts w:ascii="宋体" w:hAnsi="宋体"/>
                <w:kern w:val="0"/>
                <w:szCs w:val="21"/>
              </w:rPr>
            </w:pPr>
          </w:p>
        </w:tc>
        <w:tc>
          <w:tcPr>
            <w:tcW w:w="734" w:type="dxa"/>
            <w:vAlign w:val="top"/>
          </w:tcPr>
          <w:p w14:paraId="576FFF40">
            <w:pPr>
              <w:autoSpaceDE w:val="0"/>
              <w:autoSpaceDN w:val="0"/>
              <w:adjustRightInd w:val="0"/>
              <w:snapToGrid w:val="0"/>
              <w:jc w:val="left"/>
              <w:rPr>
                <w:rFonts w:ascii="宋体" w:hAnsi="宋体"/>
                <w:kern w:val="0"/>
                <w:szCs w:val="21"/>
              </w:rPr>
            </w:pPr>
          </w:p>
        </w:tc>
        <w:tc>
          <w:tcPr>
            <w:tcW w:w="776" w:type="dxa"/>
            <w:vAlign w:val="top"/>
          </w:tcPr>
          <w:p w14:paraId="716D3352">
            <w:pPr>
              <w:autoSpaceDE w:val="0"/>
              <w:autoSpaceDN w:val="0"/>
              <w:adjustRightInd w:val="0"/>
              <w:snapToGrid w:val="0"/>
              <w:jc w:val="left"/>
              <w:rPr>
                <w:rFonts w:ascii="宋体" w:hAnsi="宋体"/>
                <w:kern w:val="0"/>
                <w:szCs w:val="21"/>
              </w:rPr>
            </w:pPr>
          </w:p>
        </w:tc>
        <w:tc>
          <w:tcPr>
            <w:tcW w:w="1167" w:type="dxa"/>
            <w:vAlign w:val="top"/>
          </w:tcPr>
          <w:p w14:paraId="74CC4501">
            <w:pPr>
              <w:autoSpaceDE w:val="0"/>
              <w:autoSpaceDN w:val="0"/>
              <w:adjustRightInd w:val="0"/>
              <w:snapToGrid w:val="0"/>
              <w:jc w:val="left"/>
              <w:rPr>
                <w:rFonts w:ascii="宋体" w:hAnsi="宋体"/>
                <w:kern w:val="0"/>
                <w:szCs w:val="21"/>
              </w:rPr>
            </w:pPr>
          </w:p>
        </w:tc>
        <w:tc>
          <w:tcPr>
            <w:tcW w:w="776" w:type="dxa"/>
            <w:vAlign w:val="top"/>
          </w:tcPr>
          <w:p w14:paraId="220211B6">
            <w:pPr>
              <w:autoSpaceDE w:val="0"/>
              <w:autoSpaceDN w:val="0"/>
              <w:adjustRightInd w:val="0"/>
              <w:snapToGrid w:val="0"/>
              <w:jc w:val="left"/>
              <w:rPr>
                <w:rFonts w:ascii="宋体" w:hAnsi="宋体"/>
                <w:kern w:val="0"/>
                <w:szCs w:val="21"/>
              </w:rPr>
            </w:pPr>
          </w:p>
        </w:tc>
        <w:tc>
          <w:tcPr>
            <w:tcW w:w="778" w:type="dxa"/>
            <w:vAlign w:val="top"/>
          </w:tcPr>
          <w:p w14:paraId="7B6540DD">
            <w:pPr>
              <w:autoSpaceDE w:val="0"/>
              <w:autoSpaceDN w:val="0"/>
              <w:adjustRightInd w:val="0"/>
              <w:snapToGrid w:val="0"/>
              <w:jc w:val="left"/>
              <w:rPr>
                <w:rFonts w:ascii="宋体" w:hAnsi="宋体"/>
                <w:kern w:val="0"/>
                <w:szCs w:val="21"/>
              </w:rPr>
            </w:pPr>
          </w:p>
        </w:tc>
        <w:tc>
          <w:tcPr>
            <w:tcW w:w="776" w:type="dxa"/>
            <w:vAlign w:val="top"/>
          </w:tcPr>
          <w:p w14:paraId="7FCF69FD">
            <w:pPr>
              <w:autoSpaceDE w:val="0"/>
              <w:autoSpaceDN w:val="0"/>
              <w:adjustRightInd w:val="0"/>
              <w:snapToGrid w:val="0"/>
              <w:jc w:val="left"/>
              <w:rPr>
                <w:rFonts w:ascii="宋体" w:hAnsi="宋体"/>
                <w:kern w:val="0"/>
                <w:szCs w:val="21"/>
              </w:rPr>
            </w:pPr>
          </w:p>
        </w:tc>
        <w:tc>
          <w:tcPr>
            <w:tcW w:w="2723" w:type="dxa"/>
            <w:vAlign w:val="top"/>
          </w:tcPr>
          <w:p w14:paraId="38CD5969">
            <w:pPr>
              <w:autoSpaceDE w:val="0"/>
              <w:autoSpaceDN w:val="0"/>
              <w:adjustRightInd w:val="0"/>
              <w:snapToGrid w:val="0"/>
              <w:jc w:val="left"/>
              <w:rPr>
                <w:rFonts w:ascii="宋体" w:hAnsi="宋体"/>
                <w:kern w:val="0"/>
                <w:szCs w:val="21"/>
              </w:rPr>
            </w:pPr>
          </w:p>
        </w:tc>
        <w:tc>
          <w:tcPr>
            <w:tcW w:w="896" w:type="dxa"/>
            <w:vAlign w:val="top"/>
          </w:tcPr>
          <w:p w14:paraId="2C2A05B7">
            <w:pPr>
              <w:autoSpaceDE w:val="0"/>
              <w:autoSpaceDN w:val="0"/>
              <w:adjustRightInd w:val="0"/>
              <w:snapToGrid w:val="0"/>
              <w:jc w:val="left"/>
              <w:rPr>
                <w:rFonts w:ascii="宋体" w:hAnsi="宋体"/>
                <w:kern w:val="0"/>
                <w:szCs w:val="21"/>
              </w:rPr>
            </w:pPr>
          </w:p>
        </w:tc>
      </w:tr>
      <w:tr w14:paraId="6C9BE3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5F2E9861">
            <w:pPr>
              <w:autoSpaceDE w:val="0"/>
              <w:autoSpaceDN w:val="0"/>
              <w:adjustRightInd w:val="0"/>
              <w:snapToGrid w:val="0"/>
              <w:jc w:val="left"/>
              <w:rPr>
                <w:rFonts w:ascii="宋体" w:hAnsi="宋体"/>
                <w:kern w:val="0"/>
                <w:szCs w:val="21"/>
              </w:rPr>
            </w:pPr>
          </w:p>
        </w:tc>
        <w:tc>
          <w:tcPr>
            <w:tcW w:w="734" w:type="dxa"/>
            <w:vAlign w:val="top"/>
          </w:tcPr>
          <w:p w14:paraId="722D88A5">
            <w:pPr>
              <w:autoSpaceDE w:val="0"/>
              <w:autoSpaceDN w:val="0"/>
              <w:adjustRightInd w:val="0"/>
              <w:snapToGrid w:val="0"/>
              <w:jc w:val="left"/>
              <w:rPr>
                <w:rFonts w:ascii="宋体" w:hAnsi="宋体"/>
                <w:kern w:val="0"/>
                <w:szCs w:val="21"/>
              </w:rPr>
            </w:pPr>
          </w:p>
        </w:tc>
        <w:tc>
          <w:tcPr>
            <w:tcW w:w="776" w:type="dxa"/>
            <w:vAlign w:val="top"/>
          </w:tcPr>
          <w:p w14:paraId="340581D2">
            <w:pPr>
              <w:autoSpaceDE w:val="0"/>
              <w:autoSpaceDN w:val="0"/>
              <w:adjustRightInd w:val="0"/>
              <w:snapToGrid w:val="0"/>
              <w:jc w:val="left"/>
              <w:rPr>
                <w:rFonts w:ascii="宋体" w:hAnsi="宋体"/>
                <w:kern w:val="0"/>
                <w:szCs w:val="21"/>
              </w:rPr>
            </w:pPr>
          </w:p>
        </w:tc>
        <w:tc>
          <w:tcPr>
            <w:tcW w:w="1167" w:type="dxa"/>
            <w:vAlign w:val="top"/>
          </w:tcPr>
          <w:p w14:paraId="4C416F87">
            <w:pPr>
              <w:autoSpaceDE w:val="0"/>
              <w:autoSpaceDN w:val="0"/>
              <w:adjustRightInd w:val="0"/>
              <w:snapToGrid w:val="0"/>
              <w:jc w:val="left"/>
              <w:rPr>
                <w:rFonts w:ascii="宋体" w:hAnsi="宋体"/>
                <w:kern w:val="0"/>
                <w:szCs w:val="21"/>
              </w:rPr>
            </w:pPr>
          </w:p>
        </w:tc>
        <w:tc>
          <w:tcPr>
            <w:tcW w:w="776" w:type="dxa"/>
            <w:vAlign w:val="top"/>
          </w:tcPr>
          <w:p w14:paraId="4A6DF2EE">
            <w:pPr>
              <w:autoSpaceDE w:val="0"/>
              <w:autoSpaceDN w:val="0"/>
              <w:adjustRightInd w:val="0"/>
              <w:snapToGrid w:val="0"/>
              <w:jc w:val="left"/>
              <w:rPr>
                <w:rFonts w:ascii="宋体" w:hAnsi="宋体"/>
                <w:kern w:val="0"/>
                <w:szCs w:val="21"/>
              </w:rPr>
            </w:pPr>
          </w:p>
        </w:tc>
        <w:tc>
          <w:tcPr>
            <w:tcW w:w="778" w:type="dxa"/>
            <w:vAlign w:val="top"/>
          </w:tcPr>
          <w:p w14:paraId="6B52C4B6">
            <w:pPr>
              <w:autoSpaceDE w:val="0"/>
              <w:autoSpaceDN w:val="0"/>
              <w:adjustRightInd w:val="0"/>
              <w:snapToGrid w:val="0"/>
              <w:jc w:val="left"/>
              <w:rPr>
                <w:rFonts w:ascii="宋体" w:hAnsi="宋体"/>
                <w:kern w:val="0"/>
                <w:szCs w:val="21"/>
              </w:rPr>
            </w:pPr>
          </w:p>
        </w:tc>
        <w:tc>
          <w:tcPr>
            <w:tcW w:w="776" w:type="dxa"/>
            <w:vAlign w:val="top"/>
          </w:tcPr>
          <w:p w14:paraId="11B89B79">
            <w:pPr>
              <w:autoSpaceDE w:val="0"/>
              <w:autoSpaceDN w:val="0"/>
              <w:adjustRightInd w:val="0"/>
              <w:snapToGrid w:val="0"/>
              <w:jc w:val="left"/>
              <w:rPr>
                <w:rFonts w:ascii="宋体" w:hAnsi="宋体"/>
                <w:kern w:val="0"/>
                <w:szCs w:val="21"/>
              </w:rPr>
            </w:pPr>
          </w:p>
        </w:tc>
        <w:tc>
          <w:tcPr>
            <w:tcW w:w="2723" w:type="dxa"/>
            <w:vAlign w:val="top"/>
          </w:tcPr>
          <w:p w14:paraId="7F2D321D">
            <w:pPr>
              <w:autoSpaceDE w:val="0"/>
              <w:autoSpaceDN w:val="0"/>
              <w:adjustRightInd w:val="0"/>
              <w:snapToGrid w:val="0"/>
              <w:jc w:val="left"/>
              <w:rPr>
                <w:rFonts w:ascii="宋体" w:hAnsi="宋体"/>
                <w:kern w:val="0"/>
                <w:szCs w:val="21"/>
              </w:rPr>
            </w:pPr>
          </w:p>
        </w:tc>
        <w:tc>
          <w:tcPr>
            <w:tcW w:w="896" w:type="dxa"/>
            <w:vAlign w:val="top"/>
          </w:tcPr>
          <w:p w14:paraId="4BD86CD4">
            <w:pPr>
              <w:autoSpaceDE w:val="0"/>
              <w:autoSpaceDN w:val="0"/>
              <w:adjustRightInd w:val="0"/>
              <w:snapToGrid w:val="0"/>
              <w:jc w:val="left"/>
              <w:rPr>
                <w:rFonts w:ascii="宋体" w:hAnsi="宋体"/>
                <w:kern w:val="0"/>
                <w:szCs w:val="21"/>
              </w:rPr>
            </w:pPr>
          </w:p>
        </w:tc>
      </w:tr>
      <w:tr w14:paraId="3835CA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1F65CD31">
            <w:pPr>
              <w:autoSpaceDE w:val="0"/>
              <w:autoSpaceDN w:val="0"/>
              <w:adjustRightInd w:val="0"/>
              <w:snapToGrid w:val="0"/>
              <w:jc w:val="left"/>
              <w:rPr>
                <w:rFonts w:ascii="宋体" w:hAnsi="宋体"/>
                <w:kern w:val="0"/>
                <w:szCs w:val="21"/>
              </w:rPr>
            </w:pPr>
          </w:p>
        </w:tc>
        <w:tc>
          <w:tcPr>
            <w:tcW w:w="734" w:type="dxa"/>
            <w:vAlign w:val="top"/>
          </w:tcPr>
          <w:p w14:paraId="646262D2">
            <w:pPr>
              <w:autoSpaceDE w:val="0"/>
              <w:autoSpaceDN w:val="0"/>
              <w:adjustRightInd w:val="0"/>
              <w:snapToGrid w:val="0"/>
              <w:jc w:val="left"/>
              <w:rPr>
                <w:rFonts w:ascii="宋体" w:hAnsi="宋体"/>
                <w:kern w:val="0"/>
                <w:szCs w:val="21"/>
              </w:rPr>
            </w:pPr>
          </w:p>
        </w:tc>
        <w:tc>
          <w:tcPr>
            <w:tcW w:w="776" w:type="dxa"/>
            <w:vAlign w:val="top"/>
          </w:tcPr>
          <w:p w14:paraId="6CD0EB93">
            <w:pPr>
              <w:autoSpaceDE w:val="0"/>
              <w:autoSpaceDN w:val="0"/>
              <w:adjustRightInd w:val="0"/>
              <w:snapToGrid w:val="0"/>
              <w:jc w:val="left"/>
              <w:rPr>
                <w:rFonts w:ascii="宋体" w:hAnsi="宋体"/>
                <w:kern w:val="0"/>
                <w:szCs w:val="21"/>
              </w:rPr>
            </w:pPr>
          </w:p>
        </w:tc>
        <w:tc>
          <w:tcPr>
            <w:tcW w:w="1167" w:type="dxa"/>
            <w:vAlign w:val="top"/>
          </w:tcPr>
          <w:p w14:paraId="78BAF625">
            <w:pPr>
              <w:autoSpaceDE w:val="0"/>
              <w:autoSpaceDN w:val="0"/>
              <w:adjustRightInd w:val="0"/>
              <w:snapToGrid w:val="0"/>
              <w:jc w:val="left"/>
              <w:rPr>
                <w:rFonts w:ascii="宋体" w:hAnsi="宋体"/>
                <w:kern w:val="0"/>
                <w:szCs w:val="21"/>
              </w:rPr>
            </w:pPr>
          </w:p>
        </w:tc>
        <w:tc>
          <w:tcPr>
            <w:tcW w:w="776" w:type="dxa"/>
            <w:vAlign w:val="top"/>
          </w:tcPr>
          <w:p w14:paraId="15633345">
            <w:pPr>
              <w:autoSpaceDE w:val="0"/>
              <w:autoSpaceDN w:val="0"/>
              <w:adjustRightInd w:val="0"/>
              <w:snapToGrid w:val="0"/>
              <w:jc w:val="left"/>
              <w:rPr>
                <w:rFonts w:ascii="宋体" w:hAnsi="宋体"/>
                <w:kern w:val="0"/>
                <w:szCs w:val="21"/>
              </w:rPr>
            </w:pPr>
          </w:p>
        </w:tc>
        <w:tc>
          <w:tcPr>
            <w:tcW w:w="778" w:type="dxa"/>
            <w:vAlign w:val="top"/>
          </w:tcPr>
          <w:p w14:paraId="11FD812D">
            <w:pPr>
              <w:autoSpaceDE w:val="0"/>
              <w:autoSpaceDN w:val="0"/>
              <w:adjustRightInd w:val="0"/>
              <w:snapToGrid w:val="0"/>
              <w:jc w:val="left"/>
              <w:rPr>
                <w:rFonts w:ascii="宋体" w:hAnsi="宋体"/>
                <w:kern w:val="0"/>
                <w:szCs w:val="21"/>
              </w:rPr>
            </w:pPr>
          </w:p>
        </w:tc>
        <w:tc>
          <w:tcPr>
            <w:tcW w:w="776" w:type="dxa"/>
            <w:vAlign w:val="top"/>
          </w:tcPr>
          <w:p w14:paraId="63D02FD7">
            <w:pPr>
              <w:autoSpaceDE w:val="0"/>
              <w:autoSpaceDN w:val="0"/>
              <w:adjustRightInd w:val="0"/>
              <w:snapToGrid w:val="0"/>
              <w:jc w:val="left"/>
              <w:rPr>
                <w:rFonts w:ascii="宋体" w:hAnsi="宋体"/>
                <w:kern w:val="0"/>
                <w:szCs w:val="21"/>
              </w:rPr>
            </w:pPr>
          </w:p>
        </w:tc>
        <w:tc>
          <w:tcPr>
            <w:tcW w:w="2723" w:type="dxa"/>
            <w:vAlign w:val="top"/>
          </w:tcPr>
          <w:p w14:paraId="79AE03B9">
            <w:pPr>
              <w:autoSpaceDE w:val="0"/>
              <w:autoSpaceDN w:val="0"/>
              <w:adjustRightInd w:val="0"/>
              <w:snapToGrid w:val="0"/>
              <w:jc w:val="left"/>
              <w:rPr>
                <w:rFonts w:ascii="宋体" w:hAnsi="宋体"/>
                <w:kern w:val="0"/>
                <w:szCs w:val="21"/>
              </w:rPr>
            </w:pPr>
          </w:p>
        </w:tc>
        <w:tc>
          <w:tcPr>
            <w:tcW w:w="896" w:type="dxa"/>
            <w:vAlign w:val="top"/>
          </w:tcPr>
          <w:p w14:paraId="2C91BB82">
            <w:pPr>
              <w:autoSpaceDE w:val="0"/>
              <w:autoSpaceDN w:val="0"/>
              <w:adjustRightInd w:val="0"/>
              <w:snapToGrid w:val="0"/>
              <w:jc w:val="left"/>
              <w:rPr>
                <w:rFonts w:ascii="宋体" w:hAnsi="宋体"/>
                <w:kern w:val="0"/>
                <w:szCs w:val="21"/>
              </w:rPr>
            </w:pPr>
          </w:p>
        </w:tc>
      </w:tr>
      <w:tr w14:paraId="29235F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top"/>
          </w:tcPr>
          <w:p w14:paraId="43ED7F5C">
            <w:pPr>
              <w:autoSpaceDE w:val="0"/>
              <w:autoSpaceDN w:val="0"/>
              <w:adjustRightInd w:val="0"/>
              <w:snapToGrid w:val="0"/>
              <w:jc w:val="left"/>
              <w:rPr>
                <w:rFonts w:ascii="宋体" w:hAnsi="宋体"/>
                <w:kern w:val="0"/>
                <w:szCs w:val="21"/>
              </w:rPr>
            </w:pPr>
          </w:p>
        </w:tc>
        <w:tc>
          <w:tcPr>
            <w:tcW w:w="734" w:type="dxa"/>
            <w:vAlign w:val="top"/>
          </w:tcPr>
          <w:p w14:paraId="49BF811F">
            <w:pPr>
              <w:autoSpaceDE w:val="0"/>
              <w:autoSpaceDN w:val="0"/>
              <w:adjustRightInd w:val="0"/>
              <w:snapToGrid w:val="0"/>
              <w:jc w:val="left"/>
              <w:rPr>
                <w:rFonts w:ascii="宋体" w:hAnsi="宋体"/>
                <w:kern w:val="0"/>
                <w:szCs w:val="21"/>
              </w:rPr>
            </w:pPr>
          </w:p>
        </w:tc>
        <w:tc>
          <w:tcPr>
            <w:tcW w:w="776" w:type="dxa"/>
            <w:vAlign w:val="top"/>
          </w:tcPr>
          <w:p w14:paraId="23C380A9">
            <w:pPr>
              <w:autoSpaceDE w:val="0"/>
              <w:autoSpaceDN w:val="0"/>
              <w:adjustRightInd w:val="0"/>
              <w:snapToGrid w:val="0"/>
              <w:jc w:val="left"/>
              <w:rPr>
                <w:rFonts w:ascii="宋体" w:hAnsi="宋体"/>
                <w:kern w:val="0"/>
                <w:szCs w:val="21"/>
              </w:rPr>
            </w:pPr>
          </w:p>
        </w:tc>
        <w:tc>
          <w:tcPr>
            <w:tcW w:w="1167" w:type="dxa"/>
            <w:vAlign w:val="top"/>
          </w:tcPr>
          <w:p w14:paraId="5F3D08C3">
            <w:pPr>
              <w:autoSpaceDE w:val="0"/>
              <w:autoSpaceDN w:val="0"/>
              <w:adjustRightInd w:val="0"/>
              <w:snapToGrid w:val="0"/>
              <w:jc w:val="left"/>
              <w:rPr>
                <w:rFonts w:ascii="宋体" w:hAnsi="宋体"/>
                <w:kern w:val="0"/>
                <w:szCs w:val="21"/>
              </w:rPr>
            </w:pPr>
          </w:p>
        </w:tc>
        <w:tc>
          <w:tcPr>
            <w:tcW w:w="776" w:type="dxa"/>
            <w:vAlign w:val="top"/>
          </w:tcPr>
          <w:p w14:paraId="04F52A4B">
            <w:pPr>
              <w:autoSpaceDE w:val="0"/>
              <w:autoSpaceDN w:val="0"/>
              <w:adjustRightInd w:val="0"/>
              <w:snapToGrid w:val="0"/>
              <w:jc w:val="left"/>
              <w:rPr>
                <w:rFonts w:ascii="宋体" w:hAnsi="宋体"/>
                <w:kern w:val="0"/>
                <w:szCs w:val="21"/>
              </w:rPr>
            </w:pPr>
          </w:p>
        </w:tc>
        <w:tc>
          <w:tcPr>
            <w:tcW w:w="778" w:type="dxa"/>
            <w:vAlign w:val="top"/>
          </w:tcPr>
          <w:p w14:paraId="0E02DAFF">
            <w:pPr>
              <w:autoSpaceDE w:val="0"/>
              <w:autoSpaceDN w:val="0"/>
              <w:adjustRightInd w:val="0"/>
              <w:snapToGrid w:val="0"/>
              <w:jc w:val="left"/>
              <w:rPr>
                <w:rFonts w:ascii="宋体" w:hAnsi="宋体"/>
                <w:kern w:val="0"/>
                <w:szCs w:val="21"/>
              </w:rPr>
            </w:pPr>
          </w:p>
        </w:tc>
        <w:tc>
          <w:tcPr>
            <w:tcW w:w="776" w:type="dxa"/>
            <w:vAlign w:val="top"/>
          </w:tcPr>
          <w:p w14:paraId="49EFCBE2">
            <w:pPr>
              <w:autoSpaceDE w:val="0"/>
              <w:autoSpaceDN w:val="0"/>
              <w:adjustRightInd w:val="0"/>
              <w:snapToGrid w:val="0"/>
              <w:jc w:val="left"/>
              <w:rPr>
                <w:rFonts w:ascii="宋体" w:hAnsi="宋体"/>
                <w:kern w:val="0"/>
                <w:szCs w:val="21"/>
              </w:rPr>
            </w:pPr>
          </w:p>
        </w:tc>
        <w:tc>
          <w:tcPr>
            <w:tcW w:w="2723" w:type="dxa"/>
            <w:vAlign w:val="top"/>
          </w:tcPr>
          <w:p w14:paraId="690A2803">
            <w:pPr>
              <w:autoSpaceDE w:val="0"/>
              <w:autoSpaceDN w:val="0"/>
              <w:adjustRightInd w:val="0"/>
              <w:snapToGrid w:val="0"/>
              <w:jc w:val="left"/>
              <w:rPr>
                <w:rFonts w:ascii="宋体" w:hAnsi="宋体"/>
                <w:kern w:val="0"/>
                <w:szCs w:val="21"/>
              </w:rPr>
            </w:pPr>
          </w:p>
        </w:tc>
        <w:tc>
          <w:tcPr>
            <w:tcW w:w="896" w:type="dxa"/>
            <w:vAlign w:val="top"/>
          </w:tcPr>
          <w:p w14:paraId="5B3342DC">
            <w:pPr>
              <w:autoSpaceDE w:val="0"/>
              <w:autoSpaceDN w:val="0"/>
              <w:adjustRightInd w:val="0"/>
              <w:snapToGrid w:val="0"/>
              <w:jc w:val="left"/>
              <w:rPr>
                <w:rFonts w:ascii="宋体" w:hAnsi="宋体"/>
                <w:kern w:val="0"/>
                <w:szCs w:val="21"/>
              </w:rPr>
            </w:pPr>
          </w:p>
        </w:tc>
      </w:tr>
    </w:tbl>
    <w:p w14:paraId="76FB3FFE">
      <w:pPr>
        <w:spacing w:line="20" w:lineRule="exact"/>
        <w:jc w:val="center"/>
        <w:rPr>
          <w:rFonts w:ascii="宋体" w:hAnsi="宋体"/>
          <w:szCs w:val="21"/>
        </w:rPr>
      </w:pPr>
    </w:p>
    <w:p w14:paraId="25F3860B">
      <w:pPr>
        <w:spacing w:line="360" w:lineRule="auto"/>
        <w:ind w:firstLine="420" w:firstLineChars="200"/>
        <w:jc w:val="center"/>
        <w:rPr>
          <w:rFonts w:ascii="宋体" w:hAnsi="宋体"/>
          <w:sz w:val="32"/>
          <w:szCs w:val="32"/>
        </w:rPr>
      </w:pPr>
      <w:r>
        <w:rPr>
          <w:rFonts w:hint="eastAsia" w:ascii="宋体" w:hAnsi="宋体"/>
          <w:szCs w:val="21"/>
        </w:rPr>
        <w:t>注：本表仅填项目经理、项目总工相关信息</w:t>
      </w:r>
      <w:r>
        <w:rPr>
          <w:rFonts w:ascii="宋体" w:hAnsi="宋体"/>
          <w:szCs w:val="21"/>
        </w:rPr>
        <w:br w:type="page"/>
      </w:r>
      <w:r>
        <w:rPr>
          <w:rFonts w:hint="eastAsia" w:ascii="宋体" w:hAnsi="宋体" w:cs="MingLiU"/>
          <w:kern w:val="0"/>
          <w:sz w:val="28"/>
          <w:szCs w:val="28"/>
        </w:rPr>
        <w:t>项目经理及项目总工简历表</w:t>
      </w:r>
    </w:p>
    <w:tbl>
      <w:tblPr>
        <w:tblStyle w:val="31"/>
        <w:tblW w:w="8994" w:type="dxa"/>
        <w:tblInd w:w="-1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1957"/>
      </w:tblGrid>
      <w:tr w14:paraId="272977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04998DFB">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姓名</w:t>
            </w:r>
          </w:p>
        </w:tc>
        <w:tc>
          <w:tcPr>
            <w:tcW w:w="1190" w:type="dxa"/>
            <w:gridSpan w:val="2"/>
            <w:vAlign w:val="center"/>
          </w:tcPr>
          <w:p w14:paraId="169A344D">
            <w:pPr>
              <w:autoSpaceDE w:val="0"/>
              <w:autoSpaceDN w:val="0"/>
              <w:adjustRightInd w:val="0"/>
              <w:snapToGrid w:val="0"/>
              <w:jc w:val="center"/>
              <w:rPr>
                <w:rFonts w:ascii="宋体" w:hAnsi="宋体"/>
                <w:kern w:val="0"/>
                <w:szCs w:val="21"/>
              </w:rPr>
            </w:pPr>
          </w:p>
        </w:tc>
        <w:tc>
          <w:tcPr>
            <w:tcW w:w="1020" w:type="dxa"/>
            <w:vAlign w:val="center"/>
          </w:tcPr>
          <w:p w14:paraId="47979E96">
            <w:pPr>
              <w:autoSpaceDE w:val="0"/>
              <w:autoSpaceDN w:val="0"/>
              <w:adjustRightInd w:val="0"/>
              <w:snapToGrid w:val="0"/>
              <w:jc w:val="center"/>
              <w:rPr>
                <w:rFonts w:ascii="宋体" w:hAnsi="宋体"/>
                <w:kern w:val="0"/>
                <w:szCs w:val="21"/>
              </w:rPr>
            </w:pPr>
            <w:r>
              <w:rPr>
                <w:rFonts w:ascii="宋体" w:hAnsi="宋体"/>
                <w:kern w:val="0"/>
                <w:szCs w:val="21"/>
              </w:rPr>
              <w:t>年龄</w:t>
            </w:r>
          </w:p>
        </w:tc>
        <w:tc>
          <w:tcPr>
            <w:tcW w:w="1175" w:type="dxa"/>
            <w:vAlign w:val="center"/>
          </w:tcPr>
          <w:p w14:paraId="5F371439">
            <w:pPr>
              <w:autoSpaceDE w:val="0"/>
              <w:autoSpaceDN w:val="0"/>
              <w:adjustRightInd w:val="0"/>
              <w:snapToGrid w:val="0"/>
              <w:jc w:val="center"/>
              <w:rPr>
                <w:rFonts w:ascii="宋体" w:hAnsi="宋体"/>
                <w:kern w:val="0"/>
                <w:szCs w:val="21"/>
              </w:rPr>
            </w:pPr>
          </w:p>
        </w:tc>
        <w:tc>
          <w:tcPr>
            <w:tcW w:w="2346" w:type="dxa"/>
            <w:gridSpan w:val="3"/>
            <w:vAlign w:val="center"/>
          </w:tcPr>
          <w:p w14:paraId="1DAE7E1F">
            <w:pPr>
              <w:autoSpaceDE w:val="0"/>
              <w:autoSpaceDN w:val="0"/>
              <w:adjustRightInd w:val="0"/>
              <w:snapToGrid w:val="0"/>
              <w:jc w:val="center"/>
              <w:rPr>
                <w:rFonts w:ascii="宋体" w:hAnsi="宋体"/>
                <w:kern w:val="0"/>
                <w:szCs w:val="21"/>
              </w:rPr>
            </w:pPr>
            <w:r>
              <w:rPr>
                <w:rFonts w:ascii="宋体" w:hAnsi="宋体"/>
                <w:kern w:val="0"/>
                <w:szCs w:val="21"/>
              </w:rPr>
              <w:t>学历</w:t>
            </w:r>
          </w:p>
        </w:tc>
        <w:tc>
          <w:tcPr>
            <w:tcW w:w="1957" w:type="dxa"/>
            <w:vAlign w:val="center"/>
          </w:tcPr>
          <w:p w14:paraId="49F43BF8">
            <w:pPr>
              <w:autoSpaceDE w:val="0"/>
              <w:autoSpaceDN w:val="0"/>
              <w:adjustRightInd w:val="0"/>
              <w:snapToGrid w:val="0"/>
              <w:jc w:val="center"/>
              <w:rPr>
                <w:rFonts w:ascii="宋体" w:hAnsi="宋体"/>
                <w:kern w:val="0"/>
                <w:szCs w:val="21"/>
              </w:rPr>
            </w:pPr>
          </w:p>
        </w:tc>
      </w:tr>
      <w:tr w14:paraId="71B8BE4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190D0D9F">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职称</w:t>
            </w:r>
          </w:p>
        </w:tc>
        <w:tc>
          <w:tcPr>
            <w:tcW w:w="1190" w:type="dxa"/>
            <w:gridSpan w:val="2"/>
            <w:vAlign w:val="center"/>
          </w:tcPr>
          <w:p w14:paraId="04EEA318">
            <w:pPr>
              <w:autoSpaceDE w:val="0"/>
              <w:autoSpaceDN w:val="0"/>
              <w:adjustRightInd w:val="0"/>
              <w:snapToGrid w:val="0"/>
              <w:jc w:val="center"/>
              <w:rPr>
                <w:rFonts w:ascii="宋体" w:hAnsi="宋体"/>
                <w:kern w:val="0"/>
                <w:szCs w:val="21"/>
              </w:rPr>
            </w:pPr>
          </w:p>
        </w:tc>
        <w:tc>
          <w:tcPr>
            <w:tcW w:w="1020" w:type="dxa"/>
            <w:vAlign w:val="center"/>
          </w:tcPr>
          <w:p w14:paraId="522CE6AC">
            <w:pPr>
              <w:autoSpaceDE w:val="0"/>
              <w:autoSpaceDN w:val="0"/>
              <w:adjustRightInd w:val="0"/>
              <w:snapToGrid w:val="0"/>
              <w:jc w:val="center"/>
              <w:rPr>
                <w:rFonts w:ascii="宋体" w:hAnsi="宋体"/>
                <w:kern w:val="0"/>
                <w:szCs w:val="21"/>
              </w:rPr>
            </w:pPr>
            <w:r>
              <w:rPr>
                <w:rFonts w:ascii="宋体" w:hAnsi="宋体"/>
                <w:kern w:val="0"/>
                <w:szCs w:val="21"/>
              </w:rPr>
              <w:t>职务</w:t>
            </w:r>
          </w:p>
        </w:tc>
        <w:tc>
          <w:tcPr>
            <w:tcW w:w="1175" w:type="dxa"/>
            <w:vAlign w:val="center"/>
          </w:tcPr>
          <w:p w14:paraId="292F9543">
            <w:pPr>
              <w:autoSpaceDE w:val="0"/>
              <w:autoSpaceDN w:val="0"/>
              <w:adjustRightInd w:val="0"/>
              <w:snapToGrid w:val="0"/>
              <w:jc w:val="center"/>
              <w:rPr>
                <w:rFonts w:ascii="宋体" w:hAnsi="宋体"/>
                <w:kern w:val="0"/>
                <w:szCs w:val="21"/>
              </w:rPr>
            </w:pPr>
          </w:p>
        </w:tc>
        <w:tc>
          <w:tcPr>
            <w:tcW w:w="2346" w:type="dxa"/>
            <w:gridSpan w:val="3"/>
            <w:vAlign w:val="center"/>
          </w:tcPr>
          <w:p w14:paraId="21F498F0">
            <w:pPr>
              <w:autoSpaceDE w:val="0"/>
              <w:autoSpaceDN w:val="0"/>
              <w:adjustRightInd w:val="0"/>
              <w:snapToGrid w:val="0"/>
              <w:jc w:val="center"/>
              <w:rPr>
                <w:rFonts w:ascii="宋体" w:hAnsi="宋体"/>
                <w:kern w:val="0"/>
                <w:szCs w:val="21"/>
              </w:rPr>
            </w:pPr>
            <w:r>
              <w:rPr>
                <w:rFonts w:ascii="宋体" w:hAnsi="宋体"/>
                <w:kern w:val="0"/>
                <w:szCs w:val="21"/>
              </w:rPr>
              <w:t>拟在本合同任职</w:t>
            </w:r>
          </w:p>
        </w:tc>
        <w:tc>
          <w:tcPr>
            <w:tcW w:w="1957" w:type="dxa"/>
            <w:vAlign w:val="center"/>
          </w:tcPr>
          <w:p w14:paraId="6F148D99">
            <w:pPr>
              <w:autoSpaceDE w:val="0"/>
              <w:autoSpaceDN w:val="0"/>
              <w:adjustRightInd w:val="0"/>
              <w:snapToGrid w:val="0"/>
              <w:jc w:val="center"/>
              <w:rPr>
                <w:rFonts w:ascii="宋体" w:hAnsi="宋体"/>
                <w:kern w:val="0"/>
                <w:szCs w:val="21"/>
              </w:rPr>
            </w:pPr>
          </w:p>
        </w:tc>
      </w:tr>
      <w:tr w14:paraId="506878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1280A2CB">
            <w:pPr>
              <w:autoSpaceDE w:val="0"/>
              <w:autoSpaceDN w:val="0"/>
              <w:adjustRightInd w:val="0"/>
              <w:snapToGrid w:val="0"/>
              <w:jc w:val="center"/>
              <w:rPr>
                <w:rFonts w:ascii="宋体" w:hAnsi="宋体"/>
                <w:kern w:val="0"/>
                <w:szCs w:val="21"/>
              </w:rPr>
            </w:pPr>
            <w:r>
              <w:rPr>
                <w:rFonts w:ascii="宋体" w:hAnsi="宋体"/>
                <w:kern w:val="0"/>
                <w:szCs w:val="21"/>
              </w:rPr>
              <w:t>毕业学校</w:t>
            </w:r>
          </w:p>
        </w:tc>
        <w:tc>
          <w:tcPr>
            <w:tcW w:w="7688" w:type="dxa"/>
            <w:gridSpan w:val="8"/>
            <w:vAlign w:val="center"/>
          </w:tcPr>
          <w:p w14:paraId="731040FF">
            <w:pPr>
              <w:tabs>
                <w:tab w:val="left" w:pos="2820"/>
                <w:tab w:val="left" w:pos="4080"/>
              </w:tabs>
              <w:autoSpaceDE w:val="0"/>
              <w:autoSpaceDN w:val="0"/>
              <w:adjustRightInd w:val="0"/>
              <w:snapToGrid w:val="0"/>
              <w:jc w:val="center"/>
              <w:rPr>
                <w:rFonts w:ascii="宋体" w:hAnsi="宋体"/>
                <w:kern w:val="0"/>
                <w:szCs w:val="21"/>
              </w:rPr>
            </w:pPr>
            <w:r>
              <w:rPr>
                <w:rFonts w:ascii="宋体" w:hAnsi="宋体"/>
                <w:kern w:val="0"/>
                <w:szCs w:val="21"/>
              </w:rPr>
              <w:t>年</w:t>
            </w:r>
            <w:r>
              <w:rPr>
                <w:rFonts w:ascii="宋体" w:hAnsi="宋体"/>
                <w:spacing w:val="-1"/>
                <w:kern w:val="0"/>
                <w:szCs w:val="21"/>
              </w:rPr>
              <w:t>毕</w:t>
            </w:r>
            <w:r>
              <w:rPr>
                <w:rFonts w:ascii="宋体" w:hAnsi="宋体"/>
                <w:kern w:val="0"/>
                <w:szCs w:val="21"/>
              </w:rPr>
              <w:t>业于</w:t>
            </w:r>
            <w:r>
              <w:rPr>
                <w:rFonts w:ascii="宋体" w:hAnsi="宋体"/>
                <w:kern w:val="0"/>
                <w:szCs w:val="21"/>
              </w:rPr>
              <w:tab/>
            </w:r>
            <w:r>
              <w:rPr>
                <w:rFonts w:ascii="宋体" w:hAnsi="宋体"/>
                <w:kern w:val="0"/>
                <w:szCs w:val="21"/>
              </w:rPr>
              <w:t>学校</w:t>
            </w:r>
            <w:r>
              <w:rPr>
                <w:rFonts w:ascii="宋体" w:hAnsi="宋体"/>
                <w:kern w:val="0"/>
                <w:szCs w:val="21"/>
              </w:rPr>
              <w:tab/>
            </w:r>
            <w:r>
              <w:rPr>
                <w:rFonts w:ascii="宋体" w:hAnsi="宋体"/>
                <w:kern w:val="0"/>
                <w:szCs w:val="21"/>
              </w:rPr>
              <w:t>专业</w:t>
            </w:r>
          </w:p>
        </w:tc>
      </w:tr>
      <w:tr w14:paraId="30CBB30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8994" w:type="dxa"/>
            <w:gridSpan w:val="9"/>
            <w:vAlign w:val="center"/>
          </w:tcPr>
          <w:p w14:paraId="4FED680F">
            <w:pPr>
              <w:autoSpaceDE w:val="0"/>
              <w:autoSpaceDN w:val="0"/>
              <w:adjustRightInd w:val="0"/>
              <w:snapToGrid w:val="0"/>
              <w:jc w:val="center"/>
              <w:rPr>
                <w:rFonts w:ascii="宋体" w:hAnsi="宋体"/>
                <w:kern w:val="0"/>
                <w:szCs w:val="21"/>
              </w:rPr>
            </w:pPr>
            <w:r>
              <w:rPr>
                <w:rFonts w:ascii="宋体" w:hAnsi="宋体"/>
                <w:kern w:val="0"/>
                <w:szCs w:val="21"/>
              </w:rPr>
              <w:t>主要工作经历</w:t>
            </w:r>
          </w:p>
        </w:tc>
      </w:tr>
      <w:tr w14:paraId="471074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50D0814">
            <w:pPr>
              <w:tabs>
                <w:tab w:val="left" w:pos="520"/>
              </w:tabs>
              <w:autoSpaceDE w:val="0"/>
              <w:autoSpaceDN w:val="0"/>
              <w:adjustRightInd w:val="0"/>
              <w:snapToGrid w:val="0"/>
              <w:jc w:val="center"/>
              <w:rPr>
                <w:rFonts w:ascii="宋体" w:hAnsi="宋体"/>
                <w:kern w:val="0"/>
                <w:szCs w:val="21"/>
              </w:rPr>
            </w:pPr>
            <w:r>
              <w:rPr>
                <w:rFonts w:ascii="宋体" w:hAnsi="宋体"/>
                <w:kern w:val="0"/>
                <w:szCs w:val="21"/>
              </w:rPr>
              <w:t>时间</w:t>
            </w:r>
          </w:p>
        </w:tc>
        <w:tc>
          <w:tcPr>
            <w:tcW w:w="3768" w:type="dxa"/>
            <w:gridSpan w:val="4"/>
            <w:vAlign w:val="center"/>
          </w:tcPr>
          <w:p w14:paraId="666B9B59">
            <w:pPr>
              <w:autoSpaceDE w:val="0"/>
              <w:autoSpaceDN w:val="0"/>
              <w:adjustRightInd w:val="0"/>
              <w:snapToGrid w:val="0"/>
              <w:jc w:val="center"/>
              <w:rPr>
                <w:rFonts w:ascii="宋体" w:hAnsi="宋体"/>
                <w:kern w:val="0"/>
                <w:szCs w:val="21"/>
              </w:rPr>
            </w:pPr>
            <w:r>
              <w:rPr>
                <w:rFonts w:ascii="宋体" w:hAnsi="宋体"/>
                <w:kern w:val="0"/>
                <w:szCs w:val="21"/>
              </w:rPr>
              <w:t>参加过的类似项目</w:t>
            </w:r>
          </w:p>
        </w:tc>
        <w:tc>
          <w:tcPr>
            <w:tcW w:w="1388" w:type="dxa"/>
            <w:vAlign w:val="center"/>
          </w:tcPr>
          <w:p w14:paraId="078FD443">
            <w:pPr>
              <w:autoSpaceDE w:val="0"/>
              <w:autoSpaceDN w:val="0"/>
              <w:adjustRightInd w:val="0"/>
              <w:snapToGrid w:val="0"/>
              <w:jc w:val="center"/>
              <w:rPr>
                <w:rFonts w:ascii="宋体" w:hAnsi="宋体"/>
                <w:kern w:val="0"/>
                <w:szCs w:val="21"/>
              </w:rPr>
            </w:pPr>
            <w:r>
              <w:rPr>
                <w:rFonts w:ascii="宋体" w:hAnsi="宋体"/>
                <w:kern w:val="0"/>
                <w:szCs w:val="21"/>
              </w:rPr>
              <w:t>担任职务</w:t>
            </w:r>
          </w:p>
        </w:tc>
        <w:tc>
          <w:tcPr>
            <w:tcW w:w="2135" w:type="dxa"/>
            <w:gridSpan w:val="2"/>
            <w:vAlign w:val="center"/>
          </w:tcPr>
          <w:p w14:paraId="5FB4BD26">
            <w:pPr>
              <w:autoSpaceDE w:val="0"/>
              <w:autoSpaceDN w:val="0"/>
              <w:adjustRightInd w:val="0"/>
              <w:snapToGrid w:val="0"/>
              <w:jc w:val="center"/>
              <w:rPr>
                <w:rFonts w:ascii="宋体" w:hAnsi="宋体"/>
                <w:kern w:val="0"/>
                <w:szCs w:val="21"/>
              </w:rPr>
            </w:pPr>
            <w:r>
              <w:rPr>
                <w:rFonts w:ascii="宋体" w:hAnsi="宋体"/>
                <w:kern w:val="0"/>
                <w:szCs w:val="21"/>
              </w:rPr>
              <w:t>发包人及联系电话</w:t>
            </w:r>
          </w:p>
        </w:tc>
      </w:tr>
      <w:tr w14:paraId="4E3D45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AB30557">
            <w:pPr>
              <w:autoSpaceDE w:val="0"/>
              <w:autoSpaceDN w:val="0"/>
              <w:adjustRightInd w:val="0"/>
              <w:snapToGrid w:val="0"/>
              <w:jc w:val="center"/>
              <w:rPr>
                <w:rFonts w:ascii="宋体" w:hAnsi="宋体"/>
                <w:kern w:val="0"/>
                <w:szCs w:val="21"/>
              </w:rPr>
            </w:pPr>
          </w:p>
        </w:tc>
        <w:tc>
          <w:tcPr>
            <w:tcW w:w="3768" w:type="dxa"/>
            <w:gridSpan w:val="4"/>
            <w:vAlign w:val="center"/>
          </w:tcPr>
          <w:p w14:paraId="1667927D">
            <w:pPr>
              <w:autoSpaceDE w:val="0"/>
              <w:autoSpaceDN w:val="0"/>
              <w:adjustRightInd w:val="0"/>
              <w:snapToGrid w:val="0"/>
              <w:jc w:val="center"/>
              <w:rPr>
                <w:rFonts w:ascii="宋体" w:hAnsi="宋体"/>
                <w:kern w:val="0"/>
                <w:szCs w:val="21"/>
              </w:rPr>
            </w:pPr>
          </w:p>
        </w:tc>
        <w:tc>
          <w:tcPr>
            <w:tcW w:w="1388" w:type="dxa"/>
            <w:vAlign w:val="center"/>
          </w:tcPr>
          <w:p w14:paraId="6004CE5E">
            <w:pPr>
              <w:autoSpaceDE w:val="0"/>
              <w:autoSpaceDN w:val="0"/>
              <w:adjustRightInd w:val="0"/>
              <w:snapToGrid w:val="0"/>
              <w:jc w:val="center"/>
              <w:rPr>
                <w:rFonts w:ascii="宋体" w:hAnsi="宋体"/>
                <w:kern w:val="0"/>
                <w:szCs w:val="21"/>
              </w:rPr>
            </w:pPr>
          </w:p>
        </w:tc>
        <w:tc>
          <w:tcPr>
            <w:tcW w:w="2135" w:type="dxa"/>
            <w:gridSpan w:val="2"/>
            <w:vAlign w:val="center"/>
          </w:tcPr>
          <w:p w14:paraId="6FDEBFEE">
            <w:pPr>
              <w:autoSpaceDE w:val="0"/>
              <w:autoSpaceDN w:val="0"/>
              <w:adjustRightInd w:val="0"/>
              <w:snapToGrid w:val="0"/>
              <w:jc w:val="center"/>
              <w:rPr>
                <w:rFonts w:ascii="宋体" w:hAnsi="宋体"/>
                <w:kern w:val="0"/>
                <w:szCs w:val="21"/>
              </w:rPr>
            </w:pPr>
          </w:p>
        </w:tc>
      </w:tr>
      <w:tr w14:paraId="77C100A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834483F">
            <w:pPr>
              <w:autoSpaceDE w:val="0"/>
              <w:autoSpaceDN w:val="0"/>
              <w:adjustRightInd w:val="0"/>
              <w:snapToGrid w:val="0"/>
              <w:jc w:val="center"/>
              <w:rPr>
                <w:rFonts w:ascii="宋体" w:hAnsi="宋体"/>
                <w:kern w:val="0"/>
                <w:szCs w:val="21"/>
              </w:rPr>
            </w:pPr>
          </w:p>
        </w:tc>
        <w:tc>
          <w:tcPr>
            <w:tcW w:w="3768" w:type="dxa"/>
            <w:gridSpan w:val="4"/>
            <w:vAlign w:val="center"/>
          </w:tcPr>
          <w:p w14:paraId="37ECE4A0">
            <w:pPr>
              <w:autoSpaceDE w:val="0"/>
              <w:autoSpaceDN w:val="0"/>
              <w:adjustRightInd w:val="0"/>
              <w:snapToGrid w:val="0"/>
              <w:jc w:val="center"/>
              <w:rPr>
                <w:rFonts w:ascii="宋体" w:hAnsi="宋体"/>
                <w:kern w:val="0"/>
                <w:szCs w:val="21"/>
              </w:rPr>
            </w:pPr>
          </w:p>
        </w:tc>
        <w:tc>
          <w:tcPr>
            <w:tcW w:w="1388" w:type="dxa"/>
            <w:vAlign w:val="center"/>
          </w:tcPr>
          <w:p w14:paraId="55703CFA">
            <w:pPr>
              <w:autoSpaceDE w:val="0"/>
              <w:autoSpaceDN w:val="0"/>
              <w:adjustRightInd w:val="0"/>
              <w:snapToGrid w:val="0"/>
              <w:jc w:val="center"/>
              <w:rPr>
                <w:rFonts w:ascii="宋体" w:hAnsi="宋体"/>
                <w:kern w:val="0"/>
                <w:szCs w:val="21"/>
              </w:rPr>
            </w:pPr>
          </w:p>
        </w:tc>
        <w:tc>
          <w:tcPr>
            <w:tcW w:w="2135" w:type="dxa"/>
            <w:gridSpan w:val="2"/>
            <w:vAlign w:val="center"/>
          </w:tcPr>
          <w:p w14:paraId="6C37FD80">
            <w:pPr>
              <w:autoSpaceDE w:val="0"/>
              <w:autoSpaceDN w:val="0"/>
              <w:adjustRightInd w:val="0"/>
              <w:snapToGrid w:val="0"/>
              <w:jc w:val="center"/>
              <w:rPr>
                <w:rFonts w:ascii="宋体" w:hAnsi="宋体"/>
                <w:kern w:val="0"/>
                <w:szCs w:val="21"/>
              </w:rPr>
            </w:pPr>
          </w:p>
        </w:tc>
      </w:tr>
      <w:tr w14:paraId="3B1BE7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85EA974">
            <w:pPr>
              <w:autoSpaceDE w:val="0"/>
              <w:autoSpaceDN w:val="0"/>
              <w:adjustRightInd w:val="0"/>
              <w:snapToGrid w:val="0"/>
              <w:jc w:val="center"/>
              <w:rPr>
                <w:rFonts w:ascii="宋体" w:hAnsi="宋体"/>
                <w:kern w:val="0"/>
                <w:szCs w:val="21"/>
              </w:rPr>
            </w:pPr>
          </w:p>
        </w:tc>
        <w:tc>
          <w:tcPr>
            <w:tcW w:w="3768" w:type="dxa"/>
            <w:gridSpan w:val="4"/>
            <w:vAlign w:val="center"/>
          </w:tcPr>
          <w:p w14:paraId="077E96AD">
            <w:pPr>
              <w:autoSpaceDE w:val="0"/>
              <w:autoSpaceDN w:val="0"/>
              <w:adjustRightInd w:val="0"/>
              <w:snapToGrid w:val="0"/>
              <w:jc w:val="center"/>
              <w:rPr>
                <w:rFonts w:ascii="宋体" w:hAnsi="宋体"/>
                <w:kern w:val="0"/>
                <w:szCs w:val="21"/>
              </w:rPr>
            </w:pPr>
          </w:p>
        </w:tc>
        <w:tc>
          <w:tcPr>
            <w:tcW w:w="1388" w:type="dxa"/>
            <w:vAlign w:val="center"/>
          </w:tcPr>
          <w:p w14:paraId="633F93C3">
            <w:pPr>
              <w:autoSpaceDE w:val="0"/>
              <w:autoSpaceDN w:val="0"/>
              <w:adjustRightInd w:val="0"/>
              <w:snapToGrid w:val="0"/>
              <w:jc w:val="center"/>
              <w:rPr>
                <w:rFonts w:ascii="宋体" w:hAnsi="宋体"/>
                <w:kern w:val="0"/>
                <w:szCs w:val="21"/>
              </w:rPr>
            </w:pPr>
          </w:p>
        </w:tc>
        <w:tc>
          <w:tcPr>
            <w:tcW w:w="2135" w:type="dxa"/>
            <w:gridSpan w:val="2"/>
            <w:vAlign w:val="center"/>
          </w:tcPr>
          <w:p w14:paraId="34C4CD92">
            <w:pPr>
              <w:autoSpaceDE w:val="0"/>
              <w:autoSpaceDN w:val="0"/>
              <w:adjustRightInd w:val="0"/>
              <w:snapToGrid w:val="0"/>
              <w:jc w:val="center"/>
              <w:rPr>
                <w:rFonts w:ascii="宋体" w:hAnsi="宋体"/>
                <w:kern w:val="0"/>
                <w:szCs w:val="21"/>
              </w:rPr>
            </w:pPr>
          </w:p>
        </w:tc>
      </w:tr>
      <w:tr w14:paraId="534B5D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6A58C61">
            <w:pPr>
              <w:autoSpaceDE w:val="0"/>
              <w:autoSpaceDN w:val="0"/>
              <w:adjustRightInd w:val="0"/>
              <w:snapToGrid w:val="0"/>
              <w:jc w:val="center"/>
              <w:rPr>
                <w:rFonts w:ascii="宋体" w:hAnsi="宋体"/>
                <w:kern w:val="0"/>
                <w:szCs w:val="21"/>
              </w:rPr>
            </w:pPr>
          </w:p>
        </w:tc>
        <w:tc>
          <w:tcPr>
            <w:tcW w:w="3768" w:type="dxa"/>
            <w:gridSpan w:val="4"/>
            <w:vAlign w:val="center"/>
          </w:tcPr>
          <w:p w14:paraId="60F72EDD">
            <w:pPr>
              <w:autoSpaceDE w:val="0"/>
              <w:autoSpaceDN w:val="0"/>
              <w:adjustRightInd w:val="0"/>
              <w:snapToGrid w:val="0"/>
              <w:jc w:val="center"/>
              <w:rPr>
                <w:rFonts w:ascii="宋体" w:hAnsi="宋体"/>
                <w:kern w:val="0"/>
                <w:szCs w:val="21"/>
              </w:rPr>
            </w:pPr>
          </w:p>
        </w:tc>
        <w:tc>
          <w:tcPr>
            <w:tcW w:w="1388" w:type="dxa"/>
            <w:vAlign w:val="center"/>
          </w:tcPr>
          <w:p w14:paraId="416417B7">
            <w:pPr>
              <w:autoSpaceDE w:val="0"/>
              <w:autoSpaceDN w:val="0"/>
              <w:adjustRightInd w:val="0"/>
              <w:snapToGrid w:val="0"/>
              <w:jc w:val="center"/>
              <w:rPr>
                <w:rFonts w:ascii="宋体" w:hAnsi="宋体"/>
                <w:kern w:val="0"/>
                <w:szCs w:val="21"/>
              </w:rPr>
            </w:pPr>
          </w:p>
        </w:tc>
        <w:tc>
          <w:tcPr>
            <w:tcW w:w="2135" w:type="dxa"/>
            <w:gridSpan w:val="2"/>
            <w:vAlign w:val="center"/>
          </w:tcPr>
          <w:p w14:paraId="376D6256">
            <w:pPr>
              <w:autoSpaceDE w:val="0"/>
              <w:autoSpaceDN w:val="0"/>
              <w:adjustRightInd w:val="0"/>
              <w:snapToGrid w:val="0"/>
              <w:jc w:val="center"/>
              <w:rPr>
                <w:rFonts w:ascii="宋体" w:hAnsi="宋体"/>
                <w:kern w:val="0"/>
                <w:szCs w:val="21"/>
              </w:rPr>
            </w:pPr>
          </w:p>
        </w:tc>
      </w:tr>
      <w:tr w14:paraId="7BED92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D5436A5">
            <w:pPr>
              <w:autoSpaceDE w:val="0"/>
              <w:autoSpaceDN w:val="0"/>
              <w:adjustRightInd w:val="0"/>
              <w:snapToGrid w:val="0"/>
              <w:jc w:val="center"/>
              <w:rPr>
                <w:rFonts w:ascii="宋体" w:hAnsi="宋体"/>
                <w:kern w:val="0"/>
                <w:szCs w:val="21"/>
              </w:rPr>
            </w:pPr>
          </w:p>
        </w:tc>
        <w:tc>
          <w:tcPr>
            <w:tcW w:w="3768" w:type="dxa"/>
            <w:gridSpan w:val="4"/>
            <w:vAlign w:val="center"/>
          </w:tcPr>
          <w:p w14:paraId="702A3F39">
            <w:pPr>
              <w:autoSpaceDE w:val="0"/>
              <w:autoSpaceDN w:val="0"/>
              <w:adjustRightInd w:val="0"/>
              <w:snapToGrid w:val="0"/>
              <w:jc w:val="center"/>
              <w:rPr>
                <w:rFonts w:ascii="宋体" w:hAnsi="宋体"/>
                <w:kern w:val="0"/>
                <w:szCs w:val="21"/>
              </w:rPr>
            </w:pPr>
          </w:p>
        </w:tc>
        <w:tc>
          <w:tcPr>
            <w:tcW w:w="1388" w:type="dxa"/>
            <w:vAlign w:val="center"/>
          </w:tcPr>
          <w:p w14:paraId="2DDEF6EE">
            <w:pPr>
              <w:autoSpaceDE w:val="0"/>
              <w:autoSpaceDN w:val="0"/>
              <w:adjustRightInd w:val="0"/>
              <w:snapToGrid w:val="0"/>
              <w:jc w:val="center"/>
              <w:rPr>
                <w:rFonts w:ascii="宋体" w:hAnsi="宋体"/>
                <w:kern w:val="0"/>
                <w:szCs w:val="21"/>
              </w:rPr>
            </w:pPr>
          </w:p>
        </w:tc>
        <w:tc>
          <w:tcPr>
            <w:tcW w:w="2135" w:type="dxa"/>
            <w:gridSpan w:val="2"/>
            <w:vAlign w:val="center"/>
          </w:tcPr>
          <w:p w14:paraId="7E206513">
            <w:pPr>
              <w:autoSpaceDE w:val="0"/>
              <w:autoSpaceDN w:val="0"/>
              <w:adjustRightInd w:val="0"/>
              <w:snapToGrid w:val="0"/>
              <w:jc w:val="center"/>
              <w:rPr>
                <w:rFonts w:ascii="宋体" w:hAnsi="宋体"/>
                <w:kern w:val="0"/>
                <w:szCs w:val="21"/>
              </w:rPr>
            </w:pPr>
          </w:p>
        </w:tc>
      </w:tr>
      <w:tr w14:paraId="130F2D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8179F66">
            <w:pPr>
              <w:autoSpaceDE w:val="0"/>
              <w:autoSpaceDN w:val="0"/>
              <w:adjustRightInd w:val="0"/>
              <w:snapToGrid w:val="0"/>
              <w:jc w:val="center"/>
              <w:rPr>
                <w:rFonts w:ascii="宋体" w:hAnsi="宋体"/>
                <w:kern w:val="0"/>
                <w:szCs w:val="21"/>
              </w:rPr>
            </w:pPr>
          </w:p>
        </w:tc>
        <w:tc>
          <w:tcPr>
            <w:tcW w:w="3768" w:type="dxa"/>
            <w:gridSpan w:val="4"/>
            <w:vAlign w:val="center"/>
          </w:tcPr>
          <w:p w14:paraId="51E9FB4D">
            <w:pPr>
              <w:autoSpaceDE w:val="0"/>
              <w:autoSpaceDN w:val="0"/>
              <w:adjustRightInd w:val="0"/>
              <w:snapToGrid w:val="0"/>
              <w:jc w:val="center"/>
              <w:rPr>
                <w:rFonts w:ascii="宋体" w:hAnsi="宋体"/>
                <w:kern w:val="0"/>
                <w:szCs w:val="21"/>
              </w:rPr>
            </w:pPr>
          </w:p>
        </w:tc>
        <w:tc>
          <w:tcPr>
            <w:tcW w:w="1388" w:type="dxa"/>
            <w:vAlign w:val="center"/>
          </w:tcPr>
          <w:p w14:paraId="344F667C">
            <w:pPr>
              <w:autoSpaceDE w:val="0"/>
              <w:autoSpaceDN w:val="0"/>
              <w:adjustRightInd w:val="0"/>
              <w:snapToGrid w:val="0"/>
              <w:jc w:val="center"/>
              <w:rPr>
                <w:rFonts w:ascii="宋体" w:hAnsi="宋体"/>
                <w:kern w:val="0"/>
                <w:szCs w:val="21"/>
              </w:rPr>
            </w:pPr>
          </w:p>
        </w:tc>
        <w:tc>
          <w:tcPr>
            <w:tcW w:w="2135" w:type="dxa"/>
            <w:gridSpan w:val="2"/>
            <w:vAlign w:val="center"/>
          </w:tcPr>
          <w:p w14:paraId="0126F402">
            <w:pPr>
              <w:autoSpaceDE w:val="0"/>
              <w:autoSpaceDN w:val="0"/>
              <w:adjustRightInd w:val="0"/>
              <w:snapToGrid w:val="0"/>
              <w:jc w:val="center"/>
              <w:rPr>
                <w:rFonts w:ascii="宋体" w:hAnsi="宋体"/>
                <w:kern w:val="0"/>
                <w:szCs w:val="21"/>
              </w:rPr>
            </w:pPr>
          </w:p>
        </w:tc>
      </w:tr>
      <w:tr w14:paraId="137AB6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141A945">
            <w:pPr>
              <w:autoSpaceDE w:val="0"/>
              <w:autoSpaceDN w:val="0"/>
              <w:adjustRightInd w:val="0"/>
              <w:snapToGrid w:val="0"/>
              <w:jc w:val="center"/>
              <w:rPr>
                <w:rFonts w:ascii="宋体" w:hAnsi="宋体"/>
                <w:kern w:val="0"/>
                <w:szCs w:val="21"/>
              </w:rPr>
            </w:pPr>
          </w:p>
        </w:tc>
        <w:tc>
          <w:tcPr>
            <w:tcW w:w="3768" w:type="dxa"/>
            <w:gridSpan w:val="4"/>
            <w:vAlign w:val="center"/>
          </w:tcPr>
          <w:p w14:paraId="015252B5">
            <w:pPr>
              <w:autoSpaceDE w:val="0"/>
              <w:autoSpaceDN w:val="0"/>
              <w:adjustRightInd w:val="0"/>
              <w:snapToGrid w:val="0"/>
              <w:jc w:val="center"/>
              <w:rPr>
                <w:rFonts w:ascii="宋体" w:hAnsi="宋体"/>
                <w:kern w:val="0"/>
                <w:szCs w:val="21"/>
              </w:rPr>
            </w:pPr>
          </w:p>
        </w:tc>
        <w:tc>
          <w:tcPr>
            <w:tcW w:w="1388" w:type="dxa"/>
            <w:vAlign w:val="center"/>
          </w:tcPr>
          <w:p w14:paraId="710AFCF8">
            <w:pPr>
              <w:autoSpaceDE w:val="0"/>
              <w:autoSpaceDN w:val="0"/>
              <w:adjustRightInd w:val="0"/>
              <w:snapToGrid w:val="0"/>
              <w:jc w:val="center"/>
              <w:rPr>
                <w:rFonts w:ascii="宋体" w:hAnsi="宋体"/>
                <w:kern w:val="0"/>
                <w:szCs w:val="21"/>
              </w:rPr>
            </w:pPr>
          </w:p>
        </w:tc>
        <w:tc>
          <w:tcPr>
            <w:tcW w:w="2135" w:type="dxa"/>
            <w:gridSpan w:val="2"/>
            <w:vAlign w:val="center"/>
          </w:tcPr>
          <w:p w14:paraId="02F76FD0">
            <w:pPr>
              <w:autoSpaceDE w:val="0"/>
              <w:autoSpaceDN w:val="0"/>
              <w:adjustRightInd w:val="0"/>
              <w:snapToGrid w:val="0"/>
              <w:jc w:val="center"/>
              <w:rPr>
                <w:rFonts w:ascii="宋体" w:hAnsi="宋体"/>
                <w:kern w:val="0"/>
                <w:szCs w:val="21"/>
              </w:rPr>
            </w:pPr>
          </w:p>
        </w:tc>
      </w:tr>
      <w:tr w14:paraId="2F01CE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15A0C8F8">
            <w:pPr>
              <w:autoSpaceDE w:val="0"/>
              <w:autoSpaceDN w:val="0"/>
              <w:adjustRightInd w:val="0"/>
              <w:snapToGrid w:val="0"/>
              <w:jc w:val="center"/>
              <w:rPr>
                <w:rFonts w:ascii="宋体" w:hAnsi="宋体"/>
                <w:kern w:val="0"/>
                <w:szCs w:val="21"/>
              </w:rPr>
            </w:pPr>
          </w:p>
        </w:tc>
        <w:tc>
          <w:tcPr>
            <w:tcW w:w="3768" w:type="dxa"/>
            <w:gridSpan w:val="4"/>
            <w:vAlign w:val="center"/>
          </w:tcPr>
          <w:p w14:paraId="65EED55C">
            <w:pPr>
              <w:autoSpaceDE w:val="0"/>
              <w:autoSpaceDN w:val="0"/>
              <w:adjustRightInd w:val="0"/>
              <w:snapToGrid w:val="0"/>
              <w:jc w:val="center"/>
              <w:rPr>
                <w:rFonts w:ascii="宋体" w:hAnsi="宋体"/>
                <w:kern w:val="0"/>
                <w:szCs w:val="21"/>
              </w:rPr>
            </w:pPr>
          </w:p>
        </w:tc>
        <w:tc>
          <w:tcPr>
            <w:tcW w:w="1388" w:type="dxa"/>
            <w:vAlign w:val="center"/>
          </w:tcPr>
          <w:p w14:paraId="5237934C">
            <w:pPr>
              <w:autoSpaceDE w:val="0"/>
              <w:autoSpaceDN w:val="0"/>
              <w:adjustRightInd w:val="0"/>
              <w:snapToGrid w:val="0"/>
              <w:jc w:val="center"/>
              <w:rPr>
                <w:rFonts w:ascii="宋体" w:hAnsi="宋体"/>
                <w:kern w:val="0"/>
                <w:szCs w:val="21"/>
              </w:rPr>
            </w:pPr>
          </w:p>
        </w:tc>
        <w:tc>
          <w:tcPr>
            <w:tcW w:w="2135" w:type="dxa"/>
            <w:gridSpan w:val="2"/>
            <w:vAlign w:val="center"/>
          </w:tcPr>
          <w:p w14:paraId="0BDEF7DA">
            <w:pPr>
              <w:autoSpaceDE w:val="0"/>
              <w:autoSpaceDN w:val="0"/>
              <w:adjustRightInd w:val="0"/>
              <w:snapToGrid w:val="0"/>
              <w:jc w:val="center"/>
              <w:rPr>
                <w:rFonts w:ascii="宋体" w:hAnsi="宋体"/>
                <w:kern w:val="0"/>
                <w:szCs w:val="21"/>
              </w:rPr>
            </w:pPr>
          </w:p>
        </w:tc>
      </w:tr>
      <w:tr w14:paraId="1ADF59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657B391">
            <w:pPr>
              <w:autoSpaceDE w:val="0"/>
              <w:autoSpaceDN w:val="0"/>
              <w:adjustRightInd w:val="0"/>
              <w:snapToGrid w:val="0"/>
              <w:jc w:val="center"/>
              <w:rPr>
                <w:rFonts w:ascii="宋体" w:hAnsi="宋体"/>
                <w:kern w:val="0"/>
                <w:szCs w:val="21"/>
              </w:rPr>
            </w:pPr>
          </w:p>
        </w:tc>
        <w:tc>
          <w:tcPr>
            <w:tcW w:w="3768" w:type="dxa"/>
            <w:gridSpan w:val="4"/>
            <w:vAlign w:val="center"/>
          </w:tcPr>
          <w:p w14:paraId="70930CDB">
            <w:pPr>
              <w:autoSpaceDE w:val="0"/>
              <w:autoSpaceDN w:val="0"/>
              <w:adjustRightInd w:val="0"/>
              <w:snapToGrid w:val="0"/>
              <w:jc w:val="center"/>
              <w:rPr>
                <w:rFonts w:ascii="宋体" w:hAnsi="宋体"/>
                <w:kern w:val="0"/>
                <w:szCs w:val="21"/>
              </w:rPr>
            </w:pPr>
          </w:p>
        </w:tc>
        <w:tc>
          <w:tcPr>
            <w:tcW w:w="1388" w:type="dxa"/>
            <w:vAlign w:val="center"/>
          </w:tcPr>
          <w:p w14:paraId="56CED613">
            <w:pPr>
              <w:autoSpaceDE w:val="0"/>
              <w:autoSpaceDN w:val="0"/>
              <w:adjustRightInd w:val="0"/>
              <w:snapToGrid w:val="0"/>
              <w:jc w:val="center"/>
              <w:rPr>
                <w:rFonts w:ascii="宋体" w:hAnsi="宋体"/>
                <w:kern w:val="0"/>
                <w:szCs w:val="21"/>
              </w:rPr>
            </w:pPr>
          </w:p>
        </w:tc>
        <w:tc>
          <w:tcPr>
            <w:tcW w:w="2135" w:type="dxa"/>
            <w:gridSpan w:val="2"/>
            <w:vAlign w:val="center"/>
          </w:tcPr>
          <w:p w14:paraId="4E2CAC01">
            <w:pPr>
              <w:autoSpaceDE w:val="0"/>
              <w:autoSpaceDN w:val="0"/>
              <w:adjustRightInd w:val="0"/>
              <w:snapToGrid w:val="0"/>
              <w:jc w:val="center"/>
              <w:rPr>
                <w:rFonts w:ascii="宋体" w:hAnsi="宋体"/>
                <w:kern w:val="0"/>
                <w:szCs w:val="21"/>
              </w:rPr>
            </w:pPr>
          </w:p>
        </w:tc>
      </w:tr>
      <w:tr w14:paraId="70698D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A896D09">
            <w:pPr>
              <w:autoSpaceDE w:val="0"/>
              <w:autoSpaceDN w:val="0"/>
              <w:adjustRightInd w:val="0"/>
              <w:snapToGrid w:val="0"/>
              <w:jc w:val="center"/>
              <w:rPr>
                <w:rFonts w:ascii="宋体" w:hAnsi="宋体"/>
                <w:kern w:val="0"/>
                <w:szCs w:val="21"/>
              </w:rPr>
            </w:pPr>
          </w:p>
        </w:tc>
        <w:tc>
          <w:tcPr>
            <w:tcW w:w="3768" w:type="dxa"/>
            <w:gridSpan w:val="4"/>
            <w:vAlign w:val="center"/>
          </w:tcPr>
          <w:p w14:paraId="3C97463B">
            <w:pPr>
              <w:autoSpaceDE w:val="0"/>
              <w:autoSpaceDN w:val="0"/>
              <w:adjustRightInd w:val="0"/>
              <w:snapToGrid w:val="0"/>
              <w:jc w:val="center"/>
              <w:rPr>
                <w:rFonts w:ascii="宋体" w:hAnsi="宋体"/>
                <w:kern w:val="0"/>
                <w:szCs w:val="21"/>
              </w:rPr>
            </w:pPr>
          </w:p>
        </w:tc>
        <w:tc>
          <w:tcPr>
            <w:tcW w:w="1388" w:type="dxa"/>
            <w:vAlign w:val="center"/>
          </w:tcPr>
          <w:p w14:paraId="1F1B4AC2">
            <w:pPr>
              <w:autoSpaceDE w:val="0"/>
              <w:autoSpaceDN w:val="0"/>
              <w:adjustRightInd w:val="0"/>
              <w:snapToGrid w:val="0"/>
              <w:jc w:val="center"/>
              <w:rPr>
                <w:rFonts w:ascii="宋体" w:hAnsi="宋体"/>
                <w:kern w:val="0"/>
                <w:szCs w:val="21"/>
              </w:rPr>
            </w:pPr>
          </w:p>
        </w:tc>
        <w:tc>
          <w:tcPr>
            <w:tcW w:w="2135" w:type="dxa"/>
            <w:gridSpan w:val="2"/>
            <w:vAlign w:val="center"/>
          </w:tcPr>
          <w:p w14:paraId="062BEC92">
            <w:pPr>
              <w:autoSpaceDE w:val="0"/>
              <w:autoSpaceDN w:val="0"/>
              <w:adjustRightInd w:val="0"/>
              <w:snapToGrid w:val="0"/>
              <w:jc w:val="center"/>
              <w:rPr>
                <w:rFonts w:ascii="宋体" w:hAnsi="宋体"/>
                <w:kern w:val="0"/>
                <w:szCs w:val="21"/>
              </w:rPr>
            </w:pPr>
          </w:p>
        </w:tc>
      </w:tr>
      <w:tr w14:paraId="295437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3F5D8EF">
            <w:pPr>
              <w:autoSpaceDE w:val="0"/>
              <w:autoSpaceDN w:val="0"/>
              <w:adjustRightInd w:val="0"/>
              <w:snapToGrid w:val="0"/>
              <w:jc w:val="center"/>
              <w:rPr>
                <w:rFonts w:ascii="宋体" w:hAnsi="宋体"/>
                <w:kern w:val="0"/>
                <w:szCs w:val="21"/>
              </w:rPr>
            </w:pPr>
          </w:p>
        </w:tc>
        <w:tc>
          <w:tcPr>
            <w:tcW w:w="3768" w:type="dxa"/>
            <w:gridSpan w:val="4"/>
            <w:vAlign w:val="center"/>
          </w:tcPr>
          <w:p w14:paraId="049E9543">
            <w:pPr>
              <w:autoSpaceDE w:val="0"/>
              <w:autoSpaceDN w:val="0"/>
              <w:adjustRightInd w:val="0"/>
              <w:snapToGrid w:val="0"/>
              <w:jc w:val="center"/>
              <w:rPr>
                <w:rFonts w:ascii="宋体" w:hAnsi="宋体"/>
                <w:kern w:val="0"/>
                <w:szCs w:val="21"/>
              </w:rPr>
            </w:pPr>
          </w:p>
        </w:tc>
        <w:tc>
          <w:tcPr>
            <w:tcW w:w="1388" w:type="dxa"/>
            <w:vAlign w:val="center"/>
          </w:tcPr>
          <w:p w14:paraId="633EE8A2">
            <w:pPr>
              <w:autoSpaceDE w:val="0"/>
              <w:autoSpaceDN w:val="0"/>
              <w:adjustRightInd w:val="0"/>
              <w:snapToGrid w:val="0"/>
              <w:jc w:val="center"/>
              <w:rPr>
                <w:rFonts w:ascii="宋体" w:hAnsi="宋体"/>
                <w:kern w:val="0"/>
                <w:szCs w:val="21"/>
              </w:rPr>
            </w:pPr>
          </w:p>
        </w:tc>
        <w:tc>
          <w:tcPr>
            <w:tcW w:w="2135" w:type="dxa"/>
            <w:gridSpan w:val="2"/>
            <w:vAlign w:val="center"/>
          </w:tcPr>
          <w:p w14:paraId="7A8E0179">
            <w:pPr>
              <w:autoSpaceDE w:val="0"/>
              <w:autoSpaceDN w:val="0"/>
              <w:adjustRightInd w:val="0"/>
              <w:snapToGrid w:val="0"/>
              <w:jc w:val="center"/>
              <w:rPr>
                <w:rFonts w:ascii="宋体" w:hAnsi="宋体"/>
                <w:kern w:val="0"/>
                <w:szCs w:val="21"/>
              </w:rPr>
            </w:pPr>
          </w:p>
        </w:tc>
      </w:tr>
      <w:tr w14:paraId="1DFE11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51EE16D">
            <w:pPr>
              <w:autoSpaceDE w:val="0"/>
              <w:autoSpaceDN w:val="0"/>
              <w:adjustRightInd w:val="0"/>
              <w:snapToGrid w:val="0"/>
              <w:jc w:val="center"/>
              <w:rPr>
                <w:rFonts w:ascii="宋体" w:hAnsi="宋体"/>
                <w:kern w:val="0"/>
                <w:szCs w:val="21"/>
              </w:rPr>
            </w:pPr>
          </w:p>
        </w:tc>
        <w:tc>
          <w:tcPr>
            <w:tcW w:w="3768" w:type="dxa"/>
            <w:gridSpan w:val="4"/>
            <w:vAlign w:val="center"/>
          </w:tcPr>
          <w:p w14:paraId="45E32DAE">
            <w:pPr>
              <w:autoSpaceDE w:val="0"/>
              <w:autoSpaceDN w:val="0"/>
              <w:adjustRightInd w:val="0"/>
              <w:snapToGrid w:val="0"/>
              <w:jc w:val="center"/>
              <w:rPr>
                <w:rFonts w:ascii="宋体" w:hAnsi="宋体"/>
                <w:kern w:val="0"/>
                <w:szCs w:val="21"/>
              </w:rPr>
            </w:pPr>
          </w:p>
        </w:tc>
        <w:tc>
          <w:tcPr>
            <w:tcW w:w="1388" w:type="dxa"/>
            <w:vAlign w:val="center"/>
          </w:tcPr>
          <w:p w14:paraId="5C3B4ED1">
            <w:pPr>
              <w:autoSpaceDE w:val="0"/>
              <w:autoSpaceDN w:val="0"/>
              <w:adjustRightInd w:val="0"/>
              <w:snapToGrid w:val="0"/>
              <w:jc w:val="center"/>
              <w:rPr>
                <w:rFonts w:ascii="宋体" w:hAnsi="宋体"/>
                <w:kern w:val="0"/>
                <w:szCs w:val="21"/>
              </w:rPr>
            </w:pPr>
          </w:p>
        </w:tc>
        <w:tc>
          <w:tcPr>
            <w:tcW w:w="2135" w:type="dxa"/>
            <w:gridSpan w:val="2"/>
            <w:vAlign w:val="center"/>
          </w:tcPr>
          <w:p w14:paraId="51FBD118">
            <w:pPr>
              <w:autoSpaceDE w:val="0"/>
              <w:autoSpaceDN w:val="0"/>
              <w:adjustRightInd w:val="0"/>
              <w:snapToGrid w:val="0"/>
              <w:jc w:val="center"/>
              <w:rPr>
                <w:rFonts w:ascii="宋体" w:hAnsi="宋体"/>
                <w:kern w:val="0"/>
                <w:szCs w:val="21"/>
              </w:rPr>
            </w:pPr>
          </w:p>
        </w:tc>
      </w:tr>
      <w:tr w14:paraId="1866A8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5AB6880">
            <w:pPr>
              <w:autoSpaceDE w:val="0"/>
              <w:autoSpaceDN w:val="0"/>
              <w:adjustRightInd w:val="0"/>
              <w:snapToGrid w:val="0"/>
              <w:jc w:val="center"/>
              <w:rPr>
                <w:rFonts w:ascii="宋体" w:hAnsi="宋体"/>
                <w:kern w:val="0"/>
                <w:szCs w:val="21"/>
              </w:rPr>
            </w:pPr>
          </w:p>
        </w:tc>
        <w:tc>
          <w:tcPr>
            <w:tcW w:w="3768" w:type="dxa"/>
            <w:gridSpan w:val="4"/>
            <w:vAlign w:val="center"/>
          </w:tcPr>
          <w:p w14:paraId="6B10611E">
            <w:pPr>
              <w:autoSpaceDE w:val="0"/>
              <w:autoSpaceDN w:val="0"/>
              <w:adjustRightInd w:val="0"/>
              <w:snapToGrid w:val="0"/>
              <w:jc w:val="center"/>
              <w:rPr>
                <w:rFonts w:ascii="宋体" w:hAnsi="宋体"/>
                <w:kern w:val="0"/>
                <w:szCs w:val="21"/>
              </w:rPr>
            </w:pPr>
          </w:p>
        </w:tc>
        <w:tc>
          <w:tcPr>
            <w:tcW w:w="1388" w:type="dxa"/>
            <w:vAlign w:val="center"/>
          </w:tcPr>
          <w:p w14:paraId="2F008F8B">
            <w:pPr>
              <w:autoSpaceDE w:val="0"/>
              <w:autoSpaceDN w:val="0"/>
              <w:adjustRightInd w:val="0"/>
              <w:snapToGrid w:val="0"/>
              <w:jc w:val="center"/>
              <w:rPr>
                <w:rFonts w:ascii="宋体" w:hAnsi="宋体"/>
                <w:kern w:val="0"/>
                <w:szCs w:val="21"/>
              </w:rPr>
            </w:pPr>
          </w:p>
        </w:tc>
        <w:tc>
          <w:tcPr>
            <w:tcW w:w="2135" w:type="dxa"/>
            <w:gridSpan w:val="2"/>
            <w:vAlign w:val="center"/>
          </w:tcPr>
          <w:p w14:paraId="39C2DF26">
            <w:pPr>
              <w:autoSpaceDE w:val="0"/>
              <w:autoSpaceDN w:val="0"/>
              <w:adjustRightInd w:val="0"/>
              <w:snapToGrid w:val="0"/>
              <w:jc w:val="center"/>
              <w:rPr>
                <w:rFonts w:ascii="宋体" w:hAnsi="宋体"/>
                <w:kern w:val="0"/>
                <w:szCs w:val="21"/>
              </w:rPr>
            </w:pPr>
          </w:p>
        </w:tc>
      </w:tr>
    </w:tbl>
    <w:p w14:paraId="392FA4A2">
      <w:pPr>
        <w:spacing w:line="360" w:lineRule="auto"/>
        <w:rPr>
          <w:rFonts w:ascii="宋体" w:hAnsi="宋体"/>
        </w:rPr>
      </w:pPr>
      <w:bookmarkStart w:id="1022" w:name="_Toc224103515"/>
    </w:p>
    <w:p w14:paraId="295D17A4">
      <w:pPr>
        <w:pStyle w:val="5"/>
        <w:spacing w:before="0" w:line="240" w:lineRule="auto"/>
        <w:jc w:val="center"/>
        <w:rPr>
          <w:rFonts w:ascii="宋体" w:hAnsi="宋体"/>
          <w:b w:val="0"/>
        </w:rPr>
      </w:pPr>
      <w:bookmarkStart w:id="1023" w:name="_Toc27983329"/>
      <w:bookmarkStart w:id="1024" w:name="_Toc277082660"/>
      <w:bookmarkStart w:id="1025" w:name="_Toc287620834"/>
      <w:bookmarkStart w:id="1026" w:name="_Toc534185841"/>
      <w:bookmarkStart w:id="1027" w:name="_Toc57796023"/>
      <w:bookmarkStart w:id="1028" w:name="_Toc509218864"/>
      <w:bookmarkStart w:id="1029" w:name="_Toc430530550"/>
      <w:bookmarkStart w:id="1030" w:name="_Toc14965"/>
      <w:bookmarkStart w:id="1031" w:name="_Toc287607888"/>
      <w:r>
        <w:rPr>
          <w:rFonts w:hint="eastAsia" w:ascii="宋体" w:hAnsi="宋体"/>
          <w:b w:val="0"/>
        </w:rPr>
        <w:t>（五）近年财务状况表</w:t>
      </w:r>
      <w:bookmarkEnd w:id="1022"/>
      <w:bookmarkEnd w:id="1023"/>
      <w:bookmarkEnd w:id="1024"/>
      <w:bookmarkEnd w:id="1025"/>
      <w:bookmarkEnd w:id="1026"/>
      <w:bookmarkEnd w:id="1027"/>
      <w:bookmarkEnd w:id="1028"/>
      <w:bookmarkEnd w:id="1029"/>
      <w:bookmarkEnd w:id="1030"/>
      <w:bookmarkEnd w:id="1031"/>
    </w:p>
    <w:p w14:paraId="4445C198">
      <w:pPr>
        <w:pStyle w:val="5"/>
        <w:spacing w:before="0" w:line="240" w:lineRule="auto"/>
        <w:jc w:val="center"/>
        <w:rPr>
          <w:rFonts w:ascii="宋体" w:hAnsi="宋体"/>
          <w:b w:val="0"/>
        </w:rPr>
      </w:pPr>
      <w:bookmarkStart w:id="1032" w:name="_Toc277082661"/>
      <w:bookmarkStart w:id="1033" w:name="_Toc224103516"/>
      <w:bookmarkStart w:id="1034" w:name="_Toc534185842"/>
      <w:bookmarkStart w:id="1035" w:name="_Toc509218865"/>
      <w:bookmarkStart w:id="1036" w:name="_Toc27983330"/>
      <w:bookmarkStart w:id="1037" w:name="_Toc287607889"/>
      <w:bookmarkStart w:id="1038" w:name="_Toc430530551"/>
      <w:bookmarkStart w:id="1039" w:name="_Toc287620835"/>
      <w:r>
        <w:rPr>
          <w:rFonts w:ascii="宋体" w:hAnsi="宋体"/>
          <w:bCs w:val="0"/>
          <w:szCs w:val="28"/>
        </w:rPr>
        <w:br w:type="page"/>
      </w:r>
      <w:bookmarkStart w:id="1040" w:name="_Toc57796024"/>
      <w:bookmarkStart w:id="1041" w:name="_Toc25994"/>
      <w:r>
        <w:rPr>
          <w:rFonts w:ascii="宋体" w:hAnsi="宋体"/>
          <w:b w:val="0"/>
        </w:rPr>
        <w:t>（</w:t>
      </w:r>
      <w:r>
        <w:rPr>
          <w:rFonts w:hint="eastAsia" w:ascii="宋体" w:hAnsi="宋体"/>
          <w:b w:val="0"/>
        </w:rPr>
        <w:t>六</w:t>
      </w:r>
      <w:r>
        <w:rPr>
          <w:rFonts w:ascii="宋体" w:hAnsi="宋体"/>
          <w:b w:val="0"/>
        </w:rPr>
        <w:t>）类似项目情况表</w:t>
      </w:r>
      <w:bookmarkEnd w:id="1032"/>
      <w:bookmarkEnd w:id="1033"/>
      <w:bookmarkEnd w:id="1034"/>
      <w:bookmarkEnd w:id="1035"/>
      <w:bookmarkEnd w:id="1036"/>
      <w:bookmarkEnd w:id="1037"/>
      <w:bookmarkEnd w:id="1038"/>
      <w:bookmarkEnd w:id="1039"/>
      <w:bookmarkEnd w:id="1040"/>
      <w:bookmarkEnd w:id="1041"/>
    </w:p>
    <w:tbl>
      <w:tblPr>
        <w:tblStyle w:val="31"/>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3AC3107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5E748939">
            <w:pPr>
              <w:autoSpaceDE w:val="0"/>
              <w:autoSpaceDN w:val="0"/>
              <w:adjustRightInd w:val="0"/>
              <w:snapToGrid w:val="0"/>
              <w:jc w:val="center"/>
              <w:rPr>
                <w:rFonts w:ascii="宋体" w:hAnsi="宋体"/>
                <w:kern w:val="0"/>
                <w:szCs w:val="21"/>
              </w:rPr>
            </w:pPr>
            <w:r>
              <w:rPr>
                <w:rFonts w:ascii="宋体" w:hAnsi="宋体"/>
                <w:kern w:val="0"/>
                <w:szCs w:val="21"/>
              </w:rPr>
              <w:t>项目名称</w:t>
            </w:r>
          </w:p>
        </w:tc>
        <w:tc>
          <w:tcPr>
            <w:tcW w:w="8027" w:type="dxa"/>
            <w:vAlign w:val="center"/>
          </w:tcPr>
          <w:p w14:paraId="40FF4AAC">
            <w:pPr>
              <w:autoSpaceDE w:val="0"/>
              <w:autoSpaceDN w:val="0"/>
              <w:adjustRightInd w:val="0"/>
              <w:snapToGrid w:val="0"/>
              <w:jc w:val="center"/>
              <w:rPr>
                <w:rFonts w:ascii="宋体" w:hAnsi="宋体"/>
                <w:kern w:val="0"/>
                <w:szCs w:val="21"/>
              </w:rPr>
            </w:pPr>
          </w:p>
        </w:tc>
      </w:tr>
      <w:tr w14:paraId="7DF05CF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3BBBCDE2">
            <w:pPr>
              <w:autoSpaceDE w:val="0"/>
              <w:autoSpaceDN w:val="0"/>
              <w:adjustRightInd w:val="0"/>
              <w:snapToGrid w:val="0"/>
              <w:jc w:val="center"/>
              <w:rPr>
                <w:rFonts w:ascii="宋体" w:hAnsi="宋体"/>
                <w:kern w:val="0"/>
                <w:szCs w:val="21"/>
              </w:rPr>
            </w:pPr>
            <w:r>
              <w:rPr>
                <w:rFonts w:ascii="宋体" w:hAnsi="宋体"/>
                <w:kern w:val="0"/>
                <w:szCs w:val="21"/>
              </w:rPr>
              <w:t>项目所在地</w:t>
            </w:r>
          </w:p>
        </w:tc>
        <w:tc>
          <w:tcPr>
            <w:tcW w:w="8027" w:type="dxa"/>
            <w:vAlign w:val="center"/>
          </w:tcPr>
          <w:p w14:paraId="6FE4C768">
            <w:pPr>
              <w:autoSpaceDE w:val="0"/>
              <w:autoSpaceDN w:val="0"/>
              <w:adjustRightInd w:val="0"/>
              <w:snapToGrid w:val="0"/>
              <w:jc w:val="center"/>
              <w:rPr>
                <w:rFonts w:ascii="宋体" w:hAnsi="宋体"/>
                <w:kern w:val="0"/>
                <w:szCs w:val="21"/>
              </w:rPr>
            </w:pPr>
          </w:p>
        </w:tc>
      </w:tr>
      <w:tr w14:paraId="2C5375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5201936B">
            <w:pPr>
              <w:autoSpaceDE w:val="0"/>
              <w:autoSpaceDN w:val="0"/>
              <w:adjustRightInd w:val="0"/>
              <w:snapToGrid w:val="0"/>
              <w:jc w:val="center"/>
              <w:rPr>
                <w:rFonts w:ascii="宋体" w:hAnsi="宋体"/>
                <w:kern w:val="0"/>
                <w:szCs w:val="21"/>
              </w:rPr>
            </w:pPr>
            <w:r>
              <w:rPr>
                <w:rFonts w:ascii="宋体" w:hAnsi="宋体"/>
                <w:kern w:val="0"/>
                <w:szCs w:val="21"/>
              </w:rPr>
              <w:t>发包人名称</w:t>
            </w:r>
          </w:p>
        </w:tc>
        <w:tc>
          <w:tcPr>
            <w:tcW w:w="8027" w:type="dxa"/>
            <w:vAlign w:val="center"/>
          </w:tcPr>
          <w:p w14:paraId="5B2EB702">
            <w:pPr>
              <w:autoSpaceDE w:val="0"/>
              <w:autoSpaceDN w:val="0"/>
              <w:adjustRightInd w:val="0"/>
              <w:snapToGrid w:val="0"/>
              <w:jc w:val="center"/>
              <w:rPr>
                <w:rFonts w:ascii="宋体" w:hAnsi="宋体"/>
                <w:kern w:val="0"/>
                <w:szCs w:val="21"/>
              </w:rPr>
            </w:pPr>
          </w:p>
        </w:tc>
      </w:tr>
      <w:tr w14:paraId="56D0F0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23C8CD9F">
            <w:pPr>
              <w:autoSpaceDE w:val="0"/>
              <w:autoSpaceDN w:val="0"/>
              <w:adjustRightInd w:val="0"/>
              <w:snapToGrid w:val="0"/>
              <w:jc w:val="center"/>
              <w:rPr>
                <w:rFonts w:ascii="宋体" w:hAnsi="宋体"/>
                <w:kern w:val="0"/>
                <w:szCs w:val="21"/>
              </w:rPr>
            </w:pPr>
            <w:r>
              <w:rPr>
                <w:rFonts w:ascii="宋体" w:hAnsi="宋体"/>
                <w:kern w:val="0"/>
                <w:szCs w:val="21"/>
              </w:rPr>
              <w:t>发包人地址</w:t>
            </w:r>
          </w:p>
        </w:tc>
        <w:tc>
          <w:tcPr>
            <w:tcW w:w="8027" w:type="dxa"/>
            <w:vAlign w:val="center"/>
          </w:tcPr>
          <w:p w14:paraId="7233E22C">
            <w:pPr>
              <w:autoSpaceDE w:val="0"/>
              <w:autoSpaceDN w:val="0"/>
              <w:adjustRightInd w:val="0"/>
              <w:snapToGrid w:val="0"/>
              <w:jc w:val="center"/>
              <w:rPr>
                <w:rFonts w:ascii="宋体" w:hAnsi="宋体"/>
                <w:kern w:val="0"/>
                <w:szCs w:val="21"/>
              </w:rPr>
            </w:pPr>
          </w:p>
        </w:tc>
      </w:tr>
      <w:tr w14:paraId="4AF270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3200D2ED">
            <w:pPr>
              <w:autoSpaceDE w:val="0"/>
              <w:autoSpaceDN w:val="0"/>
              <w:adjustRightInd w:val="0"/>
              <w:snapToGrid w:val="0"/>
              <w:jc w:val="center"/>
              <w:rPr>
                <w:rFonts w:ascii="宋体" w:hAnsi="宋体"/>
                <w:kern w:val="0"/>
                <w:szCs w:val="21"/>
              </w:rPr>
            </w:pPr>
            <w:r>
              <w:rPr>
                <w:rFonts w:ascii="宋体" w:hAnsi="宋体"/>
                <w:kern w:val="0"/>
                <w:szCs w:val="21"/>
              </w:rPr>
              <w:t>发包人电话</w:t>
            </w:r>
          </w:p>
        </w:tc>
        <w:tc>
          <w:tcPr>
            <w:tcW w:w="8027" w:type="dxa"/>
            <w:vAlign w:val="center"/>
          </w:tcPr>
          <w:p w14:paraId="170B5A3C">
            <w:pPr>
              <w:autoSpaceDE w:val="0"/>
              <w:autoSpaceDN w:val="0"/>
              <w:adjustRightInd w:val="0"/>
              <w:snapToGrid w:val="0"/>
              <w:jc w:val="center"/>
              <w:rPr>
                <w:rFonts w:ascii="宋体" w:hAnsi="宋体"/>
                <w:kern w:val="0"/>
                <w:szCs w:val="21"/>
              </w:rPr>
            </w:pPr>
          </w:p>
        </w:tc>
      </w:tr>
      <w:tr w14:paraId="64E591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4B9A0AF6">
            <w:pPr>
              <w:autoSpaceDE w:val="0"/>
              <w:autoSpaceDN w:val="0"/>
              <w:adjustRightInd w:val="0"/>
              <w:snapToGrid w:val="0"/>
              <w:jc w:val="center"/>
              <w:rPr>
                <w:rFonts w:ascii="宋体" w:hAnsi="宋体"/>
                <w:kern w:val="0"/>
                <w:szCs w:val="21"/>
              </w:rPr>
            </w:pPr>
            <w:r>
              <w:rPr>
                <w:rFonts w:ascii="宋体" w:hAnsi="宋体"/>
                <w:kern w:val="0"/>
                <w:szCs w:val="21"/>
              </w:rPr>
              <w:t>合同价格</w:t>
            </w:r>
          </w:p>
        </w:tc>
        <w:tc>
          <w:tcPr>
            <w:tcW w:w="8027" w:type="dxa"/>
            <w:vAlign w:val="center"/>
          </w:tcPr>
          <w:p w14:paraId="5889B3E6">
            <w:pPr>
              <w:autoSpaceDE w:val="0"/>
              <w:autoSpaceDN w:val="0"/>
              <w:adjustRightInd w:val="0"/>
              <w:snapToGrid w:val="0"/>
              <w:jc w:val="center"/>
              <w:rPr>
                <w:rFonts w:ascii="宋体" w:hAnsi="宋体"/>
                <w:kern w:val="0"/>
                <w:szCs w:val="21"/>
              </w:rPr>
            </w:pPr>
          </w:p>
        </w:tc>
      </w:tr>
      <w:tr w14:paraId="42EDD3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1D288CC0">
            <w:pPr>
              <w:autoSpaceDE w:val="0"/>
              <w:autoSpaceDN w:val="0"/>
              <w:adjustRightInd w:val="0"/>
              <w:snapToGrid w:val="0"/>
              <w:jc w:val="center"/>
              <w:rPr>
                <w:rFonts w:ascii="宋体" w:hAnsi="宋体"/>
                <w:kern w:val="0"/>
                <w:szCs w:val="21"/>
              </w:rPr>
            </w:pPr>
            <w:r>
              <w:rPr>
                <w:rFonts w:ascii="宋体" w:hAnsi="宋体"/>
                <w:kern w:val="0"/>
                <w:szCs w:val="21"/>
              </w:rPr>
              <w:t>开工日期</w:t>
            </w:r>
          </w:p>
        </w:tc>
        <w:tc>
          <w:tcPr>
            <w:tcW w:w="8027" w:type="dxa"/>
            <w:vAlign w:val="center"/>
          </w:tcPr>
          <w:p w14:paraId="7367E2D5">
            <w:pPr>
              <w:autoSpaceDE w:val="0"/>
              <w:autoSpaceDN w:val="0"/>
              <w:adjustRightInd w:val="0"/>
              <w:snapToGrid w:val="0"/>
              <w:jc w:val="center"/>
              <w:rPr>
                <w:rFonts w:ascii="宋体" w:hAnsi="宋体"/>
                <w:kern w:val="0"/>
                <w:szCs w:val="21"/>
              </w:rPr>
            </w:pPr>
          </w:p>
        </w:tc>
      </w:tr>
      <w:tr w14:paraId="064FBE1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57B96585">
            <w:pPr>
              <w:autoSpaceDE w:val="0"/>
              <w:autoSpaceDN w:val="0"/>
              <w:adjustRightInd w:val="0"/>
              <w:snapToGrid w:val="0"/>
              <w:jc w:val="center"/>
              <w:rPr>
                <w:rFonts w:ascii="宋体" w:hAnsi="宋体"/>
                <w:kern w:val="0"/>
                <w:szCs w:val="21"/>
              </w:rPr>
            </w:pPr>
            <w:r>
              <w:rPr>
                <w:rFonts w:hint="eastAsia" w:ascii="宋体" w:hAnsi="宋体"/>
                <w:kern w:val="0"/>
                <w:szCs w:val="21"/>
              </w:rPr>
              <w:t>交工（或</w:t>
            </w:r>
            <w:r>
              <w:rPr>
                <w:rFonts w:ascii="宋体" w:hAnsi="宋体"/>
                <w:kern w:val="0"/>
                <w:szCs w:val="21"/>
              </w:rPr>
              <w:t>竣工</w:t>
            </w:r>
            <w:r>
              <w:rPr>
                <w:rFonts w:hint="eastAsia" w:ascii="宋体" w:hAnsi="宋体"/>
                <w:kern w:val="0"/>
                <w:szCs w:val="21"/>
              </w:rPr>
              <w:t>）</w:t>
            </w:r>
            <w:r>
              <w:rPr>
                <w:rFonts w:ascii="宋体" w:hAnsi="宋体"/>
                <w:kern w:val="0"/>
                <w:szCs w:val="21"/>
              </w:rPr>
              <w:t>日期</w:t>
            </w:r>
          </w:p>
        </w:tc>
        <w:tc>
          <w:tcPr>
            <w:tcW w:w="8027" w:type="dxa"/>
            <w:vAlign w:val="center"/>
          </w:tcPr>
          <w:p w14:paraId="684535DA">
            <w:pPr>
              <w:autoSpaceDE w:val="0"/>
              <w:autoSpaceDN w:val="0"/>
              <w:adjustRightInd w:val="0"/>
              <w:snapToGrid w:val="0"/>
              <w:jc w:val="center"/>
              <w:rPr>
                <w:rFonts w:ascii="宋体" w:hAnsi="宋体"/>
                <w:kern w:val="0"/>
                <w:szCs w:val="21"/>
              </w:rPr>
            </w:pPr>
          </w:p>
        </w:tc>
      </w:tr>
      <w:tr w14:paraId="7685AF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723101E0">
            <w:pPr>
              <w:autoSpaceDE w:val="0"/>
              <w:autoSpaceDN w:val="0"/>
              <w:adjustRightInd w:val="0"/>
              <w:snapToGrid w:val="0"/>
              <w:jc w:val="center"/>
              <w:rPr>
                <w:rFonts w:ascii="宋体" w:hAnsi="宋体"/>
                <w:kern w:val="0"/>
                <w:szCs w:val="21"/>
              </w:rPr>
            </w:pPr>
            <w:r>
              <w:rPr>
                <w:rFonts w:ascii="宋体" w:hAnsi="宋体"/>
                <w:kern w:val="0"/>
                <w:szCs w:val="21"/>
              </w:rPr>
              <w:t>承担的工作</w:t>
            </w:r>
          </w:p>
        </w:tc>
        <w:tc>
          <w:tcPr>
            <w:tcW w:w="8027" w:type="dxa"/>
            <w:vAlign w:val="center"/>
          </w:tcPr>
          <w:p w14:paraId="67D29A2C">
            <w:pPr>
              <w:autoSpaceDE w:val="0"/>
              <w:autoSpaceDN w:val="0"/>
              <w:adjustRightInd w:val="0"/>
              <w:snapToGrid w:val="0"/>
              <w:jc w:val="center"/>
              <w:rPr>
                <w:rFonts w:ascii="宋体" w:hAnsi="宋体"/>
                <w:kern w:val="0"/>
                <w:szCs w:val="21"/>
              </w:rPr>
            </w:pPr>
          </w:p>
        </w:tc>
      </w:tr>
      <w:tr w14:paraId="516A71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296A40FF">
            <w:pPr>
              <w:autoSpaceDE w:val="0"/>
              <w:autoSpaceDN w:val="0"/>
              <w:adjustRightInd w:val="0"/>
              <w:snapToGrid w:val="0"/>
              <w:jc w:val="center"/>
              <w:rPr>
                <w:rFonts w:ascii="宋体" w:hAnsi="宋体"/>
                <w:kern w:val="0"/>
                <w:szCs w:val="21"/>
              </w:rPr>
            </w:pPr>
            <w:r>
              <w:rPr>
                <w:rFonts w:ascii="宋体" w:hAnsi="宋体"/>
                <w:kern w:val="0"/>
                <w:szCs w:val="21"/>
              </w:rPr>
              <w:t>工程质量</w:t>
            </w:r>
          </w:p>
        </w:tc>
        <w:tc>
          <w:tcPr>
            <w:tcW w:w="8027" w:type="dxa"/>
            <w:vAlign w:val="center"/>
          </w:tcPr>
          <w:p w14:paraId="6A3F8254">
            <w:pPr>
              <w:autoSpaceDE w:val="0"/>
              <w:autoSpaceDN w:val="0"/>
              <w:adjustRightInd w:val="0"/>
              <w:snapToGrid w:val="0"/>
              <w:jc w:val="center"/>
              <w:rPr>
                <w:rFonts w:ascii="宋体" w:hAnsi="宋体"/>
                <w:kern w:val="0"/>
                <w:szCs w:val="21"/>
              </w:rPr>
            </w:pPr>
          </w:p>
        </w:tc>
      </w:tr>
      <w:tr w14:paraId="30B239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536296B1">
            <w:pPr>
              <w:autoSpaceDE w:val="0"/>
              <w:autoSpaceDN w:val="0"/>
              <w:adjustRightInd w:val="0"/>
              <w:snapToGrid w:val="0"/>
              <w:jc w:val="center"/>
              <w:rPr>
                <w:rFonts w:ascii="宋体" w:hAnsi="宋体"/>
                <w:kern w:val="0"/>
                <w:szCs w:val="21"/>
              </w:rPr>
            </w:pPr>
            <w:r>
              <w:rPr>
                <w:rFonts w:ascii="宋体" w:hAnsi="宋体"/>
                <w:kern w:val="0"/>
                <w:szCs w:val="21"/>
              </w:rPr>
              <w:t>项目经理</w:t>
            </w:r>
          </w:p>
        </w:tc>
        <w:tc>
          <w:tcPr>
            <w:tcW w:w="8027" w:type="dxa"/>
            <w:vAlign w:val="center"/>
          </w:tcPr>
          <w:p w14:paraId="60E47A6D">
            <w:pPr>
              <w:autoSpaceDE w:val="0"/>
              <w:autoSpaceDN w:val="0"/>
              <w:adjustRightInd w:val="0"/>
              <w:snapToGrid w:val="0"/>
              <w:jc w:val="center"/>
              <w:rPr>
                <w:rFonts w:ascii="宋体" w:hAnsi="宋体"/>
                <w:kern w:val="0"/>
                <w:szCs w:val="21"/>
              </w:rPr>
            </w:pPr>
          </w:p>
        </w:tc>
      </w:tr>
      <w:tr w14:paraId="60BC268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5823DB26">
            <w:pPr>
              <w:autoSpaceDE w:val="0"/>
              <w:autoSpaceDN w:val="0"/>
              <w:adjustRightInd w:val="0"/>
              <w:snapToGrid w:val="0"/>
              <w:jc w:val="center"/>
              <w:rPr>
                <w:rFonts w:ascii="宋体" w:hAnsi="宋体"/>
                <w:kern w:val="0"/>
                <w:szCs w:val="21"/>
              </w:rPr>
            </w:pPr>
            <w:r>
              <w:rPr>
                <w:rFonts w:ascii="宋体" w:hAnsi="宋体"/>
                <w:kern w:val="0"/>
                <w:szCs w:val="21"/>
              </w:rPr>
              <w:t>项目总工</w:t>
            </w:r>
          </w:p>
        </w:tc>
        <w:tc>
          <w:tcPr>
            <w:tcW w:w="8027" w:type="dxa"/>
            <w:vAlign w:val="center"/>
          </w:tcPr>
          <w:p w14:paraId="3D7EC8A2">
            <w:pPr>
              <w:autoSpaceDE w:val="0"/>
              <w:autoSpaceDN w:val="0"/>
              <w:adjustRightInd w:val="0"/>
              <w:snapToGrid w:val="0"/>
              <w:jc w:val="center"/>
              <w:rPr>
                <w:rFonts w:ascii="宋体" w:hAnsi="宋体"/>
                <w:kern w:val="0"/>
                <w:szCs w:val="21"/>
              </w:rPr>
            </w:pPr>
          </w:p>
        </w:tc>
      </w:tr>
      <w:tr w14:paraId="698C204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63" w:hRule="exact"/>
          <w:jc w:val="center"/>
        </w:trPr>
        <w:tc>
          <w:tcPr>
            <w:tcW w:w="1456" w:type="dxa"/>
            <w:vAlign w:val="center"/>
          </w:tcPr>
          <w:p w14:paraId="45CBA356">
            <w:pPr>
              <w:autoSpaceDE w:val="0"/>
              <w:autoSpaceDN w:val="0"/>
              <w:adjustRightInd w:val="0"/>
              <w:snapToGrid w:val="0"/>
              <w:jc w:val="center"/>
              <w:rPr>
                <w:rFonts w:ascii="宋体" w:hAnsi="宋体"/>
                <w:kern w:val="0"/>
                <w:szCs w:val="21"/>
              </w:rPr>
            </w:pPr>
            <w:r>
              <w:rPr>
                <w:rFonts w:ascii="宋体" w:hAnsi="宋体"/>
                <w:kern w:val="0"/>
                <w:szCs w:val="21"/>
              </w:rPr>
              <w:t>总监理工程师及电话</w:t>
            </w:r>
          </w:p>
        </w:tc>
        <w:tc>
          <w:tcPr>
            <w:tcW w:w="8027" w:type="dxa"/>
            <w:vAlign w:val="center"/>
          </w:tcPr>
          <w:p w14:paraId="0F68BE1F">
            <w:pPr>
              <w:autoSpaceDE w:val="0"/>
              <w:autoSpaceDN w:val="0"/>
              <w:adjustRightInd w:val="0"/>
              <w:snapToGrid w:val="0"/>
              <w:jc w:val="center"/>
              <w:rPr>
                <w:rFonts w:ascii="宋体" w:hAnsi="宋体"/>
                <w:kern w:val="0"/>
                <w:szCs w:val="21"/>
              </w:rPr>
            </w:pPr>
          </w:p>
        </w:tc>
      </w:tr>
      <w:tr w14:paraId="6433AF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367" w:hRule="exact"/>
          <w:jc w:val="center"/>
        </w:trPr>
        <w:tc>
          <w:tcPr>
            <w:tcW w:w="1456" w:type="dxa"/>
            <w:vAlign w:val="center"/>
          </w:tcPr>
          <w:p w14:paraId="2D393DC3">
            <w:pPr>
              <w:autoSpaceDE w:val="0"/>
              <w:autoSpaceDN w:val="0"/>
              <w:adjustRightInd w:val="0"/>
              <w:snapToGrid w:val="0"/>
              <w:jc w:val="center"/>
              <w:rPr>
                <w:rFonts w:ascii="宋体" w:hAnsi="宋体"/>
                <w:kern w:val="0"/>
                <w:szCs w:val="21"/>
              </w:rPr>
            </w:pPr>
            <w:r>
              <w:rPr>
                <w:rFonts w:ascii="宋体" w:hAnsi="宋体"/>
                <w:kern w:val="0"/>
                <w:szCs w:val="21"/>
              </w:rPr>
              <w:t>项目描述</w:t>
            </w:r>
          </w:p>
        </w:tc>
        <w:tc>
          <w:tcPr>
            <w:tcW w:w="8027" w:type="dxa"/>
            <w:vAlign w:val="center"/>
          </w:tcPr>
          <w:p w14:paraId="4DE87DEF">
            <w:pPr>
              <w:autoSpaceDE w:val="0"/>
              <w:autoSpaceDN w:val="0"/>
              <w:adjustRightInd w:val="0"/>
              <w:snapToGrid w:val="0"/>
              <w:jc w:val="center"/>
              <w:rPr>
                <w:rFonts w:ascii="宋体" w:hAnsi="宋体"/>
                <w:kern w:val="0"/>
                <w:szCs w:val="21"/>
              </w:rPr>
            </w:pPr>
          </w:p>
        </w:tc>
      </w:tr>
      <w:tr w14:paraId="6AD75D7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09F2CBC4">
            <w:pPr>
              <w:autoSpaceDE w:val="0"/>
              <w:autoSpaceDN w:val="0"/>
              <w:adjustRightInd w:val="0"/>
              <w:snapToGrid w:val="0"/>
              <w:jc w:val="center"/>
              <w:rPr>
                <w:rFonts w:ascii="宋体" w:hAnsi="宋体"/>
                <w:kern w:val="0"/>
                <w:szCs w:val="21"/>
              </w:rPr>
            </w:pPr>
            <w:r>
              <w:rPr>
                <w:rFonts w:ascii="宋体" w:hAnsi="宋体"/>
                <w:kern w:val="0"/>
                <w:szCs w:val="21"/>
              </w:rPr>
              <w:t>备注</w:t>
            </w:r>
          </w:p>
        </w:tc>
        <w:tc>
          <w:tcPr>
            <w:tcW w:w="8027" w:type="dxa"/>
            <w:vAlign w:val="center"/>
          </w:tcPr>
          <w:p w14:paraId="74C7F88D">
            <w:pPr>
              <w:autoSpaceDE w:val="0"/>
              <w:autoSpaceDN w:val="0"/>
              <w:adjustRightInd w:val="0"/>
              <w:snapToGrid w:val="0"/>
              <w:jc w:val="center"/>
              <w:rPr>
                <w:rFonts w:ascii="宋体" w:hAnsi="宋体"/>
                <w:kern w:val="0"/>
                <w:szCs w:val="21"/>
              </w:rPr>
            </w:pPr>
          </w:p>
        </w:tc>
      </w:tr>
    </w:tbl>
    <w:p w14:paraId="38629848">
      <w:pPr>
        <w:pStyle w:val="5"/>
        <w:spacing w:before="0" w:line="360" w:lineRule="auto"/>
        <w:jc w:val="center"/>
        <w:rPr>
          <w:rFonts w:hint="eastAsia" w:ascii="宋体" w:hAnsi="宋体"/>
          <w:b w:val="0"/>
        </w:rPr>
      </w:pPr>
      <w:bookmarkStart w:id="1042" w:name="_Toc224103520"/>
      <w:bookmarkStart w:id="1043" w:name="_Toc534185843"/>
      <w:bookmarkStart w:id="1044" w:name="_Toc287607893"/>
      <w:bookmarkStart w:id="1045" w:name="_Toc509218866"/>
      <w:bookmarkStart w:id="1046" w:name="_Toc287620839"/>
      <w:bookmarkStart w:id="1047" w:name="_Toc277082663"/>
      <w:bookmarkStart w:id="1048" w:name="_Toc27983331"/>
      <w:bookmarkStart w:id="1049" w:name="_Toc430530552"/>
      <w:bookmarkStart w:id="1050" w:name="_Toc57796025"/>
      <w:bookmarkStart w:id="1051" w:name="_Toc20992"/>
      <w:r>
        <w:rPr>
          <w:rFonts w:ascii="宋体" w:hAnsi="宋体"/>
          <w:b w:val="0"/>
        </w:rPr>
        <w:t>（</w:t>
      </w:r>
      <w:r>
        <w:rPr>
          <w:rFonts w:hint="eastAsia" w:ascii="宋体" w:hAnsi="宋体"/>
          <w:b w:val="0"/>
        </w:rPr>
        <w:t>七</w:t>
      </w:r>
      <w:r>
        <w:rPr>
          <w:rFonts w:ascii="宋体" w:hAnsi="宋体"/>
          <w:b w:val="0"/>
        </w:rPr>
        <w:t>）</w:t>
      </w:r>
      <w:bookmarkEnd w:id="1042"/>
      <w:bookmarkEnd w:id="1043"/>
      <w:bookmarkEnd w:id="1044"/>
      <w:bookmarkEnd w:id="1045"/>
      <w:bookmarkEnd w:id="1046"/>
      <w:bookmarkEnd w:id="1047"/>
      <w:bookmarkEnd w:id="1048"/>
      <w:bookmarkEnd w:id="1049"/>
      <w:r>
        <w:rPr>
          <w:rFonts w:hint="eastAsia" w:ascii="宋体" w:hAnsi="宋体"/>
          <w:b w:val="0"/>
        </w:rPr>
        <w:t>承诺</w:t>
      </w:r>
      <w:bookmarkEnd w:id="1050"/>
      <w:bookmarkEnd w:id="1051"/>
    </w:p>
    <w:p w14:paraId="636D2F39">
      <w:pPr>
        <w:snapToGrid w:val="0"/>
        <w:spacing w:line="400" w:lineRule="exact"/>
        <w:rPr>
          <w:rFonts w:hint="eastAsia" w:ascii="宋体" w:hAnsi="宋体"/>
          <w:szCs w:val="21"/>
          <w:u w:val="single"/>
        </w:rPr>
      </w:pPr>
      <w:r>
        <w:rPr>
          <w:rFonts w:hint="eastAsia" w:ascii="宋体" w:hAnsi="宋体"/>
          <w:szCs w:val="21"/>
          <w:u w:val="single"/>
        </w:rPr>
        <w:t xml:space="preserve">        （招标人名称）</w:t>
      </w:r>
      <w:r>
        <w:rPr>
          <w:rFonts w:hint="eastAsia" w:ascii="宋体" w:hAnsi="宋体"/>
          <w:szCs w:val="21"/>
        </w:rPr>
        <w:t>：</w:t>
      </w:r>
    </w:p>
    <w:p w14:paraId="6E68D218">
      <w:pPr>
        <w:snapToGrid w:val="0"/>
        <w:spacing w:line="400" w:lineRule="exact"/>
        <w:ind w:firstLine="420" w:firstLineChars="200"/>
        <w:rPr>
          <w:rFonts w:hint="eastAsia" w:ascii="宋体" w:hAnsi="宋体"/>
          <w:szCs w:val="21"/>
        </w:rPr>
      </w:pPr>
      <w:r>
        <w:rPr>
          <w:rFonts w:hint="eastAsia" w:ascii="宋体" w:hAnsi="宋体"/>
          <w:szCs w:val="21"/>
        </w:rPr>
        <w:t>我公司</w:t>
      </w:r>
      <w:r>
        <w:rPr>
          <w:rFonts w:hint="eastAsia" w:ascii="宋体" w:hAnsi="宋体"/>
          <w:szCs w:val="21"/>
          <w:u w:val="single"/>
        </w:rPr>
        <w:t xml:space="preserve">        （投标人名称）</w:t>
      </w:r>
      <w:r>
        <w:rPr>
          <w:rFonts w:hint="eastAsia" w:ascii="宋体" w:hAnsi="宋体"/>
          <w:szCs w:val="21"/>
        </w:rPr>
        <w:t>参加了贵单位</w:t>
      </w:r>
      <w:r>
        <w:rPr>
          <w:rFonts w:hint="eastAsia" w:ascii="宋体" w:hAnsi="宋体"/>
          <w:szCs w:val="21"/>
          <w:u w:val="single"/>
        </w:rPr>
        <w:t xml:space="preserve">        （项目名称）</w:t>
      </w:r>
      <w:r>
        <w:rPr>
          <w:rFonts w:hint="eastAsia" w:ascii="宋体" w:hAnsi="宋体"/>
          <w:szCs w:val="21"/>
        </w:rPr>
        <w:t>的投标，自愿作出以下承诺：</w:t>
      </w:r>
    </w:p>
    <w:p w14:paraId="329F84D3">
      <w:pPr>
        <w:snapToGrid w:val="0"/>
        <w:spacing w:line="400" w:lineRule="exact"/>
        <w:ind w:firstLine="420" w:firstLineChars="200"/>
        <w:rPr>
          <w:rFonts w:hint="eastAsia" w:ascii="宋体" w:hAnsi="宋体"/>
          <w:szCs w:val="21"/>
        </w:rPr>
      </w:pPr>
      <w:r>
        <w:rPr>
          <w:rFonts w:hint="eastAsia" w:ascii="宋体" w:hAnsi="宋体"/>
          <w:szCs w:val="21"/>
        </w:rPr>
        <w:t>1、投标截止日投标资格情况不存在下列情形之一：</w:t>
      </w:r>
    </w:p>
    <w:p w14:paraId="0D0B6878">
      <w:pPr>
        <w:snapToGrid w:val="0"/>
        <w:spacing w:line="400" w:lineRule="exact"/>
        <w:ind w:firstLine="420" w:firstLineChars="200"/>
        <w:jc w:val="left"/>
        <w:rPr>
          <w:rFonts w:hint="eastAsia" w:ascii="宋体" w:hAnsi="宋体"/>
          <w:szCs w:val="21"/>
        </w:rPr>
      </w:pPr>
      <w:r>
        <w:rPr>
          <w:rFonts w:hint="eastAsia" w:ascii="宋体" w:hAnsi="宋体"/>
          <w:szCs w:val="21"/>
        </w:rPr>
        <w:t>（1）被人民法院列入失信被执行人名单且在被执行期内；</w:t>
      </w:r>
    </w:p>
    <w:p w14:paraId="05CB72DE">
      <w:pPr>
        <w:snapToGrid w:val="0"/>
        <w:spacing w:line="400" w:lineRule="exact"/>
        <w:ind w:firstLine="420" w:firstLineChars="200"/>
        <w:jc w:val="left"/>
        <w:rPr>
          <w:rFonts w:hint="eastAsia" w:ascii="宋体" w:hAnsi="宋体"/>
          <w:szCs w:val="21"/>
        </w:rPr>
      </w:pPr>
      <w:r>
        <w:rPr>
          <w:rFonts w:hint="eastAsia" w:ascii="宋体" w:hAnsi="宋体"/>
          <w:szCs w:val="21"/>
        </w:rPr>
        <w:t>（2）被列入《重庆市工程建设领域招标投标信用管理暂行办法》规定的重点关注名单且记分达到12分且在记分有效期内；</w:t>
      </w:r>
    </w:p>
    <w:p w14:paraId="3CB99E21">
      <w:pPr>
        <w:snapToGrid w:val="0"/>
        <w:spacing w:line="400" w:lineRule="exact"/>
        <w:ind w:firstLine="420" w:firstLineChars="200"/>
        <w:jc w:val="left"/>
        <w:rPr>
          <w:rFonts w:hint="eastAsia" w:ascii="宋体" w:hAnsi="宋体"/>
          <w:szCs w:val="21"/>
        </w:rPr>
      </w:pPr>
      <w:r>
        <w:rPr>
          <w:rFonts w:hint="eastAsia" w:ascii="宋体" w:hAnsi="宋体"/>
          <w:szCs w:val="21"/>
        </w:rPr>
        <w:t>（3）被列入《重庆市工程建设领域招标投标信用管理暂行办法》规定的黑名单且在记分有效期内；</w:t>
      </w:r>
    </w:p>
    <w:p w14:paraId="1BCEFB86">
      <w:pPr>
        <w:snapToGrid w:val="0"/>
        <w:spacing w:line="400" w:lineRule="exact"/>
        <w:ind w:firstLine="420" w:firstLineChars="200"/>
        <w:jc w:val="left"/>
        <w:rPr>
          <w:rFonts w:hint="eastAsia" w:ascii="宋体" w:hAnsi="宋体"/>
          <w:szCs w:val="21"/>
        </w:rPr>
      </w:pPr>
      <w:r>
        <w:rPr>
          <w:rFonts w:hint="eastAsia" w:ascii="宋体" w:hAnsi="宋体"/>
          <w:szCs w:val="21"/>
        </w:rPr>
        <w:t>（4）被国家、重庆市（含市或任意区县）有关行政部门处以取消投标资格处罚或禁止从业处罚，且在处罚期限内；</w:t>
      </w:r>
    </w:p>
    <w:p w14:paraId="58150E1D">
      <w:pPr>
        <w:spacing w:line="400" w:lineRule="exact"/>
        <w:ind w:firstLine="420" w:firstLineChars="200"/>
        <w:rPr>
          <w:rFonts w:hint="eastAsia" w:ascii="宋体" w:hAnsi="宋体"/>
          <w:szCs w:val="21"/>
        </w:rPr>
      </w:pPr>
      <w:r>
        <w:rPr>
          <w:rFonts w:hint="eastAsia" w:ascii="宋体" w:hAnsi="宋体"/>
          <w:szCs w:val="21"/>
        </w:rPr>
        <w:t>（5）被责令停业，暂扣或吊销执照，或吊销资质证书；</w:t>
      </w:r>
    </w:p>
    <w:p w14:paraId="37BEE15F">
      <w:pPr>
        <w:spacing w:line="400" w:lineRule="exact"/>
        <w:ind w:firstLine="420" w:firstLineChars="200"/>
        <w:rPr>
          <w:rFonts w:hint="eastAsia" w:ascii="宋体" w:hAnsi="宋体"/>
          <w:szCs w:val="21"/>
        </w:rPr>
      </w:pPr>
      <w:r>
        <w:rPr>
          <w:rFonts w:hint="eastAsia" w:ascii="宋体" w:hAnsi="宋体"/>
          <w:szCs w:val="21"/>
        </w:rPr>
        <w:t>（6）进入清算程序，或被宣告破产，或其他丧失履约能力的情形；</w:t>
      </w:r>
    </w:p>
    <w:p w14:paraId="0100A1DC">
      <w:pPr>
        <w:spacing w:line="400" w:lineRule="exact"/>
        <w:ind w:firstLine="420" w:firstLineChars="200"/>
        <w:rPr>
          <w:rFonts w:hint="eastAsia" w:ascii="宋体" w:hAnsi="宋体"/>
          <w:szCs w:val="21"/>
        </w:rPr>
      </w:pPr>
      <w:r>
        <w:rPr>
          <w:rFonts w:hint="eastAsia" w:ascii="宋体" w:hAnsi="宋体"/>
          <w:szCs w:val="21"/>
        </w:rPr>
        <w:t>（7）在国家企业信用信息公示系统（http://www.gsxt.gov.cn/）中被列入严重违法失信企业名单；</w:t>
      </w:r>
    </w:p>
    <w:p w14:paraId="4909EA28">
      <w:pPr>
        <w:snapToGrid w:val="0"/>
        <w:spacing w:line="400" w:lineRule="exact"/>
        <w:ind w:firstLine="420" w:firstLineChars="200"/>
        <w:jc w:val="left"/>
        <w:rPr>
          <w:rFonts w:hint="eastAsia" w:ascii="宋体" w:hAnsi="宋体"/>
          <w:szCs w:val="21"/>
        </w:rPr>
      </w:pPr>
      <w:r>
        <w:rPr>
          <w:rFonts w:hint="eastAsia" w:ascii="宋体" w:hAnsi="宋体"/>
          <w:szCs w:val="21"/>
        </w:rPr>
        <w:t>（8）投标人或其法定代表人、拟委任的项目经理在近两年内有行贿犯罪行为的。</w:t>
      </w:r>
    </w:p>
    <w:p w14:paraId="03910887">
      <w:pPr>
        <w:snapToGrid w:val="0"/>
        <w:spacing w:line="400" w:lineRule="exact"/>
        <w:ind w:firstLine="420" w:firstLineChars="200"/>
        <w:rPr>
          <w:rFonts w:hint="eastAsia" w:ascii="宋体" w:hAnsi="宋体"/>
          <w:szCs w:val="21"/>
        </w:rPr>
      </w:pPr>
      <w:r>
        <w:rPr>
          <w:rFonts w:hint="eastAsia" w:ascii="宋体" w:hAnsi="宋体"/>
          <w:szCs w:val="21"/>
        </w:rPr>
        <w:t>2.项目经理和项目总工到岗履责承诺</w:t>
      </w:r>
    </w:p>
    <w:p w14:paraId="5BECEC09">
      <w:pPr>
        <w:snapToGrid w:val="0"/>
        <w:spacing w:line="400" w:lineRule="exact"/>
        <w:ind w:firstLine="420" w:firstLineChars="200"/>
        <w:rPr>
          <w:rFonts w:hint="eastAsia" w:ascii="宋体" w:hAnsi="宋体"/>
          <w:szCs w:val="21"/>
        </w:rPr>
      </w:pPr>
      <w:r>
        <w:rPr>
          <w:rFonts w:hint="eastAsia" w:ascii="宋体" w:hAnsi="宋体"/>
          <w:szCs w:val="21"/>
        </w:rPr>
        <w:t>2.1我公司拟派的项目经理中标后只能在本项目任职，签订合同时拟派的项目经理必须与投标文件中的项目经理一致，并满足办理施工许可手续的相关要求。不能按承诺到岗履约的，按合同相关条款处罚并上报行政主管部门，给贵单位造成损失的，我公司依法承担违约赔偿责任。拟派的项目经理中标后不得随意更换。</w:t>
      </w:r>
    </w:p>
    <w:p w14:paraId="17E688FD">
      <w:pPr>
        <w:snapToGrid w:val="0"/>
        <w:spacing w:line="400" w:lineRule="exact"/>
        <w:ind w:firstLine="420" w:firstLineChars="200"/>
        <w:rPr>
          <w:rFonts w:hint="eastAsia" w:ascii="宋体" w:hAnsi="宋体"/>
          <w:szCs w:val="21"/>
        </w:rPr>
      </w:pPr>
      <w:r>
        <w:rPr>
          <w:rFonts w:hint="eastAsia" w:ascii="宋体" w:hAnsi="宋体"/>
          <w:szCs w:val="21"/>
        </w:rPr>
        <w:t>2.2我公司拟派的项目总工中标后只能在本项目任职，签订合同时拟派的项目总工必须与投标文件中的项目总工一致，并满足办理施工许可手续的相关要求。不能按承诺到岗履约的，按合同相关条款处罚并上报行政主管部门，给贵单位造成损失的，我公司依法承担违约赔偿责任。拟派的项目总工中标后不得随意更换。</w:t>
      </w:r>
    </w:p>
    <w:p w14:paraId="09B7F9E7">
      <w:pPr>
        <w:snapToGrid w:val="0"/>
        <w:spacing w:line="400" w:lineRule="exact"/>
        <w:ind w:firstLine="420" w:firstLineChars="200"/>
        <w:rPr>
          <w:rFonts w:hint="eastAsia" w:ascii="宋体" w:hAnsi="宋体"/>
          <w:szCs w:val="21"/>
        </w:rPr>
      </w:pPr>
      <w:r>
        <w:rPr>
          <w:rFonts w:hint="eastAsia" w:ascii="宋体" w:hAnsi="宋体"/>
          <w:szCs w:val="21"/>
        </w:rPr>
        <w:t>3、我公司若中标，将在合同谈判结束后7日内按照本项目招标文件“投标人须知”前附表1.4.1的要求，向贵单位提供参与本项目施工工作的人员名单，并附相应人员的身份证、执业资格证、职称证书、社保缴费证明等证明材料作为投标书附件并作为合同文件的组成部分。如果我方在合同谈判结束后7日内，不能向贵单位提供上述材料（除不可抗力因素），视为我方放弃中标候选人资格。</w:t>
      </w:r>
    </w:p>
    <w:p w14:paraId="16046D27">
      <w:pPr>
        <w:snapToGrid w:val="0"/>
        <w:spacing w:line="400" w:lineRule="exact"/>
        <w:ind w:firstLine="420" w:firstLineChars="200"/>
        <w:rPr>
          <w:rFonts w:hint="eastAsia" w:ascii="宋体" w:hAnsi="宋体"/>
          <w:szCs w:val="21"/>
        </w:rPr>
      </w:pPr>
      <w:r>
        <w:rPr>
          <w:rFonts w:hint="eastAsia" w:ascii="宋体" w:hAnsi="宋体"/>
          <w:szCs w:val="21"/>
        </w:rPr>
        <w:t>4、我公司若中标，将在合同谈判结束后7日内按照本项目招标文件“投标人须知”前附表1.4.1的要求，向贵单位提供主要设备进场清单。如果我方在合同谈判结束后7日内，不能向贵单位提供上述材料（除不可抗力因素），视为我方放弃中标候选人资格。</w:t>
      </w:r>
    </w:p>
    <w:p w14:paraId="1C5E56A1">
      <w:pPr>
        <w:snapToGrid w:val="0"/>
        <w:spacing w:line="400" w:lineRule="exact"/>
        <w:ind w:firstLine="420" w:firstLineChars="200"/>
        <w:rPr>
          <w:rFonts w:hint="eastAsia" w:ascii="宋体" w:hAnsi="宋体"/>
          <w:szCs w:val="21"/>
        </w:rPr>
      </w:pPr>
      <w:r>
        <w:rPr>
          <w:rFonts w:hint="eastAsia" w:ascii="宋体" w:hAnsi="宋体"/>
          <w:szCs w:val="21"/>
        </w:rPr>
        <w:t>5、我公司严格按照第五章“工程量清单”、第八章“工程量清单计量规则”的规定进行报价。招标文件中规定工程量清单不允许修改的内容不得修改。投标总报价不高于贵单位公布的投标总报价最高限价。各清单子目单价不高于贵单位公布的各清单子目单价最高限价的。若出现差错，按招标文件第二章投标人须知前附表第3.2.9项规定的原则进行处理（或结算）。</w:t>
      </w:r>
    </w:p>
    <w:p w14:paraId="0BF60F40">
      <w:pPr>
        <w:snapToGrid w:val="0"/>
        <w:spacing w:line="400" w:lineRule="exact"/>
        <w:ind w:firstLine="420" w:firstLineChars="200"/>
        <w:rPr>
          <w:rFonts w:hint="eastAsia" w:ascii="宋体" w:hAnsi="宋体"/>
          <w:szCs w:val="21"/>
        </w:rPr>
      </w:pPr>
      <w:r>
        <w:rPr>
          <w:rFonts w:hint="eastAsia" w:ascii="宋体" w:hAnsi="宋体"/>
          <w:szCs w:val="21"/>
        </w:rPr>
        <w:t>6、我公司在资格审查部分中提供的相关证明材料真实有效，不存在弄虚作假情形。</w:t>
      </w:r>
      <w:r>
        <w:rPr>
          <w:rFonts w:hint="eastAsia" w:ascii="宋体" w:hAnsi="宋体"/>
          <w:szCs w:val="21"/>
          <w:u w:val="single"/>
        </w:rPr>
        <w:t>贵单位在合同签订前均有权对我司提供的资料进行核实，若发现弄虚作假，取消中标资格，并按相关法律法规报招标投标监督部门处理，投标保证金</w:t>
      </w:r>
      <w:r>
        <w:rPr>
          <w:rFonts w:hint="eastAsia" w:ascii="宋体" w:hAnsi="宋体" w:cs="宋体"/>
          <w:szCs w:val="21"/>
        </w:rPr>
        <w:t>以现金形式交纳的不予退还，以保函形式交纳的由保函开立人支付保函担保的与投标保证金等额的款项</w:t>
      </w:r>
      <w:r>
        <w:rPr>
          <w:rFonts w:hint="eastAsia" w:ascii="宋体" w:hAnsi="宋体"/>
          <w:szCs w:val="21"/>
          <w:u w:val="single"/>
        </w:rPr>
        <w:t>，我司自愿承担因此造成的相关责任并赔偿相应损失。</w:t>
      </w:r>
    </w:p>
    <w:p w14:paraId="76DA06F3">
      <w:pPr>
        <w:snapToGrid w:val="0"/>
        <w:spacing w:line="380" w:lineRule="exact"/>
        <w:ind w:firstLine="420" w:firstLineChars="200"/>
        <w:rPr>
          <w:rFonts w:hint="eastAsia" w:ascii="宋体" w:hAnsi="宋体"/>
          <w:szCs w:val="21"/>
        </w:rPr>
      </w:pPr>
      <w:r>
        <w:rPr>
          <w:rFonts w:hint="eastAsia" w:ascii="宋体" w:hAnsi="宋体"/>
          <w:szCs w:val="21"/>
        </w:rPr>
        <w:t>7、我公司不存在第二章 投标人须知第 1.4.3 项规定的任何一种情形。</w:t>
      </w:r>
    </w:p>
    <w:p w14:paraId="1ED8C73B">
      <w:pPr>
        <w:snapToGrid w:val="0"/>
        <w:spacing w:line="380" w:lineRule="exact"/>
        <w:ind w:firstLine="420" w:firstLineChars="200"/>
        <w:rPr>
          <w:rFonts w:hint="eastAsia" w:ascii="宋体" w:hAnsi="宋体"/>
          <w:szCs w:val="21"/>
        </w:rPr>
      </w:pPr>
      <w:r>
        <w:rPr>
          <w:rFonts w:hint="eastAsia" w:ascii="宋体" w:hAnsi="宋体"/>
          <w:szCs w:val="21"/>
        </w:rPr>
        <w:t>8、我公司的投标文件符合第二章 投标人须知第 1.3.1 项的规定。</w:t>
      </w:r>
    </w:p>
    <w:p w14:paraId="65646DC6">
      <w:pPr>
        <w:snapToGrid w:val="0"/>
        <w:spacing w:line="400" w:lineRule="exact"/>
        <w:ind w:firstLine="420" w:firstLineChars="200"/>
        <w:rPr>
          <w:rFonts w:hint="eastAsia" w:ascii="宋体" w:hAnsi="宋体"/>
          <w:szCs w:val="21"/>
        </w:rPr>
      </w:pPr>
      <w:r>
        <w:rPr>
          <w:rFonts w:hint="eastAsia" w:ascii="宋体" w:hAnsi="宋体"/>
          <w:szCs w:val="21"/>
        </w:rPr>
        <w:t>9、我公司的投标文件符合第四章 合同条款及格式规定，投标文件中没有招标人不能接受的条件。</w:t>
      </w:r>
    </w:p>
    <w:p w14:paraId="7ADB6F19">
      <w:pPr>
        <w:snapToGrid w:val="0"/>
        <w:spacing w:line="400" w:lineRule="exact"/>
        <w:ind w:firstLine="420" w:firstLineChars="200"/>
        <w:rPr>
          <w:rFonts w:hint="eastAsia" w:ascii="宋体" w:hAnsi="宋体"/>
          <w:szCs w:val="21"/>
        </w:rPr>
      </w:pPr>
      <w:r>
        <w:rPr>
          <w:rFonts w:hint="eastAsia" w:ascii="宋体" w:hAnsi="宋体"/>
          <w:szCs w:val="21"/>
        </w:rPr>
        <w:t>10、我公司的投标文件符合第七章 技术标准和要求（如有）。</w:t>
      </w:r>
    </w:p>
    <w:p w14:paraId="6DDB2CC7">
      <w:pPr>
        <w:snapToGrid w:val="0"/>
        <w:spacing w:line="400" w:lineRule="exact"/>
        <w:ind w:firstLine="420" w:firstLineChars="200"/>
        <w:rPr>
          <w:rFonts w:hint="eastAsia" w:ascii="宋体" w:hAnsi="宋体"/>
          <w:szCs w:val="21"/>
        </w:rPr>
      </w:pPr>
      <w:r>
        <w:rPr>
          <w:rFonts w:hint="eastAsia" w:ascii="宋体" w:hAnsi="宋体"/>
          <w:szCs w:val="21"/>
        </w:rPr>
        <w:t>11、我公司接受招标文件中关于“不平衡报价”的相关约定（如有）。</w:t>
      </w:r>
    </w:p>
    <w:p w14:paraId="2AD24A8C">
      <w:pPr>
        <w:snapToGrid w:val="0"/>
        <w:spacing w:line="400" w:lineRule="exact"/>
        <w:ind w:firstLine="420" w:firstLineChars="200"/>
        <w:rPr>
          <w:rFonts w:hint="eastAsia" w:ascii="宋体" w:hAnsi="宋体"/>
          <w:szCs w:val="21"/>
        </w:rPr>
      </w:pPr>
      <w:r>
        <w:rPr>
          <w:rFonts w:hint="eastAsia" w:ascii="宋体" w:hAnsi="宋体"/>
          <w:szCs w:val="21"/>
        </w:rPr>
        <w:t>12、我公司接受招标文件中关于“不允许负数报价”的相关要求（如有）。</w:t>
      </w:r>
    </w:p>
    <w:p w14:paraId="619F6B3D">
      <w:pPr>
        <w:snapToGrid w:val="0"/>
        <w:spacing w:line="400" w:lineRule="exact"/>
        <w:ind w:firstLine="420" w:firstLineChars="200"/>
        <w:rPr>
          <w:rFonts w:hint="eastAsia" w:ascii="宋体" w:hAnsi="宋体"/>
          <w:szCs w:val="21"/>
        </w:rPr>
      </w:pPr>
    </w:p>
    <w:p w14:paraId="0502E901">
      <w:pPr>
        <w:tabs>
          <w:tab w:val="left" w:pos="4200"/>
          <w:tab w:val="left" w:pos="4620"/>
        </w:tabs>
        <w:autoSpaceDE w:val="0"/>
        <w:autoSpaceDN w:val="0"/>
        <w:adjustRightInd w:val="0"/>
        <w:snapToGrid w:val="0"/>
        <w:spacing w:line="360" w:lineRule="auto"/>
        <w:ind w:firstLine="420" w:firstLineChars="200"/>
        <w:jc w:val="left"/>
        <w:rPr>
          <w:rFonts w:ascii="宋体" w:hAnsi="宋体"/>
          <w:kern w:val="0"/>
          <w:szCs w:val="21"/>
        </w:rPr>
      </w:pPr>
      <w:r>
        <w:rPr>
          <w:rFonts w:ascii="宋体" w:hAnsi="宋体"/>
          <w:kern w:val="0"/>
          <w:szCs w:val="21"/>
        </w:rPr>
        <w:t>投  标  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ascii="宋体" w:hAnsi="宋体"/>
          <w:kern w:val="0"/>
          <w:szCs w:val="21"/>
        </w:rPr>
        <w:t>（</w:t>
      </w:r>
      <w:r>
        <w:rPr>
          <w:rFonts w:ascii="宋体" w:hAnsi="宋体"/>
          <w:spacing w:val="-1"/>
          <w:kern w:val="0"/>
          <w:szCs w:val="21"/>
        </w:rPr>
        <w:t>盖单位法人章</w:t>
      </w:r>
      <w:r>
        <w:rPr>
          <w:rFonts w:ascii="宋体" w:hAnsi="宋体"/>
          <w:kern w:val="0"/>
          <w:szCs w:val="21"/>
        </w:rPr>
        <w:t>）</w:t>
      </w:r>
    </w:p>
    <w:p w14:paraId="2FCA63EF">
      <w:pPr>
        <w:tabs>
          <w:tab w:val="left" w:pos="6300"/>
        </w:tabs>
        <w:autoSpaceDE w:val="0"/>
        <w:autoSpaceDN w:val="0"/>
        <w:adjustRightInd w:val="0"/>
        <w:snapToGrid w:val="0"/>
        <w:spacing w:line="360" w:lineRule="auto"/>
        <w:ind w:firstLine="420" w:firstLineChars="200"/>
        <w:jc w:val="left"/>
        <w:rPr>
          <w:rFonts w:hint="eastAsia" w:ascii="宋体" w:hAnsi="宋体"/>
          <w:kern w:val="0"/>
          <w:szCs w:val="21"/>
        </w:rPr>
      </w:pPr>
      <w:r>
        <w:rPr>
          <w:rFonts w:ascii="宋体" w:hAnsi="宋体"/>
          <w:kern w:val="0"/>
          <w:szCs w:val="21"/>
        </w:rPr>
        <w:t>法定代表人：</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w w:val="200"/>
          <w:kern w:val="0"/>
          <w:szCs w:val="21"/>
          <w:u w:val="single"/>
        </w:rPr>
        <w:t xml:space="preserve">   </w:t>
      </w:r>
      <w:r>
        <w:rPr>
          <w:rFonts w:hint="eastAsia" w:ascii="宋体" w:hAnsi="宋体"/>
          <w:w w:val="200"/>
          <w:kern w:val="0"/>
          <w:szCs w:val="21"/>
          <w:u w:val="single"/>
        </w:rPr>
        <w:t xml:space="preserve"> </w:t>
      </w:r>
      <w:r>
        <w:rPr>
          <w:rFonts w:ascii="宋体" w:hAnsi="宋体"/>
          <w:kern w:val="0"/>
          <w:szCs w:val="21"/>
        </w:rPr>
        <w:t>（</w:t>
      </w:r>
      <w:r>
        <w:rPr>
          <w:rFonts w:hint="eastAsia" w:ascii="宋体" w:hAnsi="宋体"/>
          <w:kern w:val="0"/>
          <w:szCs w:val="21"/>
        </w:rPr>
        <w:t>签名</w:t>
      </w:r>
      <w:r>
        <w:rPr>
          <w:rFonts w:ascii="宋体" w:hAnsi="宋体"/>
          <w:kern w:val="0"/>
          <w:szCs w:val="21"/>
        </w:rPr>
        <w:t>或盖章）</w:t>
      </w:r>
    </w:p>
    <w:p w14:paraId="1F157A56">
      <w:pPr>
        <w:pStyle w:val="2"/>
      </w:pPr>
    </w:p>
    <w:p w14:paraId="2BA8EC1C">
      <w:pPr>
        <w:snapToGrid w:val="0"/>
        <w:spacing w:line="400" w:lineRule="exact"/>
        <w:ind w:firstLine="420" w:firstLineChars="200"/>
        <w:jc w:val="right"/>
        <w:rPr>
          <w:rFonts w:hint="eastAsia" w:ascii="宋体" w:hAnsi="宋体"/>
          <w:szCs w:val="21"/>
        </w:rPr>
      </w:pPr>
      <w:r>
        <w:rPr>
          <w:rFonts w:hint="eastAsia" w:ascii="宋体" w:hAnsi="宋体"/>
          <w:kern w:val="0"/>
          <w:szCs w:val="21"/>
          <w:u w:val="single"/>
        </w:rPr>
        <w:t xml:space="preserve">    </w:t>
      </w:r>
      <w:r>
        <w:rPr>
          <w:rFonts w:ascii="宋体" w:hAnsi="宋体"/>
          <w:kern w:val="0"/>
          <w:szCs w:val="21"/>
        </w:rPr>
        <w:t>年</w:t>
      </w:r>
      <w:r>
        <w:rPr>
          <w:rFonts w:hint="eastAsia" w:ascii="宋体" w:hAnsi="宋体"/>
          <w:kern w:val="0"/>
          <w:szCs w:val="21"/>
          <w:u w:val="single"/>
        </w:rPr>
        <w:t xml:space="preserve">    </w:t>
      </w:r>
      <w:r>
        <w:rPr>
          <w:rFonts w:ascii="宋体" w:hAnsi="宋体"/>
          <w:kern w:val="0"/>
          <w:szCs w:val="21"/>
        </w:rPr>
        <w:t>月</w:t>
      </w:r>
      <w:r>
        <w:rPr>
          <w:rFonts w:hint="eastAsia" w:ascii="宋体" w:hAnsi="宋体"/>
          <w:kern w:val="0"/>
          <w:szCs w:val="21"/>
          <w:u w:val="single"/>
        </w:rPr>
        <w:t xml:space="preserve">    </w:t>
      </w:r>
      <w:r>
        <w:rPr>
          <w:rFonts w:ascii="宋体" w:hAnsi="宋体"/>
          <w:kern w:val="0"/>
          <w:szCs w:val="21"/>
        </w:rPr>
        <w:t>日</w:t>
      </w:r>
    </w:p>
    <w:p w14:paraId="114EE7FC">
      <w:pPr>
        <w:rPr>
          <w:rFonts w:hint="eastAsia"/>
        </w:rPr>
      </w:pPr>
    </w:p>
    <w:p w14:paraId="210A704C">
      <w:pPr>
        <w:rPr>
          <w:rFonts w:hint="eastAsia"/>
        </w:rPr>
      </w:pPr>
    </w:p>
    <w:p w14:paraId="650947B3">
      <w:pPr>
        <w:pStyle w:val="5"/>
        <w:spacing w:before="0" w:line="360" w:lineRule="auto"/>
        <w:jc w:val="center"/>
        <w:rPr>
          <w:rFonts w:hint="eastAsia" w:ascii="宋体" w:hAnsi="宋体"/>
          <w:b w:val="0"/>
        </w:rPr>
      </w:pPr>
      <w:bookmarkStart w:id="1052" w:name="_Toc27983333"/>
      <w:r>
        <w:rPr>
          <w:rFonts w:ascii="宋体" w:hAnsi="宋体"/>
          <w:b w:val="0"/>
          <w:bCs w:val="0"/>
          <w:sz w:val="21"/>
          <w:szCs w:val="24"/>
        </w:rPr>
        <w:br w:type="page"/>
      </w:r>
      <w:bookmarkStart w:id="1053" w:name="_Toc57796026"/>
      <w:bookmarkStart w:id="1054" w:name="_Toc25715"/>
      <w:r>
        <w:rPr>
          <w:rFonts w:hint="eastAsia" w:ascii="宋体" w:hAnsi="宋体"/>
          <w:b w:val="0"/>
        </w:rPr>
        <w:t>（八）其他资料</w:t>
      </w:r>
      <w:bookmarkEnd w:id="1052"/>
      <w:bookmarkEnd w:id="1053"/>
      <w:bookmarkEnd w:id="1054"/>
    </w:p>
    <w:p w14:paraId="632A5D0B">
      <w:pPr>
        <w:pStyle w:val="2"/>
        <w:spacing w:line="360" w:lineRule="auto"/>
        <w:ind w:firstLine="420" w:firstLineChars="200"/>
        <w:rPr>
          <w:rFonts w:hint="eastAsia" w:ascii="宋体" w:hAnsi="宋体"/>
          <w:szCs w:val="21"/>
        </w:rPr>
      </w:pPr>
      <w:r>
        <w:rPr>
          <w:rFonts w:hint="eastAsia" w:ascii="宋体" w:hAnsi="宋体"/>
          <w:szCs w:val="21"/>
        </w:rPr>
        <w:t>1. 投标保证金</w:t>
      </w:r>
    </w:p>
    <w:p w14:paraId="1BA8AB83">
      <w:pPr>
        <w:pStyle w:val="2"/>
        <w:ind w:firstLine="420" w:firstLineChars="200"/>
        <w:rPr>
          <w:rFonts w:hint="eastAsia" w:ascii="宋体" w:hAnsi="宋体"/>
          <w:i/>
          <w:szCs w:val="21"/>
        </w:rPr>
      </w:pPr>
      <w:r>
        <w:rPr>
          <w:rFonts w:hint="eastAsia" w:ascii="宋体" w:hAnsi="宋体"/>
          <w:i/>
          <w:szCs w:val="21"/>
        </w:rPr>
        <w:t>[提示：以转账支票或电汇形式交纳投标保证金的提供以下资料]</w:t>
      </w:r>
    </w:p>
    <w:p w14:paraId="62D1AAB3">
      <w:pPr>
        <w:pStyle w:val="2"/>
        <w:ind w:firstLine="420" w:firstLineChars="200"/>
        <w:rPr>
          <w:rFonts w:hint="eastAsia" w:ascii="宋体" w:hAnsi="宋体"/>
          <w:szCs w:val="21"/>
        </w:rPr>
      </w:pPr>
      <w:r>
        <w:rPr>
          <w:rFonts w:hint="eastAsia" w:ascii="宋体" w:hAnsi="宋体"/>
          <w:szCs w:val="21"/>
        </w:rPr>
        <w:t>（1）企业基本账户开户证明文件。</w:t>
      </w:r>
    </w:p>
    <w:p w14:paraId="7992235F">
      <w:pPr>
        <w:rPr>
          <w:rFonts w:hint="eastAsia" w:ascii="宋体" w:hAnsi="宋体"/>
          <w:i/>
          <w:szCs w:val="21"/>
        </w:rPr>
      </w:pPr>
      <w:r>
        <w:rPr>
          <w:rFonts w:hint="eastAsia" w:ascii="宋体" w:hAnsi="宋体"/>
          <w:i/>
          <w:szCs w:val="21"/>
        </w:rPr>
        <w:br w:type="page"/>
      </w:r>
    </w:p>
    <w:p w14:paraId="7019E04F">
      <w:pPr>
        <w:spacing w:line="360" w:lineRule="auto"/>
        <w:ind w:firstLine="420" w:firstLineChars="200"/>
        <w:rPr>
          <w:rFonts w:hint="eastAsia" w:ascii="宋体" w:hAnsi="宋体"/>
          <w:i/>
          <w:szCs w:val="21"/>
        </w:rPr>
      </w:pPr>
      <w:r>
        <w:rPr>
          <w:rFonts w:hint="eastAsia" w:ascii="宋体" w:hAnsi="宋体"/>
          <w:i/>
          <w:szCs w:val="21"/>
        </w:rPr>
        <w:t>[提示：以纸质投标保函形式交纳投标保证金的提供以下资料]</w:t>
      </w:r>
    </w:p>
    <w:p w14:paraId="246649A7">
      <w:pPr>
        <w:spacing w:line="360" w:lineRule="auto"/>
        <w:ind w:firstLine="420" w:firstLineChars="200"/>
        <w:rPr>
          <w:rFonts w:hint="eastAsia" w:ascii="宋体" w:hAnsi="宋体"/>
          <w:szCs w:val="21"/>
        </w:rPr>
      </w:pPr>
      <w:r>
        <w:rPr>
          <w:rFonts w:hint="eastAsia" w:ascii="宋体" w:hAnsi="宋体"/>
          <w:szCs w:val="21"/>
        </w:rPr>
        <w:t>（1）纸质投标保函（如有）</w:t>
      </w:r>
    </w:p>
    <w:p w14:paraId="22455538">
      <w:pPr>
        <w:spacing w:line="360" w:lineRule="auto"/>
        <w:jc w:val="center"/>
        <w:rPr>
          <w:rFonts w:hint="eastAsia" w:ascii="宋体" w:hAnsi="宋体" w:cs="宋体"/>
          <w:szCs w:val="21"/>
        </w:rPr>
      </w:pPr>
      <w:r>
        <w:rPr>
          <w:rFonts w:hint="eastAsia" w:ascii="宋体" w:hAnsi="宋体" w:cs="宋体"/>
          <w:szCs w:val="21"/>
        </w:rPr>
        <w:t>投标保函示范文本</w:t>
      </w:r>
    </w:p>
    <w:p w14:paraId="215AFCA6">
      <w:pPr>
        <w:spacing w:line="360" w:lineRule="auto"/>
        <w:ind w:firstLine="420" w:firstLineChars="200"/>
        <w:rPr>
          <w:rFonts w:hint="eastAsia" w:ascii="宋体" w:hAnsi="宋体" w:cs="宋体"/>
          <w:szCs w:val="21"/>
        </w:rPr>
      </w:pPr>
    </w:p>
    <w:p w14:paraId="5FADD63D">
      <w:pPr>
        <w:spacing w:line="360" w:lineRule="auto"/>
        <w:ind w:firstLine="420" w:firstLineChars="200"/>
        <w:rPr>
          <w:rFonts w:hint="eastAsia" w:ascii="宋体" w:hAnsi="宋体" w:cs="宋体"/>
          <w:szCs w:val="21"/>
        </w:rPr>
      </w:pPr>
      <w:r>
        <w:rPr>
          <w:rFonts w:hint="eastAsia" w:ascii="宋体" w:hAnsi="宋体" w:cs="宋体"/>
          <w:szCs w:val="21"/>
        </w:rPr>
        <w:t>申请人：</w:t>
      </w:r>
    </w:p>
    <w:p w14:paraId="6215E3C3">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14:paraId="697D4CA1">
      <w:pPr>
        <w:spacing w:line="360" w:lineRule="auto"/>
        <w:ind w:firstLine="420" w:firstLineChars="200"/>
        <w:rPr>
          <w:rFonts w:hint="eastAsia" w:ascii="宋体" w:hAnsi="宋体" w:cs="宋体"/>
          <w:szCs w:val="21"/>
        </w:rPr>
      </w:pPr>
      <w:r>
        <w:rPr>
          <w:rFonts w:hint="eastAsia" w:ascii="宋体" w:hAnsi="宋体" w:cs="宋体"/>
          <w:szCs w:val="21"/>
        </w:rPr>
        <w:t>受益人：</w:t>
      </w:r>
    </w:p>
    <w:p w14:paraId="0479151E">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14:paraId="0C2D47F4">
      <w:pPr>
        <w:spacing w:line="360" w:lineRule="auto"/>
        <w:ind w:firstLine="420" w:firstLineChars="200"/>
        <w:rPr>
          <w:rFonts w:hint="eastAsia" w:ascii="宋体" w:hAnsi="宋体" w:cs="宋体"/>
          <w:szCs w:val="21"/>
        </w:rPr>
      </w:pPr>
      <w:r>
        <w:rPr>
          <w:rFonts w:hint="eastAsia" w:ascii="宋体" w:hAnsi="宋体" w:cs="宋体"/>
          <w:szCs w:val="21"/>
        </w:rPr>
        <w:t>开立人：</w:t>
      </w:r>
    </w:p>
    <w:p w14:paraId="18BF780F">
      <w:pPr>
        <w:spacing w:line="360" w:lineRule="auto"/>
        <w:ind w:firstLine="420" w:firstLineChars="200"/>
        <w:rPr>
          <w:rFonts w:hint="eastAsia" w:ascii="宋体" w:hAnsi="宋体" w:cs="宋体"/>
          <w:szCs w:val="21"/>
        </w:rPr>
      </w:pPr>
      <w:r>
        <w:rPr>
          <w:rFonts w:hint="eastAsia" w:ascii="宋体" w:hAnsi="宋体" w:cs="宋体"/>
          <w:szCs w:val="21"/>
        </w:rPr>
        <w:t xml:space="preserve">  地址：</w:t>
      </w:r>
    </w:p>
    <w:p w14:paraId="40D66639">
      <w:pPr>
        <w:overflowPunct w:val="0"/>
        <w:spacing w:line="360" w:lineRule="auto"/>
        <w:rPr>
          <w:rFonts w:hint="eastAsia" w:ascii="宋体" w:hAnsi="宋体" w:cs="宋体"/>
          <w:szCs w:val="21"/>
          <w:u w:val="single"/>
        </w:rPr>
      </w:pPr>
    </w:p>
    <w:p w14:paraId="24B74E5F">
      <w:pPr>
        <w:overflowPunct w:val="0"/>
        <w:spacing w:line="360" w:lineRule="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（受益人名称）：</w:t>
      </w:r>
    </w:p>
    <w:p w14:paraId="0C1BF327">
      <w:pPr>
        <w:overflowPunct w:val="0"/>
        <w:spacing w:line="360" w:lineRule="auto"/>
        <w:ind w:firstLine="396" w:firstLineChars="200"/>
        <w:rPr>
          <w:rFonts w:hint="eastAsia" w:ascii="宋体" w:hAnsi="宋体" w:cs="宋体"/>
          <w:spacing w:val="-6"/>
          <w:kern w:val="0"/>
          <w:szCs w:val="21"/>
        </w:rPr>
      </w:pPr>
      <w:r>
        <w:rPr>
          <w:rFonts w:hint="eastAsia" w:ascii="宋体" w:hAnsi="宋体" w:cs="宋体"/>
          <w:spacing w:val="-6"/>
          <w:kern w:val="0"/>
          <w:szCs w:val="21"/>
        </w:rPr>
        <w:t>我方（即“开立人”）已获得通知，本保函申请人（即“投标人”）已响应贵方于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hint="eastAsia" w:ascii="宋体" w:hAnsi="宋体" w:cs="宋体"/>
          <w:spacing w:val="-6"/>
          <w:kern w:val="0"/>
          <w:szCs w:val="21"/>
        </w:rPr>
        <w:t>就</w:t>
      </w:r>
      <w:r>
        <w:rPr>
          <w:rFonts w:hint="eastAsia" w:ascii="宋体" w:hAnsi="宋体" w:cs="宋体"/>
          <w:spacing w:val="-6"/>
          <w:kern w:val="0"/>
          <w:szCs w:val="21"/>
          <w:u w:val="single"/>
        </w:rPr>
        <w:t xml:space="preserve">                   </w:t>
      </w:r>
      <w:r>
        <w:rPr>
          <w:rFonts w:hint="eastAsia" w:ascii="宋体" w:hAnsi="宋体" w:cs="宋体"/>
          <w:spacing w:val="-6"/>
          <w:kern w:val="0"/>
          <w:szCs w:val="21"/>
        </w:rPr>
        <w:t>（以下简称“本工程”）发出的招标文件以及后续发布的答疑补遗文件，并拟向招标人（即“受益人”）提交投标文件（即“基础交易”）。</w:t>
      </w:r>
    </w:p>
    <w:p w14:paraId="46E275EE">
      <w:pPr>
        <w:overflowPunct w:val="0"/>
        <w:spacing w:line="360" w:lineRule="auto"/>
        <w:ind w:firstLine="420" w:firstLineChars="200"/>
        <w:rPr>
          <w:rFonts w:hint="eastAsia" w:ascii="宋体" w:hAnsi="宋体" w:cs="宋体"/>
          <w:kern w:val="0"/>
          <w:szCs w:val="21"/>
        </w:rPr>
      </w:pPr>
      <w:r>
        <w:rPr>
          <w:rFonts w:hint="eastAsia" w:ascii="宋体" w:hAnsi="宋体" w:cs="宋体"/>
          <w:kern w:val="0"/>
          <w:szCs w:val="21"/>
        </w:rPr>
        <w:t>一、我方理解根据招标条件，投标人必须提交一份投标保函（以下简称“本保函”），以担保投标人诚信履行其在上述基础交易中承担的投标人义务。</w:t>
      </w:r>
      <w:r>
        <w:rPr>
          <w:rFonts w:hint="eastAsia" w:ascii="宋体" w:hAnsi="宋体" w:cs="宋体"/>
          <w:kern w:val="0"/>
          <w:szCs w:val="21"/>
          <w:lang w:eastAsia="zh-CN"/>
        </w:rPr>
        <w:t>鉴于此</w:t>
      </w:r>
      <w:r>
        <w:rPr>
          <w:rFonts w:hint="eastAsia" w:ascii="宋体" w:hAnsi="宋体" w:cs="宋体"/>
          <w:kern w:val="0"/>
          <w:szCs w:val="21"/>
        </w:rPr>
        <w:t>，应申请人要求，我方在此同意向贵方出具此投标保函，本保函担保金额为人民币（大写）</w:t>
      </w:r>
      <w:r>
        <w:rPr>
          <w:rFonts w:hint="eastAsia" w:ascii="宋体" w:hAnsi="宋体" w:cs="宋体"/>
          <w:kern w:val="0"/>
          <w:szCs w:val="21"/>
          <w:u w:val="single"/>
        </w:rPr>
        <w:t xml:space="preserve">    </w:t>
      </w:r>
      <w:r>
        <w:rPr>
          <w:rFonts w:hint="eastAsia" w:ascii="宋体" w:hAnsi="宋体" w:cs="宋体"/>
          <w:kern w:val="0"/>
          <w:szCs w:val="21"/>
        </w:rPr>
        <w:t>元（¥</w:t>
      </w:r>
      <w:r>
        <w:rPr>
          <w:rFonts w:hint="eastAsia" w:ascii="宋体" w:hAnsi="宋体" w:cs="宋体"/>
          <w:kern w:val="0"/>
          <w:szCs w:val="21"/>
          <w:u w:val="single"/>
        </w:rPr>
        <w:t xml:space="preserve">        </w:t>
      </w:r>
      <w:r>
        <w:rPr>
          <w:rFonts w:hint="eastAsia" w:ascii="宋体" w:hAnsi="宋体" w:cs="宋体"/>
          <w:kern w:val="0"/>
          <w:szCs w:val="21"/>
        </w:rPr>
        <w:t>）。</w:t>
      </w:r>
    </w:p>
    <w:p w14:paraId="322EDFA8">
      <w:pPr>
        <w:overflowPunct w:val="0"/>
        <w:spacing w:line="360" w:lineRule="auto"/>
        <w:ind w:firstLine="420" w:firstLineChars="200"/>
        <w:rPr>
          <w:rFonts w:hint="eastAsia" w:ascii="宋体" w:hAnsi="宋体" w:cs="宋体"/>
          <w:szCs w:val="21"/>
        </w:rPr>
      </w:pPr>
      <w:r>
        <w:rPr>
          <w:rFonts w:hint="eastAsia" w:ascii="宋体" w:hAnsi="宋体" w:cs="宋体"/>
          <w:szCs w:val="21"/>
        </w:rPr>
        <w:t>二、我方在投标人发生以下情形时承担保证担保责任：</w:t>
      </w:r>
    </w:p>
    <w:p w14:paraId="22287AE9">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（1）投标人在开标后至投标有效期满之前撤销投标的； </w:t>
      </w:r>
    </w:p>
    <w:p w14:paraId="0B56AA56">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（2）投标人在收到中标通知后，不能或拒绝在中标通知书规定的时间内与贵方签订合同； </w:t>
      </w:r>
    </w:p>
    <w:p w14:paraId="1AFCF9BE">
      <w:pPr>
        <w:overflowPunct w:val="0"/>
        <w:spacing w:line="360" w:lineRule="auto"/>
        <w:ind w:firstLine="420" w:firstLineChars="200"/>
        <w:rPr>
          <w:rFonts w:hint="eastAsia" w:ascii="宋体" w:hAnsi="宋体" w:cs="宋体"/>
          <w:szCs w:val="21"/>
        </w:rPr>
      </w:pPr>
      <w:r>
        <w:rPr>
          <w:rFonts w:hint="eastAsia" w:ascii="宋体" w:hAnsi="宋体" w:cs="宋体"/>
          <w:szCs w:val="21"/>
        </w:rPr>
        <w:t>（3）投标人在与贵方签订合同前，未在规定的时间内提交符合招标文件要求的履约保证金；</w:t>
      </w:r>
    </w:p>
    <w:p w14:paraId="69264B60">
      <w:pPr>
        <w:overflowPunct w:val="0"/>
        <w:spacing w:line="360" w:lineRule="auto"/>
        <w:ind w:firstLine="420" w:firstLineChars="200"/>
        <w:rPr>
          <w:rFonts w:hint="eastAsia" w:ascii="宋体" w:hAnsi="宋体" w:cs="宋体"/>
          <w:szCs w:val="21"/>
        </w:rPr>
      </w:pPr>
      <w:r>
        <w:rPr>
          <w:rFonts w:hint="eastAsia" w:ascii="宋体" w:hAnsi="宋体" w:cs="宋体"/>
          <w:szCs w:val="21"/>
        </w:rPr>
        <w:t>（4）投标人违反招标文件规定的其他情形。</w:t>
      </w:r>
    </w:p>
    <w:p w14:paraId="0AC6B05A">
      <w:pPr>
        <w:overflowPunct w:val="0"/>
        <w:spacing w:line="360" w:lineRule="auto"/>
        <w:ind w:firstLine="420" w:firstLineChars="200"/>
        <w:rPr>
          <w:rFonts w:hint="eastAsia" w:ascii="宋体" w:hAnsi="宋体" w:cs="宋体"/>
          <w:szCs w:val="21"/>
        </w:rPr>
      </w:pPr>
      <w:r>
        <w:rPr>
          <w:rFonts w:hint="eastAsia" w:ascii="宋体" w:hAnsi="宋体" w:cs="宋体"/>
          <w:szCs w:val="21"/>
        </w:rPr>
        <w:t>三、本保函为不可撤销、不可转让的见索即付保函。本保函有效期自开立之日起至投标有效期届满之日后的</w:t>
      </w:r>
      <w:r>
        <w:rPr>
          <w:rFonts w:hint="eastAsia" w:ascii="宋体" w:hAnsi="宋体" w:cs="宋体"/>
          <w:szCs w:val="21"/>
          <w:u w:val="single"/>
        </w:rPr>
        <w:t xml:space="preserve">    </w:t>
      </w:r>
      <w:r>
        <w:rPr>
          <w:rFonts w:hint="eastAsia" w:ascii="宋体" w:hAnsi="宋体" w:cs="宋体"/>
          <w:szCs w:val="21"/>
        </w:rPr>
        <w:t>日止（提示：建议30日）。投标有效期延长的，本保函有效期相应顺延，最迟不超过</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日（提示：建议按保函有效期不超过270日考虑）。</w:t>
      </w:r>
    </w:p>
    <w:p w14:paraId="54E51EA1">
      <w:pPr>
        <w:overflowPunct w:val="0"/>
        <w:spacing w:line="360" w:lineRule="auto"/>
        <w:ind w:firstLine="420" w:firstLineChars="200"/>
        <w:rPr>
          <w:rFonts w:hint="eastAsia" w:ascii="宋体" w:hAnsi="宋体" w:cs="宋体"/>
          <w:szCs w:val="21"/>
        </w:rPr>
      </w:pPr>
      <w:r>
        <w:rPr>
          <w:rFonts w:hint="eastAsia" w:ascii="宋体" w:hAnsi="宋体" w:cs="宋体"/>
          <w:szCs w:val="21"/>
        </w:rPr>
        <w:t>四、我方承诺，在收到受益人发来的书面索赔通知后的</w:t>
      </w:r>
      <w:r>
        <w:rPr>
          <w:rFonts w:hint="eastAsia" w:ascii="宋体" w:hAnsi="宋体" w:cs="宋体"/>
          <w:szCs w:val="21"/>
          <w:u w:val="single"/>
        </w:rPr>
        <w:t xml:space="preserve">   </w:t>
      </w:r>
      <w:r>
        <w:rPr>
          <w:rFonts w:hint="eastAsia" w:ascii="宋体" w:hAnsi="宋体" w:cs="宋体"/>
          <w:szCs w:val="21"/>
        </w:rPr>
        <w:t>个工作日（提示：建议10—15个工作日）内无条件支付，前述书面索赔通知即为付款要求之单据，且应满足以下要求：</w:t>
      </w:r>
    </w:p>
    <w:p w14:paraId="2D4EA437">
      <w:pPr>
        <w:overflowPunct w:val="0"/>
        <w:spacing w:line="360" w:lineRule="auto"/>
        <w:ind w:firstLine="420" w:firstLineChars="200"/>
        <w:rPr>
          <w:rFonts w:hint="eastAsia" w:ascii="宋体" w:hAnsi="宋体" w:cs="宋体"/>
          <w:szCs w:val="21"/>
        </w:rPr>
      </w:pPr>
      <w:r>
        <w:rPr>
          <w:rFonts w:hint="eastAsia" w:ascii="宋体" w:hAnsi="宋体" w:cs="宋体"/>
          <w:szCs w:val="21"/>
        </w:rPr>
        <w:t>（1）索赔通知到达的日期在本保函的有效期内；</w:t>
      </w:r>
    </w:p>
    <w:p w14:paraId="6F281210">
      <w:pPr>
        <w:overflowPunct w:val="0"/>
        <w:spacing w:line="360" w:lineRule="auto"/>
        <w:ind w:firstLine="420" w:firstLineChars="200"/>
        <w:rPr>
          <w:rFonts w:hint="eastAsia" w:ascii="宋体" w:hAnsi="宋体" w:cs="宋体"/>
          <w:szCs w:val="21"/>
        </w:rPr>
      </w:pPr>
      <w:r>
        <w:rPr>
          <w:rFonts w:hint="eastAsia" w:ascii="宋体" w:hAnsi="宋体" w:cs="宋体"/>
          <w:szCs w:val="21"/>
        </w:rPr>
        <w:t>（2）载明要求支付的金额；</w:t>
      </w:r>
    </w:p>
    <w:p w14:paraId="25B57D5A">
      <w:pPr>
        <w:overflowPunct w:val="0"/>
        <w:spacing w:line="360" w:lineRule="auto"/>
        <w:ind w:firstLine="420" w:firstLineChars="200"/>
        <w:rPr>
          <w:rFonts w:hint="eastAsia" w:ascii="宋体" w:hAnsi="宋体" w:cs="宋体"/>
          <w:szCs w:val="21"/>
        </w:rPr>
      </w:pPr>
      <w:r>
        <w:rPr>
          <w:rFonts w:hint="eastAsia" w:ascii="宋体" w:hAnsi="宋体" w:cs="宋体"/>
          <w:szCs w:val="21"/>
        </w:rPr>
        <w:t>（3）载明申请人违反招投标文件规定的义务内容和具体条款；</w:t>
      </w:r>
    </w:p>
    <w:p w14:paraId="0B44A37D">
      <w:pPr>
        <w:overflowPunct w:val="0"/>
        <w:spacing w:line="360" w:lineRule="auto"/>
        <w:ind w:firstLine="420" w:firstLineChars="200"/>
        <w:rPr>
          <w:rFonts w:hint="eastAsia" w:ascii="宋体" w:hAnsi="宋体" w:cs="宋体"/>
          <w:szCs w:val="21"/>
        </w:rPr>
      </w:pPr>
      <w:r>
        <w:rPr>
          <w:rFonts w:hint="eastAsia" w:ascii="宋体" w:hAnsi="宋体" w:cs="宋体"/>
          <w:szCs w:val="21"/>
        </w:rPr>
        <w:t>（4）声明不存在招标文件规定免除申请人或我方支付责任的情形；</w:t>
      </w:r>
    </w:p>
    <w:p w14:paraId="5B4B22B7">
      <w:pPr>
        <w:overflowPunct w:val="0"/>
        <w:spacing w:line="360" w:lineRule="auto"/>
        <w:ind w:firstLine="420" w:firstLineChars="200"/>
        <w:rPr>
          <w:rFonts w:hint="eastAsia" w:ascii="宋体" w:hAnsi="宋体" w:cs="宋体"/>
          <w:szCs w:val="21"/>
        </w:rPr>
      </w:pPr>
      <w:r>
        <w:rPr>
          <w:rFonts w:hint="eastAsia" w:ascii="宋体" w:hAnsi="宋体" w:cs="宋体"/>
          <w:szCs w:val="21"/>
        </w:rPr>
        <w:t>（5）索赔通知应在本保函有效期内到达的地址是：</w:t>
      </w:r>
      <w:r>
        <w:rPr>
          <w:rFonts w:hint="eastAsia" w:ascii="宋体" w:hAnsi="宋体" w:cs="宋体"/>
          <w:szCs w:val="21"/>
          <w:u w:val="single"/>
        </w:rPr>
        <w:t xml:space="preserve">       </w:t>
      </w:r>
      <w:r>
        <w:rPr>
          <w:rFonts w:hint="eastAsia" w:ascii="宋体" w:hAnsi="宋体" w:cs="宋体"/>
          <w:szCs w:val="21"/>
        </w:rPr>
        <w:t>。</w:t>
      </w:r>
    </w:p>
    <w:p w14:paraId="78686C4D">
      <w:pPr>
        <w:overflowPunct w:val="0"/>
        <w:spacing w:line="360" w:lineRule="auto"/>
        <w:ind w:firstLine="420" w:firstLineChars="200"/>
        <w:rPr>
          <w:rFonts w:hint="eastAsia" w:ascii="宋体" w:hAnsi="宋体" w:cs="宋体"/>
          <w:szCs w:val="21"/>
        </w:rPr>
      </w:pPr>
      <w:r>
        <w:rPr>
          <w:rFonts w:hint="eastAsia" w:ascii="宋体" w:hAnsi="宋体" w:cs="宋体"/>
          <w:szCs w:val="21"/>
        </w:rPr>
        <w:t>受益人发出的书面索赔通知应由其为鉴明受益人法定代表人或授权代理人签名并加盖公章。</w:t>
      </w:r>
    </w:p>
    <w:p w14:paraId="63B34DBC">
      <w:pPr>
        <w:overflowPunct w:val="0"/>
        <w:spacing w:line="360" w:lineRule="auto"/>
        <w:ind w:firstLine="420" w:firstLineChars="200"/>
        <w:rPr>
          <w:rFonts w:hint="eastAsia" w:ascii="宋体" w:hAnsi="宋体" w:cs="宋体"/>
          <w:szCs w:val="21"/>
        </w:rPr>
      </w:pPr>
      <w:r>
        <w:rPr>
          <w:rFonts w:hint="eastAsia" w:ascii="宋体" w:hAnsi="宋体" w:cs="宋体"/>
          <w:szCs w:val="21"/>
        </w:rPr>
        <w:t>五、本保函项下的权利不得转让，不得设定担保。贵方未经我方书面同意转让本保函或其项下任何权利，对我方不发生法律效力。</w:t>
      </w:r>
    </w:p>
    <w:p w14:paraId="2C85FB66">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六、本保函项下的基础交易不成立、不生效、无效、被撤销、被解除，不影响本保函的独立有效。 </w:t>
      </w:r>
    </w:p>
    <w:p w14:paraId="4C10942E">
      <w:pPr>
        <w:overflowPunct w:val="0"/>
        <w:spacing w:line="360" w:lineRule="auto"/>
        <w:ind w:firstLine="420" w:firstLineChars="200"/>
        <w:rPr>
          <w:rFonts w:hint="eastAsia" w:ascii="宋体" w:hAnsi="宋体" w:cs="宋体"/>
          <w:szCs w:val="21"/>
        </w:rPr>
      </w:pPr>
      <w:r>
        <w:rPr>
          <w:rFonts w:hint="eastAsia" w:ascii="宋体" w:hAnsi="宋体" w:cs="宋体"/>
          <w:szCs w:val="21"/>
        </w:rPr>
        <w:t>七、受益人应在本保函到期后的七个工作日内将本保函正本退回我方注销，但是不论受益人是否按此要求将本保函正本退回我方，我方在本保函项下的义务和责任均在保函有效期到期后自动消灭。</w:t>
      </w:r>
    </w:p>
    <w:p w14:paraId="5106CF79">
      <w:pPr>
        <w:overflowPunct w:val="0"/>
        <w:spacing w:line="360" w:lineRule="auto"/>
        <w:ind w:firstLine="420" w:firstLineChars="200"/>
        <w:rPr>
          <w:rFonts w:hint="eastAsia" w:ascii="宋体" w:hAnsi="宋体" w:cs="宋体"/>
          <w:szCs w:val="21"/>
        </w:rPr>
      </w:pPr>
      <w:r>
        <w:rPr>
          <w:rFonts w:hint="eastAsia" w:ascii="宋体" w:hAnsi="宋体" w:cs="宋体"/>
          <w:szCs w:val="21"/>
        </w:rPr>
        <w:t>八、本保函的开具是我方真实意思表示，符合法律法规规定，我方同意遵守本保函约定并无条件承担担保责任。本保函与其他规定或条款不一致时，以本保函约定为准。</w:t>
      </w:r>
    </w:p>
    <w:p w14:paraId="7C443DE0">
      <w:pPr>
        <w:overflowPunct w:val="0"/>
        <w:spacing w:line="360" w:lineRule="auto"/>
        <w:ind w:firstLine="420" w:firstLineChars="200"/>
        <w:rPr>
          <w:rFonts w:hint="eastAsia" w:ascii="宋体" w:hAnsi="宋体" w:cs="宋体"/>
          <w:szCs w:val="21"/>
        </w:rPr>
      </w:pPr>
      <w:r>
        <w:rPr>
          <w:rFonts w:hint="eastAsia" w:ascii="宋体" w:hAnsi="宋体" w:cs="宋体"/>
          <w:szCs w:val="21"/>
        </w:rPr>
        <w:t>九、本保函适用的法律为中华人民共和国法律，争议裁判管辖地为中华人民共和国</w:t>
      </w:r>
      <w:r>
        <w:rPr>
          <w:rFonts w:hint="eastAsia" w:ascii="宋体" w:hAnsi="宋体" w:cs="宋体"/>
          <w:szCs w:val="21"/>
          <w:u w:val="single"/>
        </w:rPr>
        <w:t xml:space="preserve">              </w:t>
      </w:r>
      <w:r>
        <w:rPr>
          <w:rFonts w:hint="eastAsia" w:ascii="宋体" w:hAnsi="宋体" w:cs="宋体"/>
          <w:szCs w:val="21"/>
        </w:rPr>
        <w:t>。</w:t>
      </w:r>
    </w:p>
    <w:p w14:paraId="74557FC6">
      <w:pPr>
        <w:overflowPunct w:val="0"/>
        <w:spacing w:line="360" w:lineRule="auto"/>
        <w:ind w:firstLine="420" w:firstLineChars="200"/>
        <w:rPr>
          <w:rFonts w:hint="eastAsia" w:ascii="宋体" w:hAnsi="宋体" w:cs="宋体"/>
          <w:szCs w:val="21"/>
        </w:rPr>
      </w:pPr>
      <w:r>
        <w:rPr>
          <w:rFonts w:hint="eastAsia" w:ascii="宋体" w:hAnsi="宋体" w:cs="宋体"/>
          <w:szCs w:val="21"/>
        </w:rPr>
        <w:t>十、本保函自我方法定代表人或授权代表签名并加盖公章之日起生效。</w:t>
      </w:r>
    </w:p>
    <w:p w14:paraId="32909BB0">
      <w:pPr>
        <w:overflowPunct w:val="0"/>
        <w:spacing w:line="360" w:lineRule="auto"/>
        <w:ind w:firstLine="420" w:firstLineChars="200"/>
        <w:rPr>
          <w:rFonts w:hint="eastAsia" w:ascii="宋体" w:hAnsi="宋体" w:cs="宋体"/>
          <w:szCs w:val="21"/>
        </w:rPr>
      </w:pPr>
      <w:r>
        <w:rPr>
          <w:rFonts w:hint="eastAsia" w:ascii="宋体" w:hAnsi="宋体" w:cs="宋体"/>
          <w:szCs w:val="21"/>
        </w:rPr>
        <w:t>十一、本保函在重庆市辖区范围内的核验地点：</w:t>
      </w:r>
      <w:r>
        <w:rPr>
          <w:rFonts w:hint="eastAsia" w:ascii="宋体" w:hAnsi="宋体" w:cs="宋体"/>
          <w:szCs w:val="21"/>
          <w:u w:val="single"/>
        </w:rPr>
        <w:t xml:space="preserve">        </w:t>
      </w:r>
      <w:r>
        <w:rPr>
          <w:rFonts w:hint="eastAsia" w:ascii="宋体" w:hAnsi="宋体" w:cs="宋体"/>
          <w:szCs w:val="21"/>
        </w:rPr>
        <w:t>；核验方式：</w:t>
      </w:r>
      <w:r>
        <w:rPr>
          <w:rFonts w:hint="eastAsia" w:ascii="宋体" w:hAnsi="宋体" w:cs="宋体"/>
          <w:szCs w:val="21"/>
          <w:u w:val="single"/>
        </w:rPr>
        <w:t xml:space="preserve">        </w:t>
      </w:r>
      <w:r>
        <w:rPr>
          <w:rFonts w:hint="eastAsia" w:ascii="宋体" w:hAnsi="宋体" w:cs="宋体"/>
          <w:szCs w:val="21"/>
        </w:rPr>
        <w:t>。</w:t>
      </w:r>
    </w:p>
    <w:p w14:paraId="0E44ADA1">
      <w:pPr>
        <w:spacing w:line="360" w:lineRule="auto"/>
        <w:ind w:firstLine="420" w:firstLineChars="200"/>
        <w:rPr>
          <w:rFonts w:hint="eastAsia" w:ascii="宋体" w:hAnsi="宋体" w:cs="宋体"/>
          <w:szCs w:val="21"/>
        </w:rPr>
      </w:pPr>
    </w:p>
    <w:p w14:paraId="51F4288C">
      <w:pPr>
        <w:overflowPunct w:val="0"/>
        <w:spacing w:line="360" w:lineRule="auto"/>
        <w:ind w:firstLine="420" w:firstLineChars="200"/>
        <w:rPr>
          <w:rFonts w:hint="eastAsia" w:ascii="宋体" w:hAnsi="宋体" w:cs="宋体"/>
          <w:szCs w:val="21"/>
        </w:rPr>
      </w:pPr>
      <w:r>
        <w:rPr>
          <w:rFonts w:hint="eastAsia" w:ascii="宋体" w:hAnsi="宋体" w:cs="宋体"/>
          <w:szCs w:val="21"/>
        </w:rPr>
        <w:t xml:space="preserve">开 立 人： </w:t>
      </w:r>
      <w:r>
        <w:rPr>
          <w:rFonts w:hint="eastAsia" w:ascii="宋体" w:hAnsi="宋体" w:cs="宋体"/>
          <w:szCs w:val="21"/>
          <w:u w:val="single"/>
        </w:rPr>
        <w:t xml:space="preserve">                                  </w:t>
      </w:r>
      <w:r>
        <w:rPr>
          <w:rFonts w:hint="eastAsia" w:ascii="宋体" w:hAnsi="宋体" w:cs="宋体"/>
          <w:szCs w:val="21"/>
        </w:rPr>
        <w:t>（公章）</w:t>
      </w:r>
    </w:p>
    <w:p w14:paraId="78ED755F">
      <w:pPr>
        <w:overflowPunct w:val="0"/>
        <w:spacing w:line="360" w:lineRule="auto"/>
        <w:ind w:firstLine="420" w:firstLineChars="200"/>
        <w:rPr>
          <w:rFonts w:hint="eastAsia" w:ascii="宋体" w:hAnsi="宋体" w:cs="宋体"/>
          <w:szCs w:val="21"/>
        </w:rPr>
      </w:pPr>
      <w:r>
        <w:rPr>
          <w:rFonts w:hint="eastAsia" w:ascii="宋体" w:hAnsi="宋体" w:cs="宋体"/>
          <w:szCs w:val="21"/>
        </w:rPr>
        <w:t>法定代表人（或授权代表）：</w:t>
      </w:r>
      <w:r>
        <w:rPr>
          <w:rFonts w:hint="eastAsia" w:ascii="宋体" w:hAnsi="宋体" w:cs="宋体"/>
          <w:szCs w:val="21"/>
          <w:u w:val="single"/>
        </w:rPr>
        <w:t xml:space="preserve">                     </w:t>
      </w:r>
      <w:r>
        <w:rPr>
          <w:rFonts w:hint="eastAsia" w:ascii="宋体" w:hAnsi="宋体" w:cs="宋体"/>
          <w:szCs w:val="21"/>
        </w:rPr>
        <w:t>（签名）</w:t>
      </w:r>
    </w:p>
    <w:p w14:paraId="0BAE39DC">
      <w:pPr>
        <w:overflowPunct w:val="0"/>
        <w:spacing w:line="360" w:lineRule="auto"/>
        <w:ind w:firstLine="420" w:firstLineChars="200"/>
        <w:rPr>
          <w:rFonts w:hint="eastAsia" w:ascii="宋体" w:hAnsi="宋体" w:cs="宋体"/>
          <w:szCs w:val="21"/>
        </w:rPr>
      </w:pPr>
      <w:r>
        <w:rPr>
          <w:rFonts w:hint="eastAsia" w:ascii="宋体" w:hAnsi="宋体" w:cs="宋体"/>
          <w:szCs w:val="21"/>
        </w:rPr>
        <w:t>地    址：</w:t>
      </w:r>
      <w:r>
        <w:rPr>
          <w:rFonts w:hint="eastAsia" w:ascii="宋体" w:hAnsi="宋体" w:cs="宋体"/>
          <w:szCs w:val="21"/>
          <w:u w:val="single"/>
        </w:rPr>
        <w:t xml:space="preserve">                                          </w:t>
      </w:r>
      <w:r>
        <w:rPr>
          <w:rFonts w:hint="eastAsia" w:ascii="宋体" w:hAnsi="宋体" w:cs="宋体"/>
          <w:szCs w:val="21"/>
        </w:rPr>
        <w:t xml:space="preserve"> </w:t>
      </w:r>
    </w:p>
    <w:p w14:paraId="0D460B80">
      <w:pPr>
        <w:overflowPunct w:val="0"/>
        <w:spacing w:line="360" w:lineRule="auto"/>
        <w:ind w:firstLine="420" w:firstLineChars="200"/>
        <w:rPr>
          <w:rFonts w:hint="eastAsia" w:ascii="宋体" w:hAnsi="宋体" w:cs="宋体"/>
          <w:szCs w:val="21"/>
        </w:rPr>
      </w:pPr>
      <w:r>
        <w:rPr>
          <w:rFonts w:hint="eastAsia" w:ascii="宋体" w:hAnsi="宋体" w:cs="宋体"/>
          <w:szCs w:val="21"/>
        </w:rPr>
        <w:t>邮政编码：</w:t>
      </w:r>
      <w:r>
        <w:rPr>
          <w:rFonts w:hint="eastAsia" w:ascii="宋体" w:hAnsi="宋体" w:cs="宋体"/>
          <w:szCs w:val="21"/>
          <w:u w:val="single"/>
        </w:rPr>
        <w:t xml:space="preserve">                                          </w:t>
      </w:r>
      <w:r>
        <w:rPr>
          <w:rFonts w:hint="eastAsia" w:ascii="宋体" w:hAnsi="宋体" w:cs="宋体"/>
          <w:szCs w:val="21"/>
        </w:rPr>
        <w:t xml:space="preserve"> </w:t>
      </w:r>
    </w:p>
    <w:p w14:paraId="615A8CB6">
      <w:pPr>
        <w:overflowPunct w:val="0"/>
        <w:spacing w:line="360" w:lineRule="auto"/>
        <w:ind w:firstLine="420" w:firstLineChars="200"/>
        <w:rPr>
          <w:rFonts w:hint="eastAsia"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r>
        <w:rPr>
          <w:rFonts w:hint="eastAsia" w:ascii="宋体" w:hAnsi="宋体" w:cs="宋体"/>
          <w:szCs w:val="21"/>
        </w:rPr>
        <w:t xml:space="preserve"> </w:t>
      </w:r>
    </w:p>
    <w:p w14:paraId="70395C10">
      <w:pPr>
        <w:overflowPunct w:val="0"/>
        <w:spacing w:line="360" w:lineRule="auto"/>
        <w:ind w:firstLine="420" w:firstLineChars="200"/>
        <w:rPr>
          <w:rFonts w:hint="eastAsia"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r>
        <w:rPr>
          <w:rFonts w:hint="eastAsia" w:ascii="宋体" w:hAnsi="宋体" w:cs="宋体"/>
          <w:szCs w:val="21"/>
        </w:rPr>
        <w:t xml:space="preserve"> </w:t>
      </w:r>
    </w:p>
    <w:p w14:paraId="3446F4FF">
      <w:pPr>
        <w:spacing w:line="360" w:lineRule="auto"/>
        <w:ind w:firstLine="420" w:firstLineChars="200"/>
        <w:rPr>
          <w:rFonts w:ascii="宋体" w:hAnsi="宋体"/>
          <w:szCs w:val="21"/>
        </w:rPr>
      </w:pPr>
      <w:r>
        <w:rPr>
          <w:rFonts w:hint="eastAsia" w:ascii="宋体" w:hAnsi="宋体" w:cs="宋体"/>
          <w:szCs w:val="21"/>
        </w:rPr>
        <w:t>开立时间：    年    月    日</w:t>
      </w:r>
      <w:r>
        <w:rPr>
          <w:rFonts w:hint="eastAsia" w:ascii="宋体" w:hAnsi="宋体"/>
          <w:szCs w:val="21"/>
        </w:rPr>
        <w:br w:type="page"/>
      </w:r>
      <w:r>
        <w:rPr>
          <w:rFonts w:hint="eastAsia" w:ascii="宋体" w:hAnsi="宋体"/>
          <w:szCs w:val="21"/>
        </w:rPr>
        <w:t>2. 中小微企业声明函（示范格式）</w:t>
      </w:r>
    </w:p>
    <w:p w14:paraId="6D489A23">
      <w:pPr>
        <w:pStyle w:val="29"/>
        <w:widowControl/>
        <w:spacing w:line="540" w:lineRule="exact"/>
        <w:jc w:val="center"/>
        <w:rPr>
          <w:sz w:val="28"/>
          <w:szCs w:val="28"/>
        </w:rPr>
      </w:pPr>
      <w:r>
        <w:rPr>
          <w:rFonts w:hint="eastAsia" w:ascii="宋体" w:hAnsi="宋体" w:cs="宋体"/>
        </w:rPr>
        <w:t>中小微企业声明函</w:t>
      </w:r>
    </w:p>
    <w:p w14:paraId="305B61AC">
      <w:pPr>
        <w:pStyle w:val="29"/>
        <w:widowControl/>
        <w:spacing w:line="540" w:lineRule="exact"/>
      </w:pPr>
    </w:p>
    <w:p w14:paraId="4D03641E">
      <w:pPr>
        <w:pStyle w:val="29"/>
        <w:widowControl/>
        <w:spacing w:line="360" w:lineRule="auto"/>
        <w:rPr>
          <w:rFonts w:hint="eastAsia" w:ascii="宋体" w:hAnsi="宋体" w:cs="宋体"/>
          <w:sz w:val="21"/>
          <w:szCs w:val="21"/>
        </w:rPr>
      </w:pPr>
      <w:r>
        <w:rPr>
          <w:rFonts w:hint="eastAsia" w:ascii="宋体" w:hAnsi="宋体" w:cs="宋体"/>
          <w:sz w:val="21"/>
          <w:szCs w:val="21"/>
        </w:rPr>
        <w:t>项目名称：</w:t>
      </w:r>
      <w:r>
        <w:rPr>
          <w:rFonts w:hint="eastAsia" w:ascii="宋体" w:hAnsi="宋体" w:cs="宋体"/>
          <w:sz w:val="21"/>
          <w:szCs w:val="21"/>
          <w:u w:val="single"/>
        </w:rPr>
        <w:t xml:space="preserve">                                       </w:t>
      </w:r>
    </w:p>
    <w:p w14:paraId="678961F6">
      <w:pPr>
        <w:pStyle w:val="29"/>
        <w:widowControl/>
        <w:spacing w:line="360" w:lineRule="auto"/>
        <w:rPr>
          <w:rFonts w:hint="eastAsia" w:ascii="宋体" w:hAnsi="宋体" w:cs="宋体"/>
          <w:sz w:val="21"/>
          <w:szCs w:val="21"/>
        </w:rPr>
      </w:pPr>
      <w:r>
        <w:rPr>
          <w:rFonts w:hint="eastAsia" w:ascii="宋体" w:hAnsi="宋体" w:cs="宋体"/>
          <w:sz w:val="21"/>
          <w:szCs w:val="21"/>
        </w:rPr>
        <w:t>致：</w:t>
      </w:r>
      <w:r>
        <w:rPr>
          <w:rFonts w:hint="eastAsia" w:ascii="宋体" w:hAnsi="宋体" w:cs="宋体"/>
          <w:sz w:val="21"/>
          <w:szCs w:val="21"/>
          <w:u w:val="single"/>
        </w:rPr>
        <w:t xml:space="preserve">                   </w:t>
      </w:r>
      <w:r>
        <w:rPr>
          <w:rFonts w:hint="eastAsia" w:ascii="宋体" w:hAnsi="宋体" w:cs="宋体"/>
          <w:sz w:val="21"/>
          <w:szCs w:val="21"/>
        </w:rPr>
        <w:t>（招标人名称）</w:t>
      </w:r>
    </w:p>
    <w:p w14:paraId="6842D76B">
      <w:pPr>
        <w:spacing w:line="360" w:lineRule="auto"/>
        <w:ind w:firstLine="420" w:firstLineChars="200"/>
        <w:rPr>
          <w:rFonts w:hint="eastAsia" w:ascii="宋体" w:hAnsi="宋体" w:cs="宋体"/>
          <w:szCs w:val="21"/>
        </w:rPr>
      </w:pPr>
      <w:r>
        <w:rPr>
          <w:rFonts w:hint="eastAsia" w:ascii="宋体" w:hAnsi="宋体" w:cs="宋体"/>
          <w:szCs w:val="21"/>
        </w:rPr>
        <w:t>本企业郑重声明：</w:t>
      </w:r>
    </w:p>
    <w:p w14:paraId="53F16AF5">
      <w:pPr>
        <w:spacing w:line="360" w:lineRule="auto"/>
        <w:ind w:firstLine="420" w:firstLineChars="200"/>
        <w:rPr>
          <w:rFonts w:hint="eastAsia" w:ascii="宋体" w:hAnsi="宋体" w:cs="宋体"/>
          <w:szCs w:val="21"/>
        </w:rPr>
      </w:pPr>
      <w:r>
        <w:rPr>
          <w:rFonts w:hint="eastAsia" w:ascii="宋体" w:hAnsi="宋体" w:cs="宋体"/>
          <w:szCs w:val="21"/>
        </w:rPr>
        <w:t>根据工业和信息化部、国家统计局、国家发展和改革委员会以及财政部联合印发的《关于印发中小企业划型标准规定的通知》（工信部联企业〔2011〕300号）划分标准，本企业为</w:t>
      </w:r>
      <w:r>
        <w:rPr>
          <w:rFonts w:hint="eastAsia" w:ascii="宋体" w:hAnsi="宋体" w:cs="宋体"/>
          <w:szCs w:val="21"/>
          <w:u w:val="single"/>
        </w:rPr>
        <w:t xml:space="preserve">        </w:t>
      </w:r>
      <w:r>
        <w:rPr>
          <w:rFonts w:hint="eastAsia" w:ascii="宋体" w:hAnsi="宋体" w:cs="宋体"/>
          <w:szCs w:val="21"/>
        </w:rPr>
        <w:t>行业（行业类别）的中小微企业。</w:t>
      </w:r>
    </w:p>
    <w:p w14:paraId="6173E12D">
      <w:pPr>
        <w:pStyle w:val="29"/>
        <w:widowControl/>
        <w:spacing w:line="540" w:lineRule="exact"/>
        <w:jc w:val="center"/>
        <w:rPr>
          <w:rFonts w:hint="eastAsia" w:ascii="宋体" w:hAnsi="宋体" w:cs="宋体"/>
          <w:sz w:val="21"/>
          <w:szCs w:val="21"/>
        </w:rPr>
      </w:pPr>
      <w:r>
        <w:rPr>
          <w:rFonts w:hint="eastAsia" w:ascii="宋体" w:hAnsi="宋体" w:cs="宋体"/>
          <w:sz w:val="21"/>
          <w:szCs w:val="21"/>
        </w:rPr>
        <w:t>企业基本情况表</w:t>
      </w:r>
    </w:p>
    <w:tbl>
      <w:tblPr>
        <w:tblStyle w:val="31"/>
        <w:tblW w:w="8720" w:type="dxa"/>
        <w:jc w:val="center"/>
        <w:tblLayout w:type="fixed"/>
        <w:tblCellMar>
          <w:top w:w="0" w:type="dxa"/>
          <w:left w:w="0" w:type="dxa"/>
          <w:bottom w:w="0" w:type="dxa"/>
          <w:right w:w="0" w:type="dxa"/>
        </w:tblCellMar>
      </w:tblPr>
      <w:tblGrid>
        <w:gridCol w:w="1520"/>
        <w:gridCol w:w="2494"/>
        <w:gridCol w:w="2288"/>
        <w:gridCol w:w="2418"/>
      </w:tblGrid>
      <w:tr w14:paraId="080F628A">
        <w:tblPrEx>
          <w:tblCellMar>
            <w:top w:w="0" w:type="dxa"/>
            <w:left w:w="0" w:type="dxa"/>
            <w:bottom w:w="0" w:type="dxa"/>
            <w:right w:w="0" w:type="dxa"/>
          </w:tblCellMar>
        </w:tblPrEx>
        <w:trPr>
          <w:trHeight w:val="780" w:hRule="atLeast"/>
          <w:jc w:val="center"/>
        </w:trPr>
        <w:tc>
          <w:tcPr>
            <w:tcW w:w="15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1710F79A">
            <w:pPr>
              <w:pStyle w:val="29"/>
              <w:widowControl/>
              <w:spacing w:line="540" w:lineRule="exact"/>
              <w:jc w:val="center"/>
              <w:rPr>
                <w:rFonts w:hint="eastAsia" w:ascii="宋体" w:hAnsi="宋体" w:cs="宋体"/>
                <w:sz w:val="21"/>
                <w:szCs w:val="21"/>
              </w:rPr>
            </w:pPr>
            <w:r>
              <w:rPr>
                <w:rFonts w:hint="eastAsia" w:ascii="宋体" w:hAnsi="宋体" w:cs="宋体"/>
                <w:sz w:val="21"/>
                <w:szCs w:val="21"/>
              </w:rPr>
              <w:t>行业类别</w:t>
            </w:r>
          </w:p>
        </w:tc>
        <w:tc>
          <w:tcPr>
            <w:tcW w:w="2494"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3E95B553">
            <w:pPr>
              <w:pStyle w:val="29"/>
              <w:widowControl/>
              <w:spacing w:line="540" w:lineRule="exact"/>
              <w:jc w:val="center"/>
              <w:rPr>
                <w:rFonts w:hint="eastAsia" w:ascii="宋体" w:hAnsi="宋体" w:cs="宋体"/>
                <w:sz w:val="21"/>
                <w:szCs w:val="21"/>
              </w:rPr>
            </w:pPr>
            <w:r>
              <w:rPr>
                <w:rFonts w:hint="eastAsia" w:ascii="宋体" w:hAnsi="宋体" w:cs="宋体"/>
                <w:sz w:val="21"/>
                <w:szCs w:val="21"/>
              </w:rPr>
              <w:t>营业收入（万元）</w:t>
            </w:r>
          </w:p>
        </w:tc>
        <w:tc>
          <w:tcPr>
            <w:tcW w:w="2288"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2FA28AEF">
            <w:pPr>
              <w:pStyle w:val="29"/>
              <w:widowControl/>
              <w:spacing w:line="540" w:lineRule="exact"/>
              <w:jc w:val="center"/>
              <w:rPr>
                <w:rFonts w:hint="eastAsia" w:ascii="宋体" w:hAnsi="宋体" w:cs="宋体"/>
                <w:sz w:val="21"/>
                <w:szCs w:val="21"/>
              </w:rPr>
            </w:pPr>
            <w:r>
              <w:rPr>
                <w:rFonts w:hint="eastAsia" w:ascii="宋体" w:hAnsi="宋体" w:cs="宋体"/>
                <w:sz w:val="21"/>
                <w:szCs w:val="21"/>
              </w:rPr>
              <w:t>从业人员（人）</w:t>
            </w:r>
          </w:p>
        </w:tc>
        <w:tc>
          <w:tcPr>
            <w:tcW w:w="2418"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6F72C658">
            <w:pPr>
              <w:pStyle w:val="29"/>
              <w:widowControl/>
              <w:spacing w:line="540" w:lineRule="exact"/>
              <w:jc w:val="center"/>
              <w:rPr>
                <w:rFonts w:hint="eastAsia" w:ascii="宋体" w:hAnsi="宋体" w:cs="宋体"/>
                <w:sz w:val="21"/>
                <w:szCs w:val="21"/>
              </w:rPr>
            </w:pPr>
            <w:r>
              <w:rPr>
                <w:rFonts w:hint="eastAsia" w:ascii="宋体" w:hAnsi="宋体" w:cs="宋体"/>
                <w:sz w:val="21"/>
                <w:szCs w:val="21"/>
              </w:rPr>
              <w:t>资产总额（万元）</w:t>
            </w:r>
          </w:p>
        </w:tc>
      </w:tr>
      <w:tr w14:paraId="36A7253A">
        <w:tblPrEx>
          <w:tblCellMar>
            <w:top w:w="0" w:type="dxa"/>
            <w:left w:w="0" w:type="dxa"/>
            <w:bottom w:w="0" w:type="dxa"/>
            <w:right w:w="0" w:type="dxa"/>
          </w:tblCellMar>
        </w:tblPrEx>
        <w:trPr>
          <w:trHeight w:val="667" w:hRule="atLeast"/>
          <w:jc w:val="center"/>
        </w:trPr>
        <w:tc>
          <w:tcPr>
            <w:tcW w:w="1520"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18D64F3E">
            <w:pPr>
              <w:widowControl/>
              <w:spacing w:line="540" w:lineRule="exact"/>
              <w:jc w:val="left"/>
              <w:rPr>
                <w:rFonts w:hint="eastAsia" w:ascii="宋体" w:hAnsi="宋体" w:cs="宋体"/>
                <w:szCs w:val="21"/>
              </w:rPr>
            </w:pPr>
          </w:p>
        </w:tc>
        <w:tc>
          <w:tcPr>
            <w:tcW w:w="2494"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0DEFDAD2">
            <w:pPr>
              <w:widowControl/>
              <w:spacing w:line="540" w:lineRule="exact"/>
              <w:jc w:val="left"/>
              <w:rPr>
                <w:rFonts w:hint="eastAsia" w:ascii="宋体" w:hAnsi="宋体" w:cs="宋体"/>
                <w:szCs w:val="21"/>
              </w:rPr>
            </w:pPr>
          </w:p>
        </w:tc>
        <w:tc>
          <w:tcPr>
            <w:tcW w:w="2288"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2C1FF631">
            <w:pPr>
              <w:widowControl/>
              <w:spacing w:line="540" w:lineRule="exact"/>
              <w:jc w:val="left"/>
              <w:rPr>
                <w:rFonts w:hint="eastAsia" w:ascii="宋体" w:hAnsi="宋体" w:cs="宋体"/>
                <w:szCs w:val="21"/>
              </w:rPr>
            </w:pPr>
          </w:p>
        </w:tc>
        <w:tc>
          <w:tcPr>
            <w:tcW w:w="2418" w:type="dxa"/>
            <w:tcBorders>
              <w:top w:val="single" w:color="auto" w:sz="6" w:space="0"/>
              <w:left w:val="single" w:color="auto" w:sz="6" w:space="0"/>
              <w:bottom w:val="single" w:color="auto" w:sz="6" w:space="0"/>
              <w:right w:val="single" w:color="auto" w:sz="6" w:space="0"/>
            </w:tcBorders>
            <w:tcMar>
              <w:left w:w="105" w:type="dxa"/>
              <w:right w:w="105" w:type="dxa"/>
            </w:tcMar>
            <w:vAlign w:val="center"/>
          </w:tcPr>
          <w:p w14:paraId="02A979E3">
            <w:pPr>
              <w:widowControl/>
              <w:spacing w:line="540" w:lineRule="exact"/>
              <w:jc w:val="left"/>
              <w:rPr>
                <w:rFonts w:hint="eastAsia" w:ascii="宋体" w:hAnsi="宋体" w:cs="宋体"/>
                <w:szCs w:val="21"/>
              </w:rPr>
            </w:pPr>
          </w:p>
        </w:tc>
      </w:tr>
    </w:tbl>
    <w:p w14:paraId="685B65F0">
      <w:pPr>
        <w:spacing w:line="360" w:lineRule="auto"/>
        <w:ind w:firstLine="420" w:firstLineChars="200"/>
        <w:rPr>
          <w:rFonts w:hint="eastAsia" w:ascii="宋体" w:hAnsi="宋体" w:cs="宋体"/>
          <w:szCs w:val="21"/>
        </w:rPr>
      </w:pPr>
      <w:r>
        <w:rPr>
          <w:rFonts w:hint="eastAsia" w:ascii="宋体" w:hAnsi="宋体" w:cs="宋体"/>
          <w:szCs w:val="21"/>
        </w:rPr>
        <w:t>注：1.行业类别由招标人在招标文件中明确。</w:t>
      </w:r>
    </w:p>
    <w:p w14:paraId="2F8BCCE7">
      <w:pPr>
        <w:spacing w:line="360" w:lineRule="auto"/>
        <w:ind w:firstLine="420"/>
        <w:rPr>
          <w:rFonts w:hint="eastAsia" w:ascii="宋体" w:hAnsi="宋体" w:cs="宋体"/>
          <w:szCs w:val="21"/>
        </w:rPr>
      </w:pPr>
      <w:r>
        <w:rPr>
          <w:rFonts w:hint="eastAsia" w:ascii="宋体" w:hAnsi="宋体" w:cs="宋体"/>
          <w:szCs w:val="21"/>
        </w:rPr>
        <w:t>2.从业人员、营业收入、资产总额以投标截止日上一年度（</w:t>
      </w:r>
      <w:r>
        <w:rPr>
          <w:rFonts w:hint="eastAsia" w:ascii="宋体" w:hAnsi="宋体" w:cs="宋体"/>
          <w:szCs w:val="21"/>
          <w:u w:val="single"/>
        </w:rPr>
        <w:t xml:space="preserve">    年</w:t>
      </w:r>
      <w:r>
        <w:rPr>
          <w:rFonts w:hint="eastAsia" w:ascii="宋体" w:hAnsi="宋体" w:cs="宋体"/>
          <w:szCs w:val="21"/>
        </w:rPr>
        <w:t>）向统计部门上报的统计数据为准，若未向统计部门上报数据，则以投标截止日上一年度（</w:t>
      </w:r>
      <w:r>
        <w:rPr>
          <w:rFonts w:hint="eastAsia" w:ascii="宋体" w:hAnsi="宋体" w:cs="宋体"/>
          <w:szCs w:val="21"/>
          <w:u w:val="single"/>
        </w:rPr>
        <w:t xml:space="preserve">    年</w:t>
      </w:r>
      <w:r>
        <w:rPr>
          <w:rFonts w:hint="eastAsia" w:ascii="宋体" w:hAnsi="宋体" w:cs="宋体"/>
          <w:szCs w:val="21"/>
        </w:rPr>
        <w:t>）经会计师事务所或审计机构出具的合法有效的财务审计报告数据为准。上报统计部门数据证明材料或财务审计报告附后。</w:t>
      </w:r>
    </w:p>
    <w:p w14:paraId="2ADE7801">
      <w:pPr>
        <w:spacing w:line="360" w:lineRule="auto"/>
        <w:ind w:firstLine="420" w:firstLineChars="200"/>
        <w:rPr>
          <w:rFonts w:hint="eastAsia" w:ascii="宋体" w:hAnsi="宋体" w:cs="宋体"/>
          <w:szCs w:val="21"/>
        </w:rPr>
      </w:pPr>
      <w:r>
        <w:rPr>
          <w:rFonts w:hint="eastAsia" w:ascii="宋体" w:hAnsi="宋体" w:cs="宋体"/>
          <w:szCs w:val="21"/>
        </w:rPr>
        <w:t>本企业对上述声明的真实性负责。如有虚假，将依法承担相应责任。</w:t>
      </w:r>
    </w:p>
    <w:p w14:paraId="1A59253D">
      <w:pPr>
        <w:pStyle w:val="29"/>
        <w:widowControl/>
        <w:spacing w:line="540" w:lineRule="exact"/>
        <w:ind w:firstLine="645"/>
        <w:rPr>
          <w:rFonts w:hint="eastAsia" w:ascii="宋体" w:hAnsi="宋体" w:cs="宋体"/>
          <w:sz w:val="32"/>
          <w:szCs w:val="32"/>
        </w:rPr>
      </w:pPr>
    </w:p>
    <w:p w14:paraId="0BDED1B9">
      <w:pPr>
        <w:spacing w:line="360" w:lineRule="auto"/>
        <w:ind w:firstLine="4620" w:firstLineChars="2200"/>
        <w:rPr>
          <w:rFonts w:hint="eastAsia" w:ascii="宋体" w:hAnsi="宋体" w:cs="宋体"/>
          <w:kern w:val="0"/>
          <w:szCs w:val="21"/>
        </w:rPr>
      </w:pPr>
      <w:r>
        <w:rPr>
          <w:rFonts w:hint="eastAsia" w:ascii="宋体" w:hAnsi="宋体" w:cs="宋体"/>
          <w:szCs w:val="21"/>
        </w:rPr>
        <w:t>投标人：</w:t>
      </w:r>
      <w:r>
        <w:rPr>
          <w:rFonts w:hint="eastAsia" w:ascii="宋体" w:hAnsi="宋体" w:cs="宋体"/>
          <w:szCs w:val="21"/>
          <w:u w:val="single"/>
        </w:rPr>
        <w:t xml:space="preserve">                     </w:t>
      </w:r>
      <w:r>
        <w:rPr>
          <w:rFonts w:hint="eastAsia" w:ascii="宋体" w:hAnsi="宋体" w:cs="宋体"/>
          <w:kern w:val="0"/>
          <w:szCs w:val="21"/>
        </w:rPr>
        <w:t>（</w:t>
      </w:r>
      <w:r>
        <w:rPr>
          <w:rFonts w:hint="eastAsia" w:ascii="宋体" w:hAnsi="宋体" w:cs="宋体"/>
          <w:spacing w:val="-1"/>
          <w:kern w:val="0"/>
          <w:szCs w:val="21"/>
        </w:rPr>
        <w:t>盖单位法人章</w:t>
      </w:r>
      <w:r>
        <w:rPr>
          <w:rFonts w:hint="eastAsia" w:ascii="宋体" w:hAnsi="宋体" w:cs="宋体"/>
          <w:kern w:val="0"/>
          <w:szCs w:val="21"/>
        </w:rPr>
        <w:t>）</w:t>
      </w:r>
    </w:p>
    <w:p w14:paraId="6022941F">
      <w:pPr>
        <w:spacing w:line="360" w:lineRule="auto"/>
        <w:ind w:firstLine="4620" w:firstLineChars="2200"/>
        <w:rPr>
          <w:rFonts w:hint="eastAsia"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（签名或盖章）</w:t>
      </w:r>
    </w:p>
    <w:p w14:paraId="62DBCE16">
      <w:pPr>
        <w:spacing w:line="360" w:lineRule="auto"/>
        <w:ind w:firstLine="7140" w:firstLineChars="3400"/>
        <w:rPr>
          <w:rFonts w:hint="eastAsia" w:ascii="宋体" w:hAnsi="宋体"/>
          <w:szCs w:val="21"/>
        </w:rPr>
      </w:pP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5FF92193">
      <w:pPr>
        <w:spacing w:line="360" w:lineRule="auto"/>
        <w:ind w:firstLine="420" w:firstLineChars="200"/>
        <w:rPr>
          <w:rFonts w:ascii="宋体" w:hAnsi="宋体"/>
          <w:szCs w:val="21"/>
        </w:rPr>
      </w:pPr>
      <w:r>
        <w:rPr>
          <w:rFonts w:hint="eastAsia" w:ascii="宋体" w:hAnsi="宋体"/>
          <w:szCs w:val="21"/>
        </w:rPr>
        <w:br w:type="page"/>
      </w:r>
      <w:r>
        <w:rPr>
          <w:rFonts w:hint="eastAsia" w:ascii="宋体" w:hAnsi="宋体"/>
          <w:szCs w:val="21"/>
        </w:rPr>
        <w:t xml:space="preserve">3. </w:t>
      </w:r>
    </w:p>
    <w:p w14:paraId="0B333C54">
      <w:pPr>
        <w:spacing w:line="360" w:lineRule="auto"/>
        <w:ind w:firstLine="420" w:firstLineChars="200"/>
        <w:rPr>
          <w:rFonts w:hint="eastAsia" w:ascii="宋体" w:hAnsi="宋体"/>
          <w:szCs w:val="21"/>
        </w:rPr>
      </w:pPr>
      <w:r>
        <w:rPr>
          <w:rFonts w:ascii="宋体" w:hAnsi="宋体"/>
          <w:szCs w:val="21"/>
        </w:rPr>
        <w:t>……</w:t>
      </w:r>
    </w:p>
    <w:sectPr>
      <w:pgSz w:w="11906" w:h="16838"/>
      <w:pgMar w:top="1304" w:right="1134" w:bottom="1304" w:left="130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ATKPMP+ºÚÌå">
    <w:altName w:val="Segoe Print"/>
    <w:panose1 w:val="00000000000000000000"/>
    <w:charset w:val="01"/>
    <w:family w:val="modern"/>
    <w:pitch w:val="default"/>
    <w:sig w:usb0="00000000" w:usb1="00000000" w:usb2="01010101" w:usb3="01010101" w:csb0="01010101" w:csb1="01010101"/>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9" w:usb3="00000000" w:csb0="000001F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altName w:val="Wingdings"/>
    <w:panose1 w:val="05020102010507070707"/>
    <w:charset w:val="02"/>
    <w:family w:val="roman"/>
    <w:pitch w:val="default"/>
    <w:sig w:usb0="00000000" w:usb1="00000000" w:usb2="00000000" w:usb3="00000000" w:csb0="80000000" w:csb1="00000000"/>
  </w:font>
  <w:font w:name="Microsoft Sans Serif">
    <w:panose1 w:val="020B0604020202020204"/>
    <w:charset w:val="00"/>
    <w:family w:val="swiss"/>
    <w:pitch w:val="default"/>
    <w:sig w:usb0="E5002EFF" w:usb1="C000605B" w:usb2="00000029" w:usb3="00000000" w:csb0="200101FF" w:csb1="20280000"/>
  </w:font>
  <w:font w:name="ILDESA+ËÎÌå">
    <w:altName w:val="Verdana"/>
    <w:panose1 w:val="02010600030101010101"/>
    <w:charset w:val="01"/>
    <w:family w:val="auto"/>
    <w:pitch w:val="default"/>
    <w:sig w:usb0="00000000" w:usb1="00000000" w:usb2="01010101" w:usb3="01010101" w:csb0="01010101" w:csb1="01010101"/>
  </w:font>
  <w:font w:name="Verdana">
    <w:panose1 w:val="020B0604030504040204"/>
    <w:charset w:val="00"/>
    <w:family w:val="auto"/>
    <w:pitch w:val="default"/>
    <w:sig w:usb0="A00006FF" w:usb1="4000205B" w:usb2="00000010" w:usb3="00000000" w:csb0="2000019F" w:csb1="00000000"/>
  </w:font>
  <w:font w:name="Kingsoft UE">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93256">
    <w:pPr>
      <w:pStyle w:val="20"/>
      <w:framePr w:wrap="around" w:vAnchor="text" w:hAnchor="margin" w:xAlign="center" w:y="1"/>
      <w:rPr>
        <w:rStyle w:val="34"/>
      </w:rPr>
    </w:pPr>
    <w:r>
      <w:fldChar w:fldCharType="begin"/>
    </w:r>
    <w:r>
      <w:rPr>
        <w:rStyle w:val="34"/>
      </w:rPr>
      <w:instrText xml:space="preserve">PAGE  </w:instrText>
    </w:r>
    <w:r>
      <w:fldChar w:fldCharType="end"/>
    </w:r>
  </w:p>
  <w:p w14:paraId="4E5EAD42">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E8700">
    <w:pPr>
      <w:pStyle w:val="20"/>
      <w:jc w:val="center"/>
      <w:rPr>
        <w:rStyle w:val="34"/>
      </w:rPr>
    </w:pPr>
    <w:r>
      <w:rPr>
        <w:rStyle w:val="34"/>
      </w:rPr>
      <w:t xml:space="preserve"> </w:t>
    </w:r>
    <w:r>
      <w:fldChar w:fldCharType="begin"/>
    </w:r>
    <w:r>
      <w:rPr>
        <w:rStyle w:val="34"/>
      </w:rPr>
      <w:instrText xml:space="preserve">PAGE    \* MERGEFORMAT</w:instrText>
    </w:r>
    <w:r>
      <w:fldChar w:fldCharType="separate"/>
    </w:r>
    <w:r>
      <w:rPr>
        <w:rStyle w:val="34"/>
      </w:rPr>
      <w:t>124</w:t>
    </w:r>
    <w:r>
      <w:fldChar w:fldCharType="end"/>
    </w:r>
    <w:r>
      <w:rPr>
        <w:rStyle w:val="3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F8CE3">
    <w:pPr>
      <w:pStyle w:val="2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E517C5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none" lIns="0" tIns="0" rIns="0" bIns="0" upright="0">
                      <a:spAutoFit/>
                    </wps:bodyPr>
                  </wps:wsp>
                </a:graphicData>
              </a:graphic>
            </wp:anchor>
          </w:drawing>
        </mc:Choice>
        <mc:Fallback>
          <w:pict>
            <v:shape id="文本框 1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Z0m/vc0BAACoAwAADgAAAAAAAAABACAAAAAeAQAAZHJzL2Uy&#10;b0RvYy54bWxQSwUGAAAAAAYABgBZAQAAXQUAAAAA&#10;">
              <v:fill on="f" focussize="0,0"/>
              <v:stroke on="f"/>
              <v:imagedata o:title=""/>
              <o:lock v:ext="edit" aspectratio="f"/>
              <v:textbox inset="0mm,0mm,0mm,0mm" style="mso-fit-shape-to-text:t;">
                <w:txbxContent>
                  <w:p w14:paraId="0E517C5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184F">
    <w:pPr>
      <w:pStyle w:val="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06D3E">
    <w:pPr>
      <w:pStyle w:val="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455669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Tlcg80BAACoAwAADgAAAGRycy9lMm9Eb2MueG1srVPNjtMwEL4j8Q6W&#10;7zRpk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YY2gTMnLD345fu3y49fl59f2fJ1&#10;0qcPWFHZQ6DCONz5IdVOcaRgoj20YNOXCDHKk7rnq7pqiEymS+vVel1SSlJudgineLweAONb5S1L&#10;Rs2Bni+rKk7vMY6lc0nq5vy9NobiojLurwBhjhGVd2C6nZiMEycrDvthorH3zZnY9bQHNXe09pyZ&#10;d45kTiszGzAb+9k4BtCHLu9U6o7h9hhppDxp6jDCEsPk0ANmrtOypQ35089Vjz/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pTlcg80BAACoAwAADgAAAAAAAAABACAAAAAeAQAAZHJzL2Uy&#10;b0RvYy54bWxQSwUGAAAAAAYABgBZAQAAXQUAAAAA&#10;">
              <v:fill on="f" focussize="0,0"/>
              <v:stroke on="f"/>
              <v:imagedata o:title=""/>
              <o:lock v:ext="edit" aspectratio="f"/>
              <v:textbox inset="0mm,0mm,0mm,0mm" style="mso-fit-shape-to-text:t;">
                <w:txbxContent>
                  <w:p w14:paraId="7455669E">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F75F7">
    <w:pPr>
      <w:pStyle w:val="2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9971A3D">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44</w:t>
                          </w:r>
                          <w:r>
                            <w:rPr>
                              <w:rFonts w:hint="eastAsia"/>
                              <w:sz w:val="18"/>
                            </w:rPr>
                            <w:fldChar w:fldCharType="end"/>
                          </w:r>
                        </w:p>
                      </w:txbxContent>
                    </wps:txbx>
                    <wps:bodyPr wrap="none" lIns="0" tIns="0" rIns="0" bIns="0" upright="0">
                      <a:spAutoFit/>
                    </wps:bodyPr>
                  </wps:wsp>
                </a:graphicData>
              </a:graphic>
            </wp:anchor>
          </w:drawing>
        </mc:Choice>
        <mc:Fallback>
          <w:pict>
            <v:shape id="文本框 1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lRWc0BAACoAwAADgAAAGRycy9lMm9Eb2MueG1srVPNjtMwEL4j8Q6W&#10;7zRph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abmK86csPTgl+/fLj9+XX5+ZcvX&#10;SZ8+YEVlD4EK43DnB9qaOY4UTLSHFmz6EiFGeVL3fFVXDZHJdGm9Wq9LSknKzQ7hF4/XA2B8q7xl&#10;yag50PNlVcXpPcaxdC5J3Zy/18bkJzTurwBhjhGVd2C6nZiMEycrDvthorf3zZnY9bQHNXe09pyZ&#10;d45kTiszGzAb+9k4BtCHLu9U6o7h9hhppDxp6jDCEsPk0ANmrtOypQ35089Vjz/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u/lRWc0BAACoAwAADgAAAAAAAAABACAAAAAeAQAAZHJzL2Uy&#10;b0RvYy54bWxQSwUGAAAAAAYABgBZAQAAXQUAAAAA&#10;">
              <v:fill on="f" focussize="0,0"/>
              <v:stroke on="f"/>
              <v:imagedata o:title=""/>
              <o:lock v:ext="edit" aspectratio="f"/>
              <v:textbox inset="0mm,0mm,0mm,0mm" style="mso-fit-shape-to-text:t;">
                <w:txbxContent>
                  <w:p w14:paraId="49971A3D">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FE34C">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96BA4C"/>
    <w:multiLevelType w:val="singleLevel"/>
    <w:tmpl w:val="8B96BA4C"/>
    <w:lvl w:ilvl="0" w:tentative="0">
      <w:start w:val="1"/>
      <w:numFmt w:val="decimal"/>
      <w:suff w:val="space"/>
      <w:lvlText w:val="%1."/>
      <w:lvlJc w:val="left"/>
    </w:lvl>
  </w:abstractNum>
  <w:abstractNum w:abstractNumId="1">
    <w:nsid w:val="361E5279"/>
    <w:multiLevelType w:val="multilevel"/>
    <w:tmpl w:val="361E5279"/>
    <w:lvl w:ilvl="0" w:tentative="0">
      <w:start w:val="16"/>
      <w:numFmt w:val="bullet"/>
      <w:lvlText w:val="△"/>
      <w:lvlJc w:val="left"/>
      <w:pPr>
        <w:tabs>
          <w:tab w:val="left" w:pos="780"/>
        </w:tabs>
        <w:ind w:left="780" w:hanging="360"/>
      </w:pPr>
      <w:rPr>
        <w:rFonts w:hint="eastAsia" w:ascii="宋体" w:hAnsi="宋体" w:eastAsia="宋体" w:cs="Times New Roman"/>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
    <w:nsid w:val="61027DAC"/>
    <w:multiLevelType w:val="singleLevel"/>
    <w:tmpl w:val="61027DAC"/>
    <w:lvl w:ilvl="0" w:tentative="0">
      <w:start w:val="1"/>
      <w:numFmt w:val="chineseCounting"/>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21787D"/>
    <w:rsid w:val="00004E30"/>
    <w:rsid w:val="00011781"/>
    <w:rsid w:val="00016728"/>
    <w:rsid w:val="00020313"/>
    <w:rsid w:val="00026DD6"/>
    <w:rsid w:val="00032EA9"/>
    <w:rsid w:val="00033AFE"/>
    <w:rsid w:val="0004017D"/>
    <w:rsid w:val="000469AC"/>
    <w:rsid w:val="00050829"/>
    <w:rsid w:val="00050ABE"/>
    <w:rsid w:val="0005107E"/>
    <w:rsid w:val="00051AE9"/>
    <w:rsid w:val="00052D54"/>
    <w:rsid w:val="00055276"/>
    <w:rsid w:val="00056A3E"/>
    <w:rsid w:val="000609F6"/>
    <w:rsid w:val="000627BA"/>
    <w:rsid w:val="000630BA"/>
    <w:rsid w:val="00084AE9"/>
    <w:rsid w:val="00090CB1"/>
    <w:rsid w:val="0009119A"/>
    <w:rsid w:val="0009147B"/>
    <w:rsid w:val="00093A3C"/>
    <w:rsid w:val="00093E5E"/>
    <w:rsid w:val="00093FC0"/>
    <w:rsid w:val="000A25F6"/>
    <w:rsid w:val="000A6654"/>
    <w:rsid w:val="000A6B23"/>
    <w:rsid w:val="000B351A"/>
    <w:rsid w:val="000B7F54"/>
    <w:rsid w:val="000C04B5"/>
    <w:rsid w:val="000C3532"/>
    <w:rsid w:val="000C3584"/>
    <w:rsid w:val="000C419B"/>
    <w:rsid w:val="000C5D3B"/>
    <w:rsid w:val="000C6B74"/>
    <w:rsid w:val="000C72E6"/>
    <w:rsid w:val="000D04CE"/>
    <w:rsid w:val="000D0569"/>
    <w:rsid w:val="000D0B07"/>
    <w:rsid w:val="000D156D"/>
    <w:rsid w:val="000D1CE2"/>
    <w:rsid w:val="000D572A"/>
    <w:rsid w:val="000D5770"/>
    <w:rsid w:val="000D598C"/>
    <w:rsid w:val="000D706D"/>
    <w:rsid w:val="000E2501"/>
    <w:rsid w:val="000E39FF"/>
    <w:rsid w:val="000E4805"/>
    <w:rsid w:val="000F16ED"/>
    <w:rsid w:val="000F29C7"/>
    <w:rsid w:val="000F6B02"/>
    <w:rsid w:val="000F6C40"/>
    <w:rsid w:val="0010468B"/>
    <w:rsid w:val="00110D79"/>
    <w:rsid w:val="001117DC"/>
    <w:rsid w:val="0011427F"/>
    <w:rsid w:val="001157DE"/>
    <w:rsid w:val="0011642D"/>
    <w:rsid w:val="00122604"/>
    <w:rsid w:val="00123244"/>
    <w:rsid w:val="00130B3B"/>
    <w:rsid w:val="00131232"/>
    <w:rsid w:val="001331FD"/>
    <w:rsid w:val="001337FB"/>
    <w:rsid w:val="00136206"/>
    <w:rsid w:val="001400A7"/>
    <w:rsid w:val="001416F0"/>
    <w:rsid w:val="00141E5B"/>
    <w:rsid w:val="00142D41"/>
    <w:rsid w:val="00143B5A"/>
    <w:rsid w:val="00154B46"/>
    <w:rsid w:val="00154B92"/>
    <w:rsid w:val="00155818"/>
    <w:rsid w:val="00157515"/>
    <w:rsid w:val="00160B3A"/>
    <w:rsid w:val="001620CF"/>
    <w:rsid w:val="00170350"/>
    <w:rsid w:val="00170EC1"/>
    <w:rsid w:val="00171011"/>
    <w:rsid w:val="00172FC8"/>
    <w:rsid w:val="0017458B"/>
    <w:rsid w:val="00175AC9"/>
    <w:rsid w:val="00175FFB"/>
    <w:rsid w:val="001763E8"/>
    <w:rsid w:val="001765B2"/>
    <w:rsid w:val="00181E55"/>
    <w:rsid w:val="001917A6"/>
    <w:rsid w:val="0019297B"/>
    <w:rsid w:val="00194AF8"/>
    <w:rsid w:val="0019575F"/>
    <w:rsid w:val="001A0EFE"/>
    <w:rsid w:val="001A2A9D"/>
    <w:rsid w:val="001A35DE"/>
    <w:rsid w:val="001A51BE"/>
    <w:rsid w:val="001B0B34"/>
    <w:rsid w:val="001B6C04"/>
    <w:rsid w:val="001C047F"/>
    <w:rsid w:val="001C0CCE"/>
    <w:rsid w:val="001C1521"/>
    <w:rsid w:val="001C1EA3"/>
    <w:rsid w:val="001C40F9"/>
    <w:rsid w:val="001C6AAC"/>
    <w:rsid w:val="001D16FB"/>
    <w:rsid w:val="001D2643"/>
    <w:rsid w:val="001D266A"/>
    <w:rsid w:val="001D2E77"/>
    <w:rsid w:val="001D31B2"/>
    <w:rsid w:val="001D356C"/>
    <w:rsid w:val="001D3800"/>
    <w:rsid w:val="001D3B25"/>
    <w:rsid w:val="001D6C85"/>
    <w:rsid w:val="001E2BFB"/>
    <w:rsid w:val="001E3A04"/>
    <w:rsid w:val="001E44BF"/>
    <w:rsid w:val="001F07B1"/>
    <w:rsid w:val="001F1EB1"/>
    <w:rsid w:val="001F2DE0"/>
    <w:rsid w:val="001F57BD"/>
    <w:rsid w:val="001F5BBB"/>
    <w:rsid w:val="00206472"/>
    <w:rsid w:val="00206AED"/>
    <w:rsid w:val="0021264E"/>
    <w:rsid w:val="00214719"/>
    <w:rsid w:val="0021787D"/>
    <w:rsid w:val="00220911"/>
    <w:rsid w:val="0022336A"/>
    <w:rsid w:val="0022570F"/>
    <w:rsid w:val="002277A7"/>
    <w:rsid w:val="00227F52"/>
    <w:rsid w:val="00231AD5"/>
    <w:rsid w:val="00231DD9"/>
    <w:rsid w:val="00235B2B"/>
    <w:rsid w:val="00242561"/>
    <w:rsid w:val="00243645"/>
    <w:rsid w:val="002437E4"/>
    <w:rsid w:val="00247E2F"/>
    <w:rsid w:val="00255021"/>
    <w:rsid w:val="002554B3"/>
    <w:rsid w:val="00257B7B"/>
    <w:rsid w:val="0026052D"/>
    <w:rsid w:val="002645FD"/>
    <w:rsid w:val="00270FB7"/>
    <w:rsid w:val="0027107C"/>
    <w:rsid w:val="00271883"/>
    <w:rsid w:val="00272CA8"/>
    <w:rsid w:val="002752A3"/>
    <w:rsid w:val="00280578"/>
    <w:rsid w:val="00281AE5"/>
    <w:rsid w:val="0028756C"/>
    <w:rsid w:val="00287844"/>
    <w:rsid w:val="002A497B"/>
    <w:rsid w:val="002A4A5F"/>
    <w:rsid w:val="002A5B7A"/>
    <w:rsid w:val="002B4786"/>
    <w:rsid w:val="002B6D5B"/>
    <w:rsid w:val="002B741E"/>
    <w:rsid w:val="002B74C3"/>
    <w:rsid w:val="002B7D73"/>
    <w:rsid w:val="002C0775"/>
    <w:rsid w:val="002D23CC"/>
    <w:rsid w:val="002D7EEA"/>
    <w:rsid w:val="002E0532"/>
    <w:rsid w:val="002E0A27"/>
    <w:rsid w:val="002E153F"/>
    <w:rsid w:val="002E2625"/>
    <w:rsid w:val="002E32C6"/>
    <w:rsid w:val="002F59A8"/>
    <w:rsid w:val="00302D15"/>
    <w:rsid w:val="00303BFC"/>
    <w:rsid w:val="00307376"/>
    <w:rsid w:val="0031271A"/>
    <w:rsid w:val="00313D18"/>
    <w:rsid w:val="00314B37"/>
    <w:rsid w:val="00315502"/>
    <w:rsid w:val="00323F0D"/>
    <w:rsid w:val="00324FE8"/>
    <w:rsid w:val="00326B68"/>
    <w:rsid w:val="00331C30"/>
    <w:rsid w:val="003321B7"/>
    <w:rsid w:val="003325EA"/>
    <w:rsid w:val="0033373E"/>
    <w:rsid w:val="0033429C"/>
    <w:rsid w:val="00343092"/>
    <w:rsid w:val="00350343"/>
    <w:rsid w:val="003557EB"/>
    <w:rsid w:val="00356952"/>
    <w:rsid w:val="00356B8F"/>
    <w:rsid w:val="00360052"/>
    <w:rsid w:val="00360ABA"/>
    <w:rsid w:val="003738A5"/>
    <w:rsid w:val="00381EB0"/>
    <w:rsid w:val="00387A16"/>
    <w:rsid w:val="00387D09"/>
    <w:rsid w:val="0039252B"/>
    <w:rsid w:val="00392FE1"/>
    <w:rsid w:val="0039557B"/>
    <w:rsid w:val="003A0052"/>
    <w:rsid w:val="003A3E7E"/>
    <w:rsid w:val="003A6CC2"/>
    <w:rsid w:val="003B7AC9"/>
    <w:rsid w:val="003C4E87"/>
    <w:rsid w:val="003D1C4A"/>
    <w:rsid w:val="003D2052"/>
    <w:rsid w:val="003D3400"/>
    <w:rsid w:val="003D471C"/>
    <w:rsid w:val="003D78D6"/>
    <w:rsid w:val="003E24AF"/>
    <w:rsid w:val="003E3418"/>
    <w:rsid w:val="003E35A0"/>
    <w:rsid w:val="003F2258"/>
    <w:rsid w:val="003F7811"/>
    <w:rsid w:val="00400C51"/>
    <w:rsid w:val="00402995"/>
    <w:rsid w:val="00403267"/>
    <w:rsid w:val="004038A9"/>
    <w:rsid w:val="00403C7B"/>
    <w:rsid w:val="00404997"/>
    <w:rsid w:val="004054E2"/>
    <w:rsid w:val="00411627"/>
    <w:rsid w:val="00412CFF"/>
    <w:rsid w:val="00423B51"/>
    <w:rsid w:val="004265F1"/>
    <w:rsid w:val="00427C6E"/>
    <w:rsid w:val="00430592"/>
    <w:rsid w:val="00430B33"/>
    <w:rsid w:val="00430D12"/>
    <w:rsid w:val="00437D1B"/>
    <w:rsid w:val="004639BE"/>
    <w:rsid w:val="004649E8"/>
    <w:rsid w:val="00464F66"/>
    <w:rsid w:val="0046512B"/>
    <w:rsid w:val="00466253"/>
    <w:rsid w:val="004678A0"/>
    <w:rsid w:val="00470214"/>
    <w:rsid w:val="004709CA"/>
    <w:rsid w:val="00486C9D"/>
    <w:rsid w:val="004912D7"/>
    <w:rsid w:val="00491F97"/>
    <w:rsid w:val="00492D77"/>
    <w:rsid w:val="00492F62"/>
    <w:rsid w:val="00496797"/>
    <w:rsid w:val="004975FD"/>
    <w:rsid w:val="004A165A"/>
    <w:rsid w:val="004A6D98"/>
    <w:rsid w:val="004A750E"/>
    <w:rsid w:val="004B170B"/>
    <w:rsid w:val="004B1EE1"/>
    <w:rsid w:val="004B5075"/>
    <w:rsid w:val="004B5576"/>
    <w:rsid w:val="004B6FE3"/>
    <w:rsid w:val="004B7A07"/>
    <w:rsid w:val="004C23C6"/>
    <w:rsid w:val="004C2D2E"/>
    <w:rsid w:val="004C3674"/>
    <w:rsid w:val="004C3C0B"/>
    <w:rsid w:val="004C6BE8"/>
    <w:rsid w:val="004D0415"/>
    <w:rsid w:val="004D0F3C"/>
    <w:rsid w:val="004D147A"/>
    <w:rsid w:val="004D3FA9"/>
    <w:rsid w:val="004D56D8"/>
    <w:rsid w:val="004D6495"/>
    <w:rsid w:val="004D7653"/>
    <w:rsid w:val="004D7E8A"/>
    <w:rsid w:val="004E2E89"/>
    <w:rsid w:val="004E44AA"/>
    <w:rsid w:val="004E4B72"/>
    <w:rsid w:val="004E574A"/>
    <w:rsid w:val="004E59CD"/>
    <w:rsid w:val="004F06A3"/>
    <w:rsid w:val="004F1377"/>
    <w:rsid w:val="004F171E"/>
    <w:rsid w:val="004F1F95"/>
    <w:rsid w:val="004F3309"/>
    <w:rsid w:val="004F74EF"/>
    <w:rsid w:val="004F766D"/>
    <w:rsid w:val="004F7A92"/>
    <w:rsid w:val="00507003"/>
    <w:rsid w:val="00507E2A"/>
    <w:rsid w:val="00507EF5"/>
    <w:rsid w:val="00517E37"/>
    <w:rsid w:val="00520AEE"/>
    <w:rsid w:val="00520C85"/>
    <w:rsid w:val="00522EA7"/>
    <w:rsid w:val="0052605F"/>
    <w:rsid w:val="005321D3"/>
    <w:rsid w:val="00532D34"/>
    <w:rsid w:val="00532FB4"/>
    <w:rsid w:val="00535AF0"/>
    <w:rsid w:val="00543C4F"/>
    <w:rsid w:val="00545354"/>
    <w:rsid w:val="00546D10"/>
    <w:rsid w:val="00546F80"/>
    <w:rsid w:val="0054717A"/>
    <w:rsid w:val="00551498"/>
    <w:rsid w:val="00551D50"/>
    <w:rsid w:val="00560E84"/>
    <w:rsid w:val="00562A62"/>
    <w:rsid w:val="005632B8"/>
    <w:rsid w:val="0056403F"/>
    <w:rsid w:val="00566911"/>
    <w:rsid w:val="0057003B"/>
    <w:rsid w:val="00590024"/>
    <w:rsid w:val="005900DD"/>
    <w:rsid w:val="005905D7"/>
    <w:rsid w:val="0059091A"/>
    <w:rsid w:val="005919A1"/>
    <w:rsid w:val="00594578"/>
    <w:rsid w:val="0059486D"/>
    <w:rsid w:val="00595454"/>
    <w:rsid w:val="0059704B"/>
    <w:rsid w:val="00597636"/>
    <w:rsid w:val="005A0996"/>
    <w:rsid w:val="005A2294"/>
    <w:rsid w:val="005A4452"/>
    <w:rsid w:val="005A5125"/>
    <w:rsid w:val="005A5D8E"/>
    <w:rsid w:val="005B0DF1"/>
    <w:rsid w:val="005B59A3"/>
    <w:rsid w:val="005B795B"/>
    <w:rsid w:val="005C4367"/>
    <w:rsid w:val="005C5B12"/>
    <w:rsid w:val="005D556F"/>
    <w:rsid w:val="005D68BA"/>
    <w:rsid w:val="005D6A7E"/>
    <w:rsid w:val="005E2F48"/>
    <w:rsid w:val="005E42A1"/>
    <w:rsid w:val="005E492E"/>
    <w:rsid w:val="005F0EC9"/>
    <w:rsid w:val="005F2415"/>
    <w:rsid w:val="005F5B7D"/>
    <w:rsid w:val="00605EF0"/>
    <w:rsid w:val="006116C8"/>
    <w:rsid w:val="006119B6"/>
    <w:rsid w:val="0061491F"/>
    <w:rsid w:val="00615A69"/>
    <w:rsid w:val="00615F67"/>
    <w:rsid w:val="00616345"/>
    <w:rsid w:val="006173A0"/>
    <w:rsid w:val="00617BA0"/>
    <w:rsid w:val="0062496B"/>
    <w:rsid w:val="006259A3"/>
    <w:rsid w:val="0062786C"/>
    <w:rsid w:val="00627C48"/>
    <w:rsid w:val="0063086C"/>
    <w:rsid w:val="00630BAC"/>
    <w:rsid w:val="00636680"/>
    <w:rsid w:val="0064026C"/>
    <w:rsid w:val="00644AF1"/>
    <w:rsid w:val="0064710E"/>
    <w:rsid w:val="00653D25"/>
    <w:rsid w:val="006549B8"/>
    <w:rsid w:val="006602F9"/>
    <w:rsid w:val="0066103C"/>
    <w:rsid w:val="00662913"/>
    <w:rsid w:val="006630E4"/>
    <w:rsid w:val="00663221"/>
    <w:rsid w:val="0067797E"/>
    <w:rsid w:val="00681700"/>
    <w:rsid w:val="00683B0E"/>
    <w:rsid w:val="00684FF2"/>
    <w:rsid w:val="00687033"/>
    <w:rsid w:val="006905D1"/>
    <w:rsid w:val="00693C78"/>
    <w:rsid w:val="00695252"/>
    <w:rsid w:val="00696076"/>
    <w:rsid w:val="0069722C"/>
    <w:rsid w:val="006A3B73"/>
    <w:rsid w:val="006A49D4"/>
    <w:rsid w:val="006A68C1"/>
    <w:rsid w:val="006B0775"/>
    <w:rsid w:val="006B0D35"/>
    <w:rsid w:val="006B12BC"/>
    <w:rsid w:val="006B47F1"/>
    <w:rsid w:val="006B6496"/>
    <w:rsid w:val="006C22D1"/>
    <w:rsid w:val="006D0373"/>
    <w:rsid w:val="006D3B14"/>
    <w:rsid w:val="006D6F0E"/>
    <w:rsid w:val="006E169A"/>
    <w:rsid w:val="006E2665"/>
    <w:rsid w:val="006E46CB"/>
    <w:rsid w:val="006F23D8"/>
    <w:rsid w:val="006F7DCC"/>
    <w:rsid w:val="00700CC0"/>
    <w:rsid w:val="007013CD"/>
    <w:rsid w:val="00702DD0"/>
    <w:rsid w:val="00704B9A"/>
    <w:rsid w:val="00706886"/>
    <w:rsid w:val="0070735D"/>
    <w:rsid w:val="007115D3"/>
    <w:rsid w:val="007147E3"/>
    <w:rsid w:val="00714D40"/>
    <w:rsid w:val="00716AAF"/>
    <w:rsid w:val="0072283E"/>
    <w:rsid w:val="00722B28"/>
    <w:rsid w:val="007305F4"/>
    <w:rsid w:val="0073457A"/>
    <w:rsid w:val="00735199"/>
    <w:rsid w:val="00735AD0"/>
    <w:rsid w:val="00736F40"/>
    <w:rsid w:val="00740C18"/>
    <w:rsid w:val="00741770"/>
    <w:rsid w:val="00746658"/>
    <w:rsid w:val="0075087C"/>
    <w:rsid w:val="007522C2"/>
    <w:rsid w:val="00753F34"/>
    <w:rsid w:val="007564A6"/>
    <w:rsid w:val="00756A64"/>
    <w:rsid w:val="00762290"/>
    <w:rsid w:val="00763573"/>
    <w:rsid w:val="00765640"/>
    <w:rsid w:val="00766B67"/>
    <w:rsid w:val="00770B58"/>
    <w:rsid w:val="0077617D"/>
    <w:rsid w:val="0077694F"/>
    <w:rsid w:val="00780227"/>
    <w:rsid w:val="0078221B"/>
    <w:rsid w:val="00782469"/>
    <w:rsid w:val="00784742"/>
    <w:rsid w:val="0078608F"/>
    <w:rsid w:val="00786581"/>
    <w:rsid w:val="00786FD1"/>
    <w:rsid w:val="00787394"/>
    <w:rsid w:val="0079067D"/>
    <w:rsid w:val="0079300F"/>
    <w:rsid w:val="0079352C"/>
    <w:rsid w:val="00794731"/>
    <w:rsid w:val="0079555B"/>
    <w:rsid w:val="00796DC8"/>
    <w:rsid w:val="007A2170"/>
    <w:rsid w:val="007A3176"/>
    <w:rsid w:val="007B3FDB"/>
    <w:rsid w:val="007B7651"/>
    <w:rsid w:val="007B7C7C"/>
    <w:rsid w:val="007C3F88"/>
    <w:rsid w:val="007C4228"/>
    <w:rsid w:val="007D0307"/>
    <w:rsid w:val="007D5067"/>
    <w:rsid w:val="007D69F9"/>
    <w:rsid w:val="007E1E6F"/>
    <w:rsid w:val="007E5981"/>
    <w:rsid w:val="007E6D61"/>
    <w:rsid w:val="007F1D54"/>
    <w:rsid w:val="007F3000"/>
    <w:rsid w:val="007F5652"/>
    <w:rsid w:val="008004F7"/>
    <w:rsid w:val="008028EC"/>
    <w:rsid w:val="00803E21"/>
    <w:rsid w:val="008060F2"/>
    <w:rsid w:val="008063C5"/>
    <w:rsid w:val="00806F22"/>
    <w:rsid w:val="0080703F"/>
    <w:rsid w:val="0081150E"/>
    <w:rsid w:val="00813CD2"/>
    <w:rsid w:val="00814925"/>
    <w:rsid w:val="00815D9F"/>
    <w:rsid w:val="008213F5"/>
    <w:rsid w:val="0082716F"/>
    <w:rsid w:val="008305F0"/>
    <w:rsid w:val="00831807"/>
    <w:rsid w:val="00831B52"/>
    <w:rsid w:val="0083494A"/>
    <w:rsid w:val="00840A44"/>
    <w:rsid w:val="008429F5"/>
    <w:rsid w:val="00843E28"/>
    <w:rsid w:val="0084438E"/>
    <w:rsid w:val="00847F28"/>
    <w:rsid w:val="008515FE"/>
    <w:rsid w:val="0085470A"/>
    <w:rsid w:val="00856607"/>
    <w:rsid w:val="0086175C"/>
    <w:rsid w:val="00862668"/>
    <w:rsid w:val="00863074"/>
    <w:rsid w:val="008718DD"/>
    <w:rsid w:val="008779A2"/>
    <w:rsid w:val="008831D7"/>
    <w:rsid w:val="00884350"/>
    <w:rsid w:val="00884A6A"/>
    <w:rsid w:val="00885592"/>
    <w:rsid w:val="00885F9C"/>
    <w:rsid w:val="00887982"/>
    <w:rsid w:val="00892E15"/>
    <w:rsid w:val="008948FE"/>
    <w:rsid w:val="008A39FF"/>
    <w:rsid w:val="008A78F5"/>
    <w:rsid w:val="008A7909"/>
    <w:rsid w:val="008B1327"/>
    <w:rsid w:val="008B3BCC"/>
    <w:rsid w:val="008B4192"/>
    <w:rsid w:val="008B6988"/>
    <w:rsid w:val="008C0765"/>
    <w:rsid w:val="008C3435"/>
    <w:rsid w:val="008C3DAC"/>
    <w:rsid w:val="008D0206"/>
    <w:rsid w:val="008D3E97"/>
    <w:rsid w:val="008D3F97"/>
    <w:rsid w:val="008D4341"/>
    <w:rsid w:val="008D5C11"/>
    <w:rsid w:val="008D7712"/>
    <w:rsid w:val="008E1810"/>
    <w:rsid w:val="008E30EB"/>
    <w:rsid w:val="008E3E29"/>
    <w:rsid w:val="008E5DC9"/>
    <w:rsid w:val="008E6007"/>
    <w:rsid w:val="008E615F"/>
    <w:rsid w:val="008E7C11"/>
    <w:rsid w:val="008F2924"/>
    <w:rsid w:val="008F3AE8"/>
    <w:rsid w:val="008F4C81"/>
    <w:rsid w:val="008F7D76"/>
    <w:rsid w:val="009006D4"/>
    <w:rsid w:val="00900897"/>
    <w:rsid w:val="009025D6"/>
    <w:rsid w:val="009061A8"/>
    <w:rsid w:val="00907B30"/>
    <w:rsid w:val="00911690"/>
    <w:rsid w:val="00912C5B"/>
    <w:rsid w:val="009174C7"/>
    <w:rsid w:val="009207F4"/>
    <w:rsid w:val="0092106D"/>
    <w:rsid w:val="00924A13"/>
    <w:rsid w:val="00926FF5"/>
    <w:rsid w:val="00935191"/>
    <w:rsid w:val="00943F40"/>
    <w:rsid w:val="00963BE8"/>
    <w:rsid w:val="009642A0"/>
    <w:rsid w:val="009642C7"/>
    <w:rsid w:val="009660B9"/>
    <w:rsid w:val="009673A8"/>
    <w:rsid w:val="0096795A"/>
    <w:rsid w:val="00967F51"/>
    <w:rsid w:val="00970A96"/>
    <w:rsid w:val="00973E47"/>
    <w:rsid w:val="009742D9"/>
    <w:rsid w:val="00974C92"/>
    <w:rsid w:val="00976F66"/>
    <w:rsid w:val="0098378E"/>
    <w:rsid w:val="00984059"/>
    <w:rsid w:val="00984248"/>
    <w:rsid w:val="00985033"/>
    <w:rsid w:val="00986E18"/>
    <w:rsid w:val="00992959"/>
    <w:rsid w:val="00993D83"/>
    <w:rsid w:val="0099584B"/>
    <w:rsid w:val="00997A63"/>
    <w:rsid w:val="009A1001"/>
    <w:rsid w:val="009A3E57"/>
    <w:rsid w:val="009A7BD9"/>
    <w:rsid w:val="009B017F"/>
    <w:rsid w:val="009B372E"/>
    <w:rsid w:val="009B56FA"/>
    <w:rsid w:val="009C0156"/>
    <w:rsid w:val="009C1BA8"/>
    <w:rsid w:val="009C22CC"/>
    <w:rsid w:val="009C32F7"/>
    <w:rsid w:val="009C3706"/>
    <w:rsid w:val="009C4F3B"/>
    <w:rsid w:val="009E1DF0"/>
    <w:rsid w:val="009F13D6"/>
    <w:rsid w:val="009F4A43"/>
    <w:rsid w:val="00A04584"/>
    <w:rsid w:val="00A0723B"/>
    <w:rsid w:val="00A12B8A"/>
    <w:rsid w:val="00A12C79"/>
    <w:rsid w:val="00A13975"/>
    <w:rsid w:val="00A15B86"/>
    <w:rsid w:val="00A166FA"/>
    <w:rsid w:val="00A22C1D"/>
    <w:rsid w:val="00A234B4"/>
    <w:rsid w:val="00A310DB"/>
    <w:rsid w:val="00A32CF3"/>
    <w:rsid w:val="00A33474"/>
    <w:rsid w:val="00A345D8"/>
    <w:rsid w:val="00A4123D"/>
    <w:rsid w:val="00A42A1D"/>
    <w:rsid w:val="00A43594"/>
    <w:rsid w:val="00A47BA3"/>
    <w:rsid w:val="00A50377"/>
    <w:rsid w:val="00A564D6"/>
    <w:rsid w:val="00A6048D"/>
    <w:rsid w:val="00A63203"/>
    <w:rsid w:val="00A65778"/>
    <w:rsid w:val="00A66FBD"/>
    <w:rsid w:val="00A773E2"/>
    <w:rsid w:val="00A82769"/>
    <w:rsid w:val="00A85010"/>
    <w:rsid w:val="00A85F0A"/>
    <w:rsid w:val="00A875F0"/>
    <w:rsid w:val="00A87945"/>
    <w:rsid w:val="00A90E67"/>
    <w:rsid w:val="00A92A85"/>
    <w:rsid w:val="00A94C2B"/>
    <w:rsid w:val="00A95A34"/>
    <w:rsid w:val="00AA0996"/>
    <w:rsid w:val="00AA1932"/>
    <w:rsid w:val="00AA1C23"/>
    <w:rsid w:val="00AA241C"/>
    <w:rsid w:val="00AA79CC"/>
    <w:rsid w:val="00AB626D"/>
    <w:rsid w:val="00AC2403"/>
    <w:rsid w:val="00AC37CA"/>
    <w:rsid w:val="00AC600F"/>
    <w:rsid w:val="00AC6713"/>
    <w:rsid w:val="00AD00C2"/>
    <w:rsid w:val="00AD1477"/>
    <w:rsid w:val="00AD1AE5"/>
    <w:rsid w:val="00AD1FFC"/>
    <w:rsid w:val="00AD4BBF"/>
    <w:rsid w:val="00AE0CFC"/>
    <w:rsid w:val="00AE0F94"/>
    <w:rsid w:val="00AE0FFC"/>
    <w:rsid w:val="00AE1978"/>
    <w:rsid w:val="00AE3E6C"/>
    <w:rsid w:val="00AE49F9"/>
    <w:rsid w:val="00AE7B92"/>
    <w:rsid w:val="00AF2A17"/>
    <w:rsid w:val="00AF389A"/>
    <w:rsid w:val="00AF7136"/>
    <w:rsid w:val="00B01174"/>
    <w:rsid w:val="00B01708"/>
    <w:rsid w:val="00B02066"/>
    <w:rsid w:val="00B03679"/>
    <w:rsid w:val="00B108C7"/>
    <w:rsid w:val="00B1242E"/>
    <w:rsid w:val="00B15B72"/>
    <w:rsid w:val="00B1609E"/>
    <w:rsid w:val="00B21F97"/>
    <w:rsid w:val="00B23E49"/>
    <w:rsid w:val="00B27E5E"/>
    <w:rsid w:val="00B32F7B"/>
    <w:rsid w:val="00B3409E"/>
    <w:rsid w:val="00B34A73"/>
    <w:rsid w:val="00B355F2"/>
    <w:rsid w:val="00B361FA"/>
    <w:rsid w:val="00B41ECB"/>
    <w:rsid w:val="00B4289E"/>
    <w:rsid w:val="00B44B16"/>
    <w:rsid w:val="00B509CC"/>
    <w:rsid w:val="00B57172"/>
    <w:rsid w:val="00B708CE"/>
    <w:rsid w:val="00B71B0E"/>
    <w:rsid w:val="00B720B2"/>
    <w:rsid w:val="00B7724F"/>
    <w:rsid w:val="00B80173"/>
    <w:rsid w:val="00B80912"/>
    <w:rsid w:val="00B82042"/>
    <w:rsid w:val="00B85466"/>
    <w:rsid w:val="00B86A9D"/>
    <w:rsid w:val="00B86AFF"/>
    <w:rsid w:val="00B90314"/>
    <w:rsid w:val="00B943BB"/>
    <w:rsid w:val="00B9763B"/>
    <w:rsid w:val="00BA1E41"/>
    <w:rsid w:val="00BA3386"/>
    <w:rsid w:val="00BA61B5"/>
    <w:rsid w:val="00BB0539"/>
    <w:rsid w:val="00BB2F15"/>
    <w:rsid w:val="00BB3CF5"/>
    <w:rsid w:val="00BC04EE"/>
    <w:rsid w:val="00BC0A52"/>
    <w:rsid w:val="00BC36D8"/>
    <w:rsid w:val="00BC5C6B"/>
    <w:rsid w:val="00BC5F7A"/>
    <w:rsid w:val="00BD486F"/>
    <w:rsid w:val="00BE1030"/>
    <w:rsid w:val="00BE1D59"/>
    <w:rsid w:val="00BE477B"/>
    <w:rsid w:val="00BE689F"/>
    <w:rsid w:val="00BE6C32"/>
    <w:rsid w:val="00BF0D61"/>
    <w:rsid w:val="00BF0E29"/>
    <w:rsid w:val="00BF22CF"/>
    <w:rsid w:val="00BF39DE"/>
    <w:rsid w:val="00BF47E5"/>
    <w:rsid w:val="00C01F70"/>
    <w:rsid w:val="00C020DD"/>
    <w:rsid w:val="00C029DA"/>
    <w:rsid w:val="00C02B4B"/>
    <w:rsid w:val="00C04BBD"/>
    <w:rsid w:val="00C05920"/>
    <w:rsid w:val="00C0608E"/>
    <w:rsid w:val="00C060DB"/>
    <w:rsid w:val="00C115F1"/>
    <w:rsid w:val="00C11C75"/>
    <w:rsid w:val="00C12168"/>
    <w:rsid w:val="00C15A76"/>
    <w:rsid w:val="00C16A43"/>
    <w:rsid w:val="00C22375"/>
    <w:rsid w:val="00C36E17"/>
    <w:rsid w:val="00C51D01"/>
    <w:rsid w:val="00C53252"/>
    <w:rsid w:val="00C56F3D"/>
    <w:rsid w:val="00C60B52"/>
    <w:rsid w:val="00C652DF"/>
    <w:rsid w:val="00C65616"/>
    <w:rsid w:val="00C74E86"/>
    <w:rsid w:val="00C756CC"/>
    <w:rsid w:val="00C75ED1"/>
    <w:rsid w:val="00C76544"/>
    <w:rsid w:val="00C76D7B"/>
    <w:rsid w:val="00C83AB7"/>
    <w:rsid w:val="00C84009"/>
    <w:rsid w:val="00C84318"/>
    <w:rsid w:val="00C84D21"/>
    <w:rsid w:val="00C932E6"/>
    <w:rsid w:val="00C9683C"/>
    <w:rsid w:val="00CA3BE9"/>
    <w:rsid w:val="00CA69DF"/>
    <w:rsid w:val="00CB0D49"/>
    <w:rsid w:val="00CB1818"/>
    <w:rsid w:val="00CB3EAA"/>
    <w:rsid w:val="00CB680F"/>
    <w:rsid w:val="00CC3C54"/>
    <w:rsid w:val="00CC50FB"/>
    <w:rsid w:val="00CC748B"/>
    <w:rsid w:val="00CD0859"/>
    <w:rsid w:val="00CD2C9A"/>
    <w:rsid w:val="00CD34A5"/>
    <w:rsid w:val="00CD7D26"/>
    <w:rsid w:val="00CE0006"/>
    <w:rsid w:val="00CE0726"/>
    <w:rsid w:val="00CE3865"/>
    <w:rsid w:val="00CE3C3E"/>
    <w:rsid w:val="00CE69DB"/>
    <w:rsid w:val="00CF5728"/>
    <w:rsid w:val="00CF6388"/>
    <w:rsid w:val="00D01F4D"/>
    <w:rsid w:val="00D03344"/>
    <w:rsid w:val="00D05F15"/>
    <w:rsid w:val="00D1025C"/>
    <w:rsid w:val="00D10F49"/>
    <w:rsid w:val="00D15FED"/>
    <w:rsid w:val="00D245DE"/>
    <w:rsid w:val="00D24EBF"/>
    <w:rsid w:val="00D33C33"/>
    <w:rsid w:val="00D40F94"/>
    <w:rsid w:val="00D42CC1"/>
    <w:rsid w:val="00D50CCE"/>
    <w:rsid w:val="00D51A49"/>
    <w:rsid w:val="00D55576"/>
    <w:rsid w:val="00D60AE1"/>
    <w:rsid w:val="00D6103E"/>
    <w:rsid w:val="00D61529"/>
    <w:rsid w:val="00D70FB6"/>
    <w:rsid w:val="00D73030"/>
    <w:rsid w:val="00D744CE"/>
    <w:rsid w:val="00D748EB"/>
    <w:rsid w:val="00D75F5D"/>
    <w:rsid w:val="00D76503"/>
    <w:rsid w:val="00D77F2E"/>
    <w:rsid w:val="00D81ABC"/>
    <w:rsid w:val="00D8266A"/>
    <w:rsid w:val="00D831F5"/>
    <w:rsid w:val="00D85CFC"/>
    <w:rsid w:val="00D87FC9"/>
    <w:rsid w:val="00D96B0A"/>
    <w:rsid w:val="00D978CF"/>
    <w:rsid w:val="00D97CC2"/>
    <w:rsid w:val="00DA0744"/>
    <w:rsid w:val="00DA2537"/>
    <w:rsid w:val="00DA2721"/>
    <w:rsid w:val="00DA79DF"/>
    <w:rsid w:val="00DB0AD1"/>
    <w:rsid w:val="00DB2FC1"/>
    <w:rsid w:val="00DB6728"/>
    <w:rsid w:val="00DC01D7"/>
    <w:rsid w:val="00DC0956"/>
    <w:rsid w:val="00DC49DD"/>
    <w:rsid w:val="00DC5C89"/>
    <w:rsid w:val="00DC5CB6"/>
    <w:rsid w:val="00DC6C9E"/>
    <w:rsid w:val="00DC6CBA"/>
    <w:rsid w:val="00DD257D"/>
    <w:rsid w:val="00DD3638"/>
    <w:rsid w:val="00DD5258"/>
    <w:rsid w:val="00DE32A2"/>
    <w:rsid w:val="00DE7418"/>
    <w:rsid w:val="00DE796C"/>
    <w:rsid w:val="00DF0A97"/>
    <w:rsid w:val="00DF2AE7"/>
    <w:rsid w:val="00DF4446"/>
    <w:rsid w:val="00DF5B41"/>
    <w:rsid w:val="00DF7885"/>
    <w:rsid w:val="00E0055E"/>
    <w:rsid w:val="00E03A73"/>
    <w:rsid w:val="00E04E62"/>
    <w:rsid w:val="00E05DAE"/>
    <w:rsid w:val="00E111BE"/>
    <w:rsid w:val="00E16CAC"/>
    <w:rsid w:val="00E17210"/>
    <w:rsid w:val="00E17299"/>
    <w:rsid w:val="00E1783C"/>
    <w:rsid w:val="00E20383"/>
    <w:rsid w:val="00E3303A"/>
    <w:rsid w:val="00E361F5"/>
    <w:rsid w:val="00E37699"/>
    <w:rsid w:val="00E40928"/>
    <w:rsid w:val="00E40E60"/>
    <w:rsid w:val="00E51350"/>
    <w:rsid w:val="00E51D86"/>
    <w:rsid w:val="00E51ED2"/>
    <w:rsid w:val="00E53479"/>
    <w:rsid w:val="00E55907"/>
    <w:rsid w:val="00E560FC"/>
    <w:rsid w:val="00E64F2F"/>
    <w:rsid w:val="00E669E4"/>
    <w:rsid w:val="00E75CDE"/>
    <w:rsid w:val="00E769C9"/>
    <w:rsid w:val="00E810F5"/>
    <w:rsid w:val="00E82A94"/>
    <w:rsid w:val="00E914D5"/>
    <w:rsid w:val="00E92F99"/>
    <w:rsid w:val="00E96CF4"/>
    <w:rsid w:val="00E9768A"/>
    <w:rsid w:val="00EA2132"/>
    <w:rsid w:val="00EA47A2"/>
    <w:rsid w:val="00EA5325"/>
    <w:rsid w:val="00EA53D3"/>
    <w:rsid w:val="00EA78F5"/>
    <w:rsid w:val="00EA7A1D"/>
    <w:rsid w:val="00EA7D8F"/>
    <w:rsid w:val="00EB2A4C"/>
    <w:rsid w:val="00EB3172"/>
    <w:rsid w:val="00EB56F7"/>
    <w:rsid w:val="00EB58DE"/>
    <w:rsid w:val="00EC0307"/>
    <w:rsid w:val="00EC42A9"/>
    <w:rsid w:val="00EC7D86"/>
    <w:rsid w:val="00ED055D"/>
    <w:rsid w:val="00ED16CF"/>
    <w:rsid w:val="00ED3C95"/>
    <w:rsid w:val="00ED6CC5"/>
    <w:rsid w:val="00ED7F97"/>
    <w:rsid w:val="00EE50BB"/>
    <w:rsid w:val="00EF142E"/>
    <w:rsid w:val="00EF1678"/>
    <w:rsid w:val="00F009F0"/>
    <w:rsid w:val="00F01A2C"/>
    <w:rsid w:val="00F027EF"/>
    <w:rsid w:val="00F04A7F"/>
    <w:rsid w:val="00F05431"/>
    <w:rsid w:val="00F10D38"/>
    <w:rsid w:val="00F22061"/>
    <w:rsid w:val="00F22A1C"/>
    <w:rsid w:val="00F25E7F"/>
    <w:rsid w:val="00F25F54"/>
    <w:rsid w:val="00F266BD"/>
    <w:rsid w:val="00F3026F"/>
    <w:rsid w:val="00F32057"/>
    <w:rsid w:val="00F34F46"/>
    <w:rsid w:val="00F43788"/>
    <w:rsid w:val="00F51178"/>
    <w:rsid w:val="00F517C8"/>
    <w:rsid w:val="00F52500"/>
    <w:rsid w:val="00F5606A"/>
    <w:rsid w:val="00F57924"/>
    <w:rsid w:val="00F61E07"/>
    <w:rsid w:val="00F61E65"/>
    <w:rsid w:val="00F62398"/>
    <w:rsid w:val="00F63D9A"/>
    <w:rsid w:val="00F64420"/>
    <w:rsid w:val="00F65076"/>
    <w:rsid w:val="00F725DF"/>
    <w:rsid w:val="00F73A4F"/>
    <w:rsid w:val="00F745ED"/>
    <w:rsid w:val="00F75DBF"/>
    <w:rsid w:val="00F80B54"/>
    <w:rsid w:val="00F82763"/>
    <w:rsid w:val="00F8351F"/>
    <w:rsid w:val="00F842A5"/>
    <w:rsid w:val="00F86A15"/>
    <w:rsid w:val="00F87954"/>
    <w:rsid w:val="00F9159B"/>
    <w:rsid w:val="00F91FE2"/>
    <w:rsid w:val="00F930D1"/>
    <w:rsid w:val="00F93D8C"/>
    <w:rsid w:val="00F94736"/>
    <w:rsid w:val="00FA2978"/>
    <w:rsid w:val="00FA68C6"/>
    <w:rsid w:val="00FA7C8E"/>
    <w:rsid w:val="00FA7D07"/>
    <w:rsid w:val="00FB0174"/>
    <w:rsid w:val="00FB1292"/>
    <w:rsid w:val="00FB1EF8"/>
    <w:rsid w:val="00FB6004"/>
    <w:rsid w:val="00FC061E"/>
    <w:rsid w:val="00FC4FD9"/>
    <w:rsid w:val="00FC7909"/>
    <w:rsid w:val="00FD4667"/>
    <w:rsid w:val="00FE0054"/>
    <w:rsid w:val="00FE0586"/>
    <w:rsid w:val="00FE0B63"/>
    <w:rsid w:val="00FE4676"/>
    <w:rsid w:val="00FF0ADE"/>
    <w:rsid w:val="00FF0C78"/>
    <w:rsid w:val="00FF1D8B"/>
    <w:rsid w:val="00FF3860"/>
    <w:rsid w:val="00FF4240"/>
    <w:rsid w:val="00FF54F5"/>
    <w:rsid w:val="00FF582D"/>
    <w:rsid w:val="014F77FD"/>
    <w:rsid w:val="01924E2C"/>
    <w:rsid w:val="01BD7155"/>
    <w:rsid w:val="01C8709F"/>
    <w:rsid w:val="01CB6AEA"/>
    <w:rsid w:val="02B67D2C"/>
    <w:rsid w:val="03D65BA6"/>
    <w:rsid w:val="0449181A"/>
    <w:rsid w:val="044A1D23"/>
    <w:rsid w:val="04635791"/>
    <w:rsid w:val="048A5101"/>
    <w:rsid w:val="0491196B"/>
    <w:rsid w:val="04DA472B"/>
    <w:rsid w:val="05304E8D"/>
    <w:rsid w:val="0585676B"/>
    <w:rsid w:val="0620273A"/>
    <w:rsid w:val="064B0E32"/>
    <w:rsid w:val="067E64B8"/>
    <w:rsid w:val="06C07E9C"/>
    <w:rsid w:val="07241C75"/>
    <w:rsid w:val="072639A0"/>
    <w:rsid w:val="073D68E0"/>
    <w:rsid w:val="07BE618B"/>
    <w:rsid w:val="07F961CB"/>
    <w:rsid w:val="081F724D"/>
    <w:rsid w:val="083B1C9D"/>
    <w:rsid w:val="083C0673"/>
    <w:rsid w:val="083E4A78"/>
    <w:rsid w:val="08910757"/>
    <w:rsid w:val="08C90A87"/>
    <w:rsid w:val="08C9541A"/>
    <w:rsid w:val="09691011"/>
    <w:rsid w:val="097825B5"/>
    <w:rsid w:val="09784721"/>
    <w:rsid w:val="097C3834"/>
    <w:rsid w:val="097D43D3"/>
    <w:rsid w:val="09A12942"/>
    <w:rsid w:val="09EA17B6"/>
    <w:rsid w:val="0A1022FA"/>
    <w:rsid w:val="0A1259C1"/>
    <w:rsid w:val="0A59403A"/>
    <w:rsid w:val="0AA6526E"/>
    <w:rsid w:val="0AC30814"/>
    <w:rsid w:val="0ACC6F8A"/>
    <w:rsid w:val="0AE957B4"/>
    <w:rsid w:val="0B00739E"/>
    <w:rsid w:val="0B0F72C5"/>
    <w:rsid w:val="0B233575"/>
    <w:rsid w:val="0B453633"/>
    <w:rsid w:val="0B6D05B8"/>
    <w:rsid w:val="0C4A2238"/>
    <w:rsid w:val="0C8F3B55"/>
    <w:rsid w:val="0D150B42"/>
    <w:rsid w:val="0D973D58"/>
    <w:rsid w:val="0D9F2BF4"/>
    <w:rsid w:val="0DB24751"/>
    <w:rsid w:val="0DB93D8E"/>
    <w:rsid w:val="0DC30FA3"/>
    <w:rsid w:val="0DE047BF"/>
    <w:rsid w:val="0E1B0C80"/>
    <w:rsid w:val="0E313CB2"/>
    <w:rsid w:val="0EAE5F16"/>
    <w:rsid w:val="0EE12CA5"/>
    <w:rsid w:val="0F20638A"/>
    <w:rsid w:val="0F3E2235"/>
    <w:rsid w:val="0F4372C8"/>
    <w:rsid w:val="0F8671D0"/>
    <w:rsid w:val="0FAD4F92"/>
    <w:rsid w:val="0FCA0D53"/>
    <w:rsid w:val="0FD93D3D"/>
    <w:rsid w:val="0FEB191A"/>
    <w:rsid w:val="0FEC0DA5"/>
    <w:rsid w:val="1130644C"/>
    <w:rsid w:val="113A5835"/>
    <w:rsid w:val="11672002"/>
    <w:rsid w:val="11EE7BE1"/>
    <w:rsid w:val="1232520F"/>
    <w:rsid w:val="12591908"/>
    <w:rsid w:val="12D75E24"/>
    <w:rsid w:val="12E8751A"/>
    <w:rsid w:val="135F621C"/>
    <w:rsid w:val="141D7709"/>
    <w:rsid w:val="1476678A"/>
    <w:rsid w:val="14850D94"/>
    <w:rsid w:val="14A5693F"/>
    <w:rsid w:val="14A9258C"/>
    <w:rsid w:val="14AC5F02"/>
    <w:rsid w:val="153D55BD"/>
    <w:rsid w:val="157A0D68"/>
    <w:rsid w:val="15EE3AB6"/>
    <w:rsid w:val="16647707"/>
    <w:rsid w:val="16A13BE2"/>
    <w:rsid w:val="16A672C9"/>
    <w:rsid w:val="16AE3F18"/>
    <w:rsid w:val="16B81603"/>
    <w:rsid w:val="16CF1CC6"/>
    <w:rsid w:val="17072BAB"/>
    <w:rsid w:val="1711696E"/>
    <w:rsid w:val="172E7810"/>
    <w:rsid w:val="17794346"/>
    <w:rsid w:val="17ED6709"/>
    <w:rsid w:val="182E0082"/>
    <w:rsid w:val="186D1005"/>
    <w:rsid w:val="187359FA"/>
    <w:rsid w:val="18D96E56"/>
    <w:rsid w:val="196462BA"/>
    <w:rsid w:val="1977632C"/>
    <w:rsid w:val="197C1FCE"/>
    <w:rsid w:val="19A20EDD"/>
    <w:rsid w:val="19A526C7"/>
    <w:rsid w:val="1A3C0C0D"/>
    <w:rsid w:val="1A585BC2"/>
    <w:rsid w:val="1A5E6A00"/>
    <w:rsid w:val="1A8671EE"/>
    <w:rsid w:val="1A9262B2"/>
    <w:rsid w:val="1AD948C1"/>
    <w:rsid w:val="1AEE6276"/>
    <w:rsid w:val="1AF323D8"/>
    <w:rsid w:val="1AF62C69"/>
    <w:rsid w:val="1BC20C24"/>
    <w:rsid w:val="1BFD27A2"/>
    <w:rsid w:val="1C011678"/>
    <w:rsid w:val="1C2A7E30"/>
    <w:rsid w:val="1C53323F"/>
    <w:rsid w:val="1C756A7F"/>
    <w:rsid w:val="1C7D2593"/>
    <w:rsid w:val="1CE87118"/>
    <w:rsid w:val="1D1A5640"/>
    <w:rsid w:val="1D3D2686"/>
    <w:rsid w:val="1DBC59E3"/>
    <w:rsid w:val="1E587E3F"/>
    <w:rsid w:val="1E905A53"/>
    <w:rsid w:val="1E925EEC"/>
    <w:rsid w:val="1E9B5208"/>
    <w:rsid w:val="1EE25BAC"/>
    <w:rsid w:val="1F404FCB"/>
    <w:rsid w:val="1FD638A9"/>
    <w:rsid w:val="203043BA"/>
    <w:rsid w:val="203D6437"/>
    <w:rsid w:val="209605CD"/>
    <w:rsid w:val="20C032A2"/>
    <w:rsid w:val="21224CAB"/>
    <w:rsid w:val="21590E3E"/>
    <w:rsid w:val="219A17D7"/>
    <w:rsid w:val="21A33D9D"/>
    <w:rsid w:val="21DD798D"/>
    <w:rsid w:val="224358B9"/>
    <w:rsid w:val="224D32E0"/>
    <w:rsid w:val="22630AD3"/>
    <w:rsid w:val="22A868C7"/>
    <w:rsid w:val="22F05CD0"/>
    <w:rsid w:val="233D6CA2"/>
    <w:rsid w:val="235C1616"/>
    <w:rsid w:val="23BE63FD"/>
    <w:rsid w:val="23DF56EE"/>
    <w:rsid w:val="23E87558"/>
    <w:rsid w:val="23E87CEB"/>
    <w:rsid w:val="243D0021"/>
    <w:rsid w:val="24571916"/>
    <w:rsid w:val="24CC47F5"/>
    <w:rsid w:val="24D96407"/>
    <w:rsid w:val="25036463"/>
    <w:rsid w:val="257A093C"/>
    <w:rsid w:val="26730A93"/>
    <w:rsid w:val="26BC3ED1"/>
    <w:rsid w:val="26E03B86"/>
    <w:rsid w:val="26E5714E"/>
    <w:rsid w:val="27817123"/>
    <w:rsid w:val="2796417F"/>
    <w:rsid w:val="27EE79E5"/>
    <w:rsid w:val="28966B51"/>
    <w:rsid w:val="29036481"/>
    <w:rsid w:val="292732D4"/>
    <w:rsid w:val="29953889"/>
    <w:rsid w:val="29FC6BA5"/>
    <w:rsid w:val="2A3335CD"/>
    <w:rsid w:val="2A42741A"/>
    <w:rsid w:val="2B2D30AD"/>
    <w:rsid w:val="2B4E1731"/>
    <w:rsid w:val="2BA601B8"/>
    <w:rsid w:val="2BC34B28"/>
    <w:rsid w:val="2BC7066A"/>
    <w:rsid w:val="2C0223D5"/>
    <w:rsid w:val="2C745AAC"/>
    <w:rsid w:val="2D3C672F"/>
    <w:rsid w:val="2D8C0CA9"/>
    <w:rsid w:val="2E211F3C"/>
    <w:rsid w:val="2E3C2B38"/>
    <w:rsid w:val="2E5E719D"/>
    <w:rsid w:val="2E864028"/>
    <w:rsid w:val="2E8C6F1E"/>
    <w:rsid w:val="2E9A469C"/>
    <w:rsid w:val="2EA90039"/>
    <w:rsid w:val="2EE74166"/>
    <w:rsid w:val="2F1B3FB6"/>
    <w:rsid w:val="2F351546"/>
    <w:rsid w:val="319B301C"/>
    <w:rsid w:val="31DA3FA2"/>
    <w:rsid w:val="32262AF8"/>
    <w:rsid w:val="322724E2"/>
    <w:rsid w:val="323B56EB"/>
    <w:rsid w:val="325516D3"/>
    <w:rsid w:val="32C93B11"/>
    <w:rsid w:val="32DD5CE2"/>
    <w:rsid w:val="32FA66E7"/>
    <w:rsid w:val="330453E1"/>
    <w:rsid w:val="334D3046"/>
    <w:rsid w:val="33E84C6F"/>
    <w:rsid w:val="33EC754D"/>
    <w:rsid w:val="34094D01"/>
    <w:rsid w:val="344D638C"/>
    <w:rsid w:val="34623430"/>
    <w:rsid w:val="34A43D50"/>
    <w:rsid w:val="3522336A"/>
    <w:rsid w:val="35435FC4"/>
    <w:rsid w:val="356614A1"/>
    <w:rsid w:val="35991723"/>
    <w:rsid w:val="35A4308C"/>
    <w:rsid w:val="35BA3378"/>
    <w:rsid w:val="35E43AC5"/>
    <w:rsid w:val="365C138D"/>
    <w:rsid w:val="365D3297"/>
    <w:rsid w:val="365F2FA1"/>
    <w:rsid w:val="36B75F37"/>
    <w:rsid w:val="370C6480"/>
    <w:rsid w:val="373B1965"/>
    <w:rsid w:val="37464D41"/>
    <w:rsid w:val="376B5470"/>
    <w:rsid w:val="377F0339"/>
    <w:rsid w:val="378661DC"/>
    <w:rsid w:val="378D144C"/>
    <w:rsid w:val="37D912AF"/>
    <w:rsid w:val="37F938E1"/>
    <w:rsid w:val="38D70825"/>
    <w:rsid w:val="38F013CF"/>
    <w:rsid w:val="393E267E"/>
    <w:rsid w:val="394936CA"/>
    <w:rsid w:val="394C7A4E"/>
    <w:rsid w:val="39DF5E7B"/>
    <w:rsid w:val="3A5E02A9"/>
    <w:rsid w:val="3A9D5677"/>
    <w:rsid w:val="3ADE2055"/>
    <w:rsid w:val="3AFE15D6"/>
    <w:rsid w:val="3B0D436B"/>
    <w:rsid w:val="3B3D3804"/>
    <w:rsid w:val="3B586962"/>
    <w:rsid w:val="3B6D0393"/>
    <w:rsid w:val="3B8C4273"/>
    <w:rsid w:val="3BA42917"/>
    <w:rsid w:val="3C6456AE"/>
    <w:rsid w:val="3C6B3FB1"/>
    <w:rsid w:val="3CB54F9E"/>
    <w:rsid w:val="3CDE7AB5"/>
    <w:rsid w:val="3D574C1F"/>
    <w:rsid w:val="3D794907"/>
    <w:rsid w:val="3D9D3166"/>
    <w:rsid w:val="3DD1174B"/>
    <w:rsid w:val="3DD83EEF"/>
    <w:rsid w:val="3DF4772F"/>
    <w:rsid w:val="3E120575"/>
    <w:rsid w:val="3E7600FC"/>
    <w:rsid w:val="3EB05AE8"/>
    <w:rsid w:val="3F1359D9"/>
    <w:rsid w:val="3F181114"/>
    <w:rsid w:val="3F1B01D6"/>
    <w:rsid w:val="3F5D01DE"/>
    <w:rsid w:val="3F736F49"/>
    <w:rsid w:val="40330355"/>
    <w:rsid w:val="4074430D"/>
    <w:rsid w:val="408332FD"/>
    <w:rsid w:val="41173673"/>
    <w:rsid w:val="412D0429"/>
    <w:rsid w:val="416D025C"/>
    <w:rsid w:val="41890F84"/>
    <w:rsid w:val="41935AA8"/>
    <w:rsid w:val="41AF06E5"/>
    <w:rsid w:val="41CA51A9"/>
    <w:rsid w:val="420F5CD5"/>
    <w:rsid w:val="422D088A"/>
    <w:rsid w:val="4310260B"/>
    <w:rsid w:val="43F6136F"/>
    <w:rsid w:val="444F32CA"/>
    <w:rsid w:val="445F05C2"/>
    <w:rsid w:val="44A67551"/>
    <w:rsid w:val="4522752F"/>
    <w:rsid w:val="45EB7527"/>
    <w:rsid w:val="4620416D"/>
    <w:rsid w:val="46806F6C"/>
    <w:rsid w:val="46895B7E"/>
    <w:rsid w:val="46971B71"/>
    <w:rsid w:val="46B85657"/>
    <w:rsid w:val="47230359"/>
    <w:rsid w:val="47976D64"/>
    <w:rsid w:val="4815401C"/>
    <w:rsid w:val="483B43E5"/>
    <w:rsid w:val="48A81E74"/>
    <w:rsid w:val="49061368"/>
    <w:rsid w:val="49E20CC0"/>
    <w:rsid w:val="49E6074E"/>
    <w:rsid w:val="4A187B73"/>
    <w:rsid w:val="4A7A3050"/>
    <w:rsid w:val="4A8357D3"/>
    <w:rsid w:val="4ACC757D"/>
    <w:rsid w:val="4AD75231"/>
    <w:rsid w:val="4B070FE7"/>
    <w:rsid w:val="4BE5166F"/>
    <w:rsid w:val="4C0F41D3"/>
    <w:rsid w:val="4C2279FA"/>
    <w:rsid w:val="4C5335A6"/>
    <w:rsid w:val="4CCC055B"/>
    <w:rsid w:val="4D840EA6"/>
    <w:rsid w:val="4DBC1027"/>
    <w:rsid w:val="4E217075"/>
    <w:rsid w:val="4E2E13A4"/>
    <w:rsid w:val="4E4978FA"/>
    <w:rsid w:val="4E4B5934"/>
    <w:rsid w:val="4E584577"/>
    <w:rsid w:val="4E707357"/>
    <w:rsid w:val="4E811D9C"/>
    <w:rsid w:val="4ECB62BD"/>
    <w:rsid w:val="4F1E65B6"/>
    <w:rsid w:val="4F385F62"/>
    <w:rsid w:val="4F637B8D"/>
    <w:rsid w:val="4F7C2662"/>
    <w:rsid w:val="4F8A7BC1"/>
    <w:rsid w:val="4F8B7540"/>
    <w:rsid w:val="4FC03BB7"/>
    <w:rsid w:val="4FF36A9A"/>
    <w:rsid w:val="50010D18"/>
    <w:rsid w:val="5054412B"/>
    <w:rsid w:val="5070182A"/>
    <w:rsid w:val="509E60CE"/>
    <w:rsid w:val="51350182"/>
    <w:rsid w:val="514A7DDE"/>
    <w:rsid w:val="51D90B7F"/>
    <w:rsid w:val="5242311F"/>
    <w:rsid w:val="527A50A7"/>
    <w:rsid w:val="5284158D"/>
    <w:rsid w:val="52CD6292"/>
    <w:rsid w:val="53A72CFD"/>
    <w:rsid w:val="53B848D6"/>
    <w:rsid w:val="541A5C3D"/>
    <w:rsid w:val="543D7029"/>
    <w:rsid w:val="54664225"/>
    <w:rsid w:val="54B424A6"/>
    <w:rsid w:val="553852FD"/>
    <w:rsid w:val="554F3275"/>
    <w:rsid w:val="55724474"/>
    <w:rsid w:val="55B84A33"/>
    <w:rsid w:val="55CF657E"/>
    <w:rsid w:val="55E157DD"/>
    <w:rsid w:val="56C20B43"/>
    <w:rsid w:val="57B86E53"/>
    <w:rsid w:val="57C97459"/>
    <w:rsid w:val="58851615"/>
    <w:rsid w:val="58BF552E"/>
    <w:rsid w:val="58F3018E"/>
    <w:rsid w:val="58F33FF8"/>
    <w:rsid w:val="59C559E9"/>
    <w:rsid w:val="5A303418"/>
    <w:rsid w:val="5AD31898"/>
    <w:rsid w:val="5AF92E38"/>
    <w:rsid w:val="5B061EEA"/>
    <w:rsid w:val="5B0B5357"/>
    <w:rsid w:val="5BCB373A"/>
    <w:rsid w:val="5C09332D"/>
    <w:rsid w:val="5C2241EA"/>
    <w:rsid w:val="5C427612"/>
    <w:rsid w:val="5D0B72B7"/>
    <w:rsid w:val="5D2F3E81"/>
    <w:rsid w:val="5D3A3002"/>
    <w:rsid w:val="5D450C73"/>
    <w:rsid w:val="5D9D650F"/>
    <w:rsid w:val="5DC60B7B"/>
    <w:rsid w:val="5DE75350"/>
    <w:rsid w:val="5DF632D6"/>
    <w:rsid w:val="5E226469"/>
    <w:rsid w:val="5E841B35"/>
    <w:rsid w:val="5EEA4405"/>
    <w:rsid w:val="5F436D3B"/>
    <w:rsid w:val="5F7807E8"/>
    <w:rsid w:val="5F8F1CCA"/>
    <w:rsid w:val="5FD93481"/>
    <w:rsid w:val="5FF45A39"/>
    <w:rsid w:val="600A145C"/>
    <w:rsid w:val="60951E5E"/>
    <w:rsid w:val="60F92151"/>
    <w:rsid w:val="61637845"/>
    <w:rsid w:val="619A3CD5"/>
    <w:rsid w:val="621517BC"/>
    <w:rsid w:val="62590A51"/>
    <w:rsid w:val="628840AC"/>
    <w:rsid w:val="62B4404D"/>
    <w:rsid w:val="62E4555A"/>
    <w:rsid w:val="635316CE"/>
    <w:rsid w:val="636662E6"/>
    <w:rsid w:val="63B46F70"/>
    <w:rsid w:val="63DD2BD2"/>
    <w:rsid w:val="64744580"/>
    <w:rsid w:val="64B2485B"/>
    <w:rsid w:val="65DC4FC3"/>
    <w:rsid w:val="661D1CBA"/>
    <w:rsid w:val="66653E97"/>
    <w:rsid w:val="6782583F"/>
    <w:rsid w:val="67A8253D"/>
    <w:rsid w:val="67EE6C5E"/>
    <w:rsid w:val="6896659C"/>
    <w:rsid w:val="68AF6535"/>
    <w:rsid w:val="68F22FB3"/>
    <w:rsid w:val="69040F22"/>
    <w:rsid w:val="690B0336"/>
    <w:rsid w:val="690D529F"/>
    <w:rsid w:val="69404255"/>
    <w:rsid w:val="69D55525"/>
    <w:rsid w:val="69F12C12"/>
    <w:rsid w:val="6A0B6749"/>
    <w:rsid w:val="6A9D1CEF"/>
    <w:rsid w:val="6B391FC4"/>
    <w:rsid w:val="6B6415CC"/>
    <w:rsid w:val="6B725C27"/>
    <w:rsid w:val="6BAF252C"/>
    <w:rsid w:val="6BC76EEF"/>
    <w:rsid w:val="6BF71620"/>
    <w:rsid w:val="6C680E9F"/>
    <w:rsid w:val="6CD07E03"/>
    <w:rsid w:val="6CF20C90"/>
    <w:rsid w:val="6D0C60D2"/>
    <w:rsid w:val="6E617936"/>
    <w:rsid w:val="6E64080E"/>
    <w:rsid w:val="6E8B3884"/>
    <w:rsid w:val="6EF374CD"/>
    <w:rsid w:val="6F363068"/>
    <w:rsid w:val="6F5D42C0"/>
    <w:rsid w:val="6F7C126C"/>
    <w:rsid w:val="6FBA5051"/>
    <w:rsid w:val="6FEA5E6C"/>
    <w:rsid w:val="70195AE2"/>
    <w:rsid w:val="70233379"/>
    <w:rsid w:val="7066765B"/>
    <w:rsid w:val="706D7EFF"/>
    <w:rsid w:val="70900C9D"/>
    <w:rsid w:val="70D00331"/>
    <w:rsid w:val="71D97BD7"/>
    <w:rsid w:val="71DC5AD4"/>
    <w:rsid w:val="721E456B"/>
    <w:rsid w:val="72817588"/>
    <w:rsid w:val="72BB1C50"/>
    <w:rsid w:val="72BF37AA"/>
    <w:rsid w:val="72CE59A2"/>
    <w:rsid w:val="72F71CE0"/>
    <w:rsid w:val="73C61AAF"/>
    <w:rsid w:val="7405578E"/>
    <w:rsid w:val="74245921"/>
    <w:rsid w:val="74994F19"/>
    <w:rsid w:val="75332BD9"/>
    <w:rsid w:val="75511F93"/>
    <w:rsid w:val="755702EC"/>
    <w:rsid w:val="755A18A0"/>
    <w:rsid w:val="756D3404"/>
    <w:rsid w:val="75A7007A"/>
    <w:rsid w:val="75F30DB1"/>
    <w:rsid w:val="76576F7D"/>
    <w:rsid w:val="765D4BDE"/>
    <w:rsid w:val="7672386E"/>
    <w:rsid w:val="76987597"/>
    <w:rsid w:val="76A36ECC"/>
    <w:rsid w:val="76FB50AD"/>
    <w:rsid w:val="77053749"/>
    <w:rsid w:val="77191DA4"/>
    <w:rsid w:val="77B169C2"/>
    <w:rsid w:val="77E236CF"/>
    <w:rsid w:val="781711AB"/>
    <w:rsid w:val="788F616F"/>
    <w:rsid w:val="78F51F09"/>
    <w:rsid w:val="7902696A"/>
    <w:rsid w:val="791E38B3"/>
    <w:rsid w:val="795E3DD1"/>
    <w:rsid w:val="79B03E9D"/>
    <w:rsid w:val="79F06ECD"/>
    <w:rsid w:val="7A9859BB"/>
    <w:rsid w:val="7B15385D"/>
    <w:rsid w:val="7B4A229F"/>
    <w:rsid w:val="7B784258"/>
    <w:rsid w:val="7BBA6ECC"/>
    <w:rsid w:val="7BD067C2"/>
    <w:rsid w:val="7BFF4C55"/>
    <w:rsid w:val="7C72542F"/>
    <w:rsid w:val="7C7672D7"/>
    <w:rsid w:val="7C792C1C"/>
    <w:rsid w:val="7C8C4E16"/>
    <w:rsid w:val="7CBF1C41"/>
    <w:rsid w:val="7CC9772B"/>
    <w:rsid w:val="7D7168E4"/>
    <w:rsid w:val="7D7F4EE0"/>
    <w:rsid w:val="7D943F20"/>
    <w:rsid w:val="7EA80065"/>
    <w:rsid w:val="7EEC3440"/>
    <w:rsid w:val="7F277C3D"/>
    <w:rsid w:val="7F307FA6"/>
    <w:rsid w:val="7F587F69"/>
    <w:rsid w:val="7FBA27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7"/>
    <w:qFormat/>
    <w:uiPriority w:val="0"/>
    <w:pPr>
      <w:keepNext/>
      <w:keepLines/>
      <w:spacing w:before="340" w:beforeLines="0" w:after="330" w:afterLines="0" w:line="578" w:lineRule="auto"/>
      <w:outlineLvl w:val="0"/>
    </w:pPr>
    <w:rPr>
      <w:b/>
      <w:bCs/>
      <w:kern w:val="44"/>
      <w:sz w:val="44"/>
      <w:szCs w:val="44"/>
    </w:rPr>
  </w:style>
  <w:style w:type="paragraph" w:styleId="4">
    <w:name w:val="heading 2"/>
    <w:basedOn w:val="1"/>
    <w:next w:val="1"/>
    <w:link w:val="38"/>
    <w:qFormat/>
    <w:uiPriority w:val="0"/>
    <w:pPr>
      <w:keepNext/>
      <w:keepLines/>
      <w:spacing w:before="260" w:beforeLines="0" w:after="260" w:afterLines="0" w:line="416" w:lineRule="auto"/>
      <w:outlineLvl w:val="1"/>
    </w:pPr>
    <w:rPr>
      <w:rFonts w:ascii="Cambria" w:hAnsi="Cambria"/>
      <w:b/>
      <w:bCs/>
      <w:kern w:val="0"/>
      <w:sz w:val="32"/>
      <w:szCs w:val="32"/>
    </w:rPr>
  </w:style>
  <w:style w:type="paragraph" w:styleId="5">
    <w:name w:val="heading 3"/>
    <w:basedOn w:val="1"/>
    <w:next w:val="1"/>
    <w:link w:val="39"/>
    <w:qFormat/>
    <w:uiPriority w:val="0"/>
    <w:pPr>
      <w:keepNext/>
      <w:keepLines/>
      <w:spacing w:before="260" w:beforeLines="0" w:after="260" w:afterLines="0" w:line="416" w:lineRule="auto"/>
      <w:outlineLvl w:val="2"/>
    </w:pPr>
    <w:rPr>
      <w:b/>
      <w:bCs/>
      <w:sz w:val="32"/>
      <w:szCs w:val="32"/>
    </w:rPr>
  </w:style>
  <w:style w:type="paragraph" w:styleId="6">
    <w:name w:val="heading 4"/>
    <w:basedOn w:val="1"/>
    <w:next w:val="1"/>
    <w:qFormat/>
    <w:uiPriority w:val="0"/>
    <w:pPr>
      <w:widowControl/>
      <w:spacing w:before="100" w:beforeLines="0" w:beforeAutospacing="1" w:after="100" w:afterLines="0" w:afterAutospacing="1"/>
      <w:jc w:val="left"/>
      <w:outlineLvl w:val="3"/>
    </w:pPr>
    <w:rPr>
      <w:rFonts w:ascii="宋体" w:hAnsi="宋体" w:cs="宋体"/>
      <w:b/>
      <w:bCs/>
      <w:kern w:val="0"/>
      <w:sz w:val="24"/>
    </w:rPr>
  </w:style>
  <w:style w:type="paragraph" w:styleId="7">
    <w:name w:val="heading 5"/>
    <w:basedOn w:val="1"/>
    <w:next w:val="1"/>
    <w:qFormat/>
    <w:uiPriority w:val="0"/>
    <w:pPr>
      <w:widowControl/>
      <w:spacing w:before="100" w:beforeLines="0" w:beforeAutospacing="1" w:after="100" w:afterLines="0" w:afterAutospacing="1"/>
      <w:jc w:val="left"/>
      <w:outlineLvl w:val="4"/>
    </w:pPr>
    <w:rPr>
      <w:rFonts w:ascii="宋体" w:hAnsi="宋体" w:cs="宋体"/>
      <w:b/>
      <w:bCs/>
      <w:kern w:val="0"/>
      <w:sz w:val="20"/>
      <w:szCs w:val="20"/>
    </w:rPr>
  </w:style>
  <w:style w:type="paragraph" w:styleId="8">
    <w:name w:val="heading 9"/>
    <w:basedOn w:val="1"/>
    <w:next w:val="1"/>
    <w:link w:val="40"/>
    <w:qFormat/>
    <w:uiPriority w:val="0"/>
    <w:pPr>
      <w:keepNext/>
      <w:keepLines/>
      <w:spacing w:before="240" w:after="64" w:line="320" w:lineRule="auto"/>
      <w:outlineLvl w:val="8"/>
    </w:pPr>
    <w:rPr>
      <w:rFonts w:ascii="等线 Light" w:hAnsi="等线 Light" w:eastAsia="等线 Light"/>
      <w:szCs w:val="21"/>
    </w:rPr>
  </w:style>
  <w:style w:type="character" w:default="1" w:styleId="33">
    <w:name w:val="Default Paragraph Font"/>
    <w:semiHidden/>
    <w:qFormat/>
    <w:uiPriority w:val="0"/>
  </w:style>
  <w:style w:type="table" w:default="1" w:styleId="3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9">
    <w:name w:val="toc 7"/>
    <w:basedOn w:val="1"/>
    <w:next w:val="1"/>
    <w:unhideWhenUsed/>
    <w:qFormat/>
    <w:uiPriority w:val="39"/>
    <w:pPr>
      <w:ind w:left="2520" w:leftChars="1200"/>
    </w:pPr>
    <w:rPr>
      <w:rFonts w:ascii="等线" w:hAnsi="等线" w:eastAsia="等线" w:cs="Times New Roman"/>
      <w:szCs w:val="22"/>
    </w:rPr>
  </w:style>
  <w:style w:type="paragraph" w:styleId="10">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1">
    <w:name w:val="annotation text"/>
    <w:basedOn w:val="1"/>
    <w:link w:val="41"/>
    <w:qFormat/>
    <w:uiPriority w:val="99"/>
    <w:pPr>
      <w:jc w:val="left"/>
    </w:pPr>
  </w:style>
  <w:style w:type="paragraph" w:styleId="12">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3">
    <w:name w:val="toc 5"/>
    <w:basedOn w:val="1"/>
    <w:next w:val="1"/>
    <w:unhideWhenUsed/>
    <w:qFormat/>
    <w:uiPriority w:val="39"/>
    <w:pPr>
      <w:ind w:left="1680" w:leftChars="800"/>
    </w:pPr>
    <w:rPr>
      <w:rFonts w:ascii="等线" w:hAnsi="等线" w:eastAsia="等线" w:cs="Times New Roman"/>
      <w:szCs w:val="22"/>
    </w:rPr>
  </w:style>
  <w:style w:type="paragraph" w:styleId="14">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15">
    <w:name w:val="Plain Text"/>
    <w:basedOn w:val="1"/>
    <w:qFormat/>
    <w:uiPriority w:val="0"/>
    <w:rPr>
      <w:rFonts w:ascii="Courier New" w:hAnsi="Courier New"/>
      <w:szCs w:val="20"/>
    </w:rPr>
  </w:style>
  <w:style w:type="paragraph" w:styleId="16">
    <w:name w:val="toc 8"/>
    <w:basedOn w:val="1"/>
    <w:next w:val="1"/>
    <w:unhideWhenUsed/>
    <w:qFormat/>
    <w:uiPriority w:val="39"/>
    <w:pPr>
      <w:ind w:left="2940" w:leftChars="1400"/>
    </w:pPr>
    <w:rPr>
      <w:rFonts w:ascii="等线" w:hAnsi="等线" w:eastAsia="等线" w:cs="Times New Roman"/>
      <w:szCs w:val="22"/>
    </w:rPr>
  </w:style>
  <w:style w:type="paragraph" w:styleId="17">
    <w:name w:val="Date"/>
    <w:basedOn w:val="1"/>
    <w:next w:val="1"/>
    <w:link w:val="42"/>
    <w:qFormat/>
    <w:uiPriority w:val="0"/>
    <w:pPr>
      <w:ind w:left="100" w:leftChars="2500"/>
    </w:pPr>
  </w:style>
  <w:style w:type="paragraph" w:styleId="18">
    <w:name w:val="Body Text Indent 2"/>
    <w:basedOn w:val="1"/>
    <w:qFormat/>
    <w:uiPriority w:val="0"/>
    <w:pPr>
      <w:widowControl/>
      <w:spacing w:line="480" w:lineRule="auto"/>
      <w:ind w:firstLine="560"/>
      <w:jc w:val="left"/>
    </w:pPr>
    <w:rPr>
      <w:kern w:val="0"/>
      <w:sz w:val="28"/>
    </w:rPr>
  </w:style>
  <w:style w:type="paragraph" w:styleId="19">
    <w:name w:val="Balloon Text"/>
    <w:basedOn w:val="1"/>
    <w:link w:val="43"/>
    <w:qFormat/>
    <w:uiPriority w:val="0"/>
    <w:rPr>
      <w:sz w:val="18"/>
      <w:szCs w:val="18"/>
    </w:rPr>
  </w:style>
  <w:style w:type="paragraph" w:styleId="20">
    <w:name w:val="footer"/>
    <w:basedOn w:val="1"/>
    <w:qFormat/>
    <w:uiPriority w:val="99"/>
    <w:pPr>
      <w:tabs>
        <w:tab w:val="center" w:pos="4153"/>
        <w:tab w:val="right" w:pos="8306"/>
      </w:tabs>
      <w:snapToGrid w:val="0"/>
      <w:jc w:val="left"/>
    </w:pPr>
    <w:rPr>
      <w:sz w:val="18"/>
      <w:szCs w:val="18"/>
    </w:rPr>
  </w:style>
  <w:style w:type="paragraph" w:styleId="2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keepNext w:val="0"/>
      <w:keepLines w:val="0"/>
      <w:spacing w:before="120" w:after="120" w:line="240" w:lineRule="auto"/>
      <w:jc w:val="left"/>
      <w:outlineLvl w:val="9"/>
    </w:pPr>
    <w:rPr>
      <w:caps/>
      <w:kern w:val="2"/>
      <w:sz w:val="20"/>
      <w:szCs w:val="20"/>
    </w:rPr>
  </w:style>
  <w:style w:type="paragraph" w:styleId="23">
    <w:name w:val="toc 4"/>
    <w:basedOn w:val="1"/>
    <w:next w:val="1"/>
    <w:unhideWhenUsed/>
    <w:qFormat/>
    <w:uiPriority w:val="39"/>
    <w:pPr>
      <w:ind w:left="1260" w:leftChars="600"/>
    </w:pPr>
    <w:rPr>
      <w:rFonts w:ascii="等线" w:hAnsi="等线" w:eastAsia="等线" w:cs="Times New Roman"/>
      <w:szCs w:val="22"/>
    </w:rPr>
  </w:style>
  <w:style w:type="paragraph" w:styleId="24">
    <w:name w:val="Subtitle"/>
    <w:basedOn w:val="1"/>
    <w:link w:val="44"/>
    <w:qFormat/>
    <w:uiPriority w:val="0"/>
    <w:pPr>
      <w:widowControl/>
      <w:jc w:val="center"/>
    </w:pPr>
    <w:rPr>
      <w:kern w:val="0"/>
      <w:sz w:val="20"/>
      <w:u w:val="single"/>
      <w:lang w:eastAsia="en-US"/>
    </w:rPr>
  </w:style>
  <w:style w:type="paragraph" w:styleId="25">
    <w:name w:val="toc 6"/>
    <w:basedOn w:val="1"/>
    <w:next w:val="1"/>
    <w:unhideWhenUsed/>
    <w:qFormat/>
    <w:uiPriority w:val="39"/>
    <w:pPr>
      <w:ind w:left="2100" w:leftChars="1000"/>
    </w:pPr>
    <w:rPr>
      <w:rFonts w:ascii="等线" w:hAnsi="等线" w:eastAsia="等线" w:cs="Times New Roman"/>
      <w:szCs w:val="22"/>
    </w:rPr>
  </w:style>
  <w:style w:type="paragraph" w:styleId="26">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27">
    <w:name w:val="toc 9"/>
    <w:basedOn w:val="1"/>
    <w:next w:val="1"/>
    <w:unhideWhenUsed/>
    <w:qFormat/>
    <w:uiPriority w:val="39"/>
    <w:pPr>
      <w:ind w:left="3360" w:leftChars="1600"/>
    </w:pPr>
    <w:rPr>
      <w:rFonts w:ascii="等线" w:hAnsi="等线" w:eastAsia="等线" w:cs="Times New Roman"/>
      <w:szCs w:val="22"/>
    </w:rPr>
  </w:style>
  <w:style w:type="paragraph" w:styleId="28">
    <w:name w:val="Body Text 2"/>
    <w:basedOn w:val="1"/>
    <w:qFormat/>
    <w:uiPriority w:val="0"/>
    <w:rPr>
      <w:i/>
      <w:iCs/>
      <w:sz w:val="26"/>
    </w:rPr>
  </w:style>
  <w:style w:type="paragraph" w:styleId="29">
    <w:name w:val="Normal (Web)"/>
    <w:basedOn w:val="1"/>
    <w:qFormat/>
    <w:uiPriority w:val="0"/>
    <w:rPr>
      <w:sz w:val="24"/>
    </w:rPr>
  </w:style>
  <w:style w:type="paragraph" w:styleId="30">
    <w:name w:val="annotation subject"/>
    <w:basedOn w:val="11"/>
    <w:next w:val="11"/>
    <w:link w:val="45"/>
    <w:qFormat/>
    <w:uiPriority w:val="0"/>
    <w:rPr>
      <w:b/>
      <w:bCs/>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qFormat/>
    <w:uiPriority w:val="0"/>
  </w:style>
  <w:style w:type="character" w:styleId="35">
    <w:name w:val="Hyperlink"/>
    <w:qFormat/>
    <w:uiPriority w:val="99"/>
    <w:rPr>
      <w:color w:val="0000FF"/>
      <w:u w:val="single"/>
    </w:rPr>
  </w:style>
  <w:style w:type="character" w:styleId="36">
    <w:name w:val="annotation reference"/>
    <w:qFormat/>
    <w:uiPriority w:val="0"/>
    <w:rPr>
      <w:sz w:val="21"/>
      <w:szCs w:val="21"/>
    </w:rPr>
  </w:style>
  <w:style w:type="character" w:customStyle="1" w:styleId="37">
    <w:name w:val="标题 1 Char"/>
    <w:link w:val="3"/>
    <w:qFormat/>
    <w:uiPriority w:val="0"/>
    <w:rPr>
      <w:b/>
      <w:bCs/>
      <w:kern w:val="44"/>
      <w:sz w:val="44"/>
      <w:szCs w:val="44"/>
    </w:rPr>
  </w:style>
  <w:style w:type="character" w:customStyle="1" w:styleId="38">
    <w:name w:val="标题 2 Char"/>
    <w:link w:val="4"/>
    <w:qFormat/>
    <w:uiPriority w:val="0"/>
    <w:rPr>
      <w:rFonts w:ascii="Cambria" w:hAnsi="Cambria"/>
      <w:b/>
      <w:bCs/>
      <w:sz w:val="32"/>
      <w:szCs w:val="32"/>
    </w:rPr>
  </w:style>
  <w:style w:type="character" w:customStyle="1" w:styleId="39">
    <w:name w:val="标题 3 Char"/>
    <w:link w:val="5"/>
    <w:qFormat/>
    <w:uiPriority w:val="0"/>
    <w:rPr>
      <w:b/>
      <w:bCs/>
      <w:kern w:val="2"/>
      <w:sz w:val="32"/>
      <w:szCs w:val="32"/>
    </w:rPr>
  </w:style>
  <w:style w:type="character" w:customStyle="1" w:styleId="40">
    <w:name w:val="标题 9 Char"/>
    <w:link w:val="8"/>
    <w:semiHidden/>
    <w:qFormat/>
    <w:uiPriority w:val="0"/>
    <w:rPr>
      <w:rFonts w:ascii="等线 Light" w:hAnsi="等线 Light" w:eastAsia="等线 Light" w:cs="Times New Roman"/>
      <w:kern w:val="2"/>
      <w:sz w:val="21"/>
      <w:szCs w:val="21"/>
    </w:rPr>
  </w:style>
  <w:style w:type="character" w:customStyle="1" w:styleId="41">
    <w:name w:val="批注文字 Char"/>
    <w:link w:val="11"/>
    <w:qFormat/>
    <w:uiPriority w:val="99"/>
    <w:rPr>
      <w:kern w:val="2"/>
      <w:sz w:val="21"/>
      <w:szCs w:val="24"/>
    </w:rPr>
  </w:style>
  <w:style w:type="character" w:customStyle="1" w:styleId="42">
    <w:name w:val="日期 Char"/>
    <w:link w:val="17"/>
    <w:qFormat/>
    <w:uiPriority w:val="0"/>
    <w:rPr>
      <w:kern w:val="2"/>
      <w:sz w:val="21"/>
      <w:szCs w:val="24"/>
    </w:rPr>
  </w:style>
  <w:style w:type="character" w:customStyle="1" w:styleId="43">
    <w:name w:val="批注框文本 Char"/>
    <w:link w:val="19"/>
    <w:qFormat/>
    <w:uiPriority w:val="0"/>
    <w:rPr>
      <w:kern w:val="2"/>
      <w:sz w:val="18"/>
      <w:szCs w:val="18"/>
    </w:rPr>
  </w:style>
  <w:style w:type="character" w:customStyle="1" w:styleId="44">
    <w:name w:val="副标题 Char"/>
    <w:link w:val="24"/>
    <w:qFormat/>
    <w:uiPriority w:val="0"/>
    <w:rPr>
      <w:szCs w:val="24"/>
      <w:u w:val="single"/>
      <w:lang w:eastAsia="en-US"/>
    </w:rPr>
  </w:style>
  <w:style w:type="character" w:customStyle="1" w:styleId="45">
    <w:name w:val="批注主题 Char"/>
    <w:link w:val="30"/>
    <w:qFormat/>
    <w:uiPriority w:val="0"/>
    <w:rPr>
      <w:b/>
      <w:bCs/>
      <w:kern w:val="2"/>
      <w:sz w:val="21"/>
      <w:szCs w:val="24"/>
    </w:rPr>
  </w:style>
  <w:style w:type="paragraph" w:customStyle="1" w:styleId="46">
    <w:name w:val="样式 标题 3 + (中文) 黑体 小四 非加粗 段前: 7.8 磅 段后: 0 磅 行距: 固定值 20 磅"/>
    <w:basedOn w:val="5"/>
    <w:qFormat/>
    <w:uiPriority w:val="0"/>
    <w:pPr>
      <w:numPr>
        <w:ilvl w:val="0"/>
        <w:numId w:val="0"/>
      </w:numPr>
      <w:spacing w:before="0" w:after="0" w:line="400" w:lineRule="exact"/>
    </w:pPr>
    <w:rPr>
      <w:rFonts w:eastAsia="黑体" w:cs="宋体"/>
      <w:b w:val="0"/>
      <w:sz w:val="24"/>
    </w:rPr>
  </w:style>
  <w:style w:type="paragraph" w:customStyle="1" w:styleId="47">
    <w:name w:val="Normal_4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48">
    <w:name w:val="_Style 37"/>
    <w:unhideWhenUsed/>
    <w:qFormat/>
    <w:uiPriority w:val="99"/>
    <w:rPr>
      <w:rFonts w:ascii="Times New Roman" w:hAnsi="Times New Roman" w:eastAsia="宋体" w:cs="Times New Roman"/>
      <w:kern w:val="2"/>
      <w:sz w:val="21"/>
      <w:szCs w:val="24"/>
      <w:lang w:val="en-US" w:eastAsia="zh-CN" w:bidi="ar-SA"/>
    </w:rPr>
  </w:style>
  <w:style w:type="paragraph" w:customStyle="1" w:styleId="49">
    <w:name w:val="Table Paragraph"/>
    <w:basedOn w:val="1"/>
    <w:qFormat/>
    <w:uiPriority w:val="99"/>
    <w:pPr>
      <w:autoSpaceDE w:val="0"/>
      <w:autoSpaceDN w:val="0"/>
      <w:jc w:val="left"/>
    </w:pPr>
    <w:rPr>
      <w:rFonts w:ascii="微软雅黑" w:hAnsi="微软雅黑" w:eastAsia="微软雅黑" w:cs="微软雅黑"/>
      <w:kern w:val="0"/>
      <w:sz w:val="22"/>
      <w:szCs w:val="22"/>
      <w:lang w:val="zh-CN" w:bidi="zh-CN"/>
    </w:rPr>
  </w:style>
  <w:style w:type="paragraph" w:customStyle="1" w:styleId="50">
    <w:name w:val="_Style 10"/>
    <w:basedOn w:val="3"/>
    <w:next w:val="1"/>
    <w:qFormat/>
    <w:uiPriority w:val="39"/>
    <w:pPr>
      <w:widowControl/>
      <w:spacing w:before="480" w:beforeLines="0" w:after="0" w:afterLines="0" w:line="276" w:lineRule="auto"/>
      <w:jc w:val="left"/>
      <w:outlineLvl w:val="9"/>
    </w:pPr>
    <w:rPr>
      <w:rFonts w:ascii="Cambria" w:hAnsi="Cambria"/>
      <w:color w:val="365F91"/>
      <w:kern w:val="0"/>
      <w:sz w:val="28"/>
      <w:szCs w:val="28"/>
    </w:rPr>
  </w:style>
  <w:style w:type="paragraph" w:customStyle="1" w:styleId="51">
    <w:name w:val="Normal_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2">
    <w:name w:val="Normal_12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3">
    <w:name w:val="Normal_3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4">
    <w:name w:val="列出段落1"/>
    <w:basedOn w:val="1"/>
    <w:qFormat/>
    <w:uiPriority w:val="0"/>
    <w:pPr>
      <w:ind w:firstLine="420" w:firstLineChars="200"/>
    </w:pPr>
    <w:rPr>
      <w:sz w:val="28"/>
      <w:szCs w:val="28"/>
    </w:rPr>
  </w:style>
  <w:style w:type="paragraph" w:customStyle="1" w:styleId="55">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56">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7">
    <w:name w:val="Normal_1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8">
    <w:name w:val="Normal_13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59">
    <w:name w:val="Normal_13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0">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1">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62">
    <w:name w:val="Normal_13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64">
    <w:name w:val="Normal_12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5">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66">
    <w:name w:val="正  文"/>
    <w:basedOn w:val="1"/>
    <w:qFormat/>
    <w:uiPriority w:val="0"/>
    <w:pPr>
      <w:spacing w:line="360" w:lineRule="auto"/>
      <w:ind w:firstLine="200" w:firstLineChars="200"/>
    </w:pPr>
    <w:rPr>
      <w:rFonts w:ascii="宋体" w:hAnsi="Calibri"/>
      <w:sz w:val="24"/>
    </w:rPr>
  </w:style>
  <w:style w:type="paragraph" w:customStyle="1" w:styleId="67">
    <w:name w:val="Normal_12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68">
    <w:name w:val="List Paragraph"/>
    <w:basedOn w:val="1"/>
    <w:qFormat/>
    <w:uiPriority w:val="1"/>
    <w:pPr>
      <w:autoSpaceDE w:val="0"/>
      <w:autoSpaceDN w:val="0"/>
      <w:ind w:left="702" w:firstLine="420"/>
      <w:jc w:val="left"/>
    </w:pPr>
    <w:rPr>
      <w:rFonts w:ascii="宋体" w:hAnsi="宋体" w:cs="宋体"/>
      <w:kern w:val="0"/>
      <w:sz w:val="22"/>
      <w:szCs w:val="22"/>
      <w:lang w:val="zh-CN" w:bidi="zh-CN"/>
    </w:rPr>
  </w:style>
  <w:style w:type="paragraph" w:customStyle="1" w:styleId="69">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0">
    <w:name w:val="header"/>
    <w:basedOn w:val="1"/>
    <w:qFormat/>
    <w:uiPriority w:val="0"/>
    <w:pPr>
      <w:pBdr>
        <w:bottom w:val="single" w:color="auto" w:sz="6" w:space="1"/>
      </w:pBdr>
      <w:tabs>
        <w:tab w:val="center" w:pos="4153"/>
        <w:tab w:val="right" w:pos="8306"/>
      </w:tabs>
      <w:snapToGrid w:val="0"/>
      <w:jc w:val="center"/>
    </w:pPr>
    <w:rPr>
      <w:rFonts w:eastAsia="等线"/>
      <w:sz w:val="18"/>
      <w:szCs w:val="20"/>
    </w:rPr>
  </w:style>
  <w:style w:type="paragraph" w:customStyle="1" w:styleId="71">
    <w:name w:val="Normal_1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2">
    <w:name w:val="Normal_12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73">
    <w:name w:val="Normal_131"/>
    <w:qFormat/>
    <w:uiPriority w:val="0"/>
    <w:pPr>
      <w:spacing w:before="120" w:after="240"/>
      <w:jc w:val="both"/>
    </w:pPr>
    <w:rPr>
      <w:rFonts w:ascii="Times New Roman" w:hAnsi="Times New Roman" w:eastAsia="Calibri" w:cs="Times New Roman"/>
      <w:sz w:val="22"/>
      <w:szCs w:val="22"/>
      <w:lang w:val="ru-RU" w:eastAsia="en-US" w:bidi="ar-SA"/>
    </w:rPr>
  </w:style>
  <w:style w:type="character" w:customStyle="1" w:styleId="74">
    <w:name w:val="尾注文本 Char"/>
    <w:qFormat/>
    <w:uiPriority w:val="0"/>
    <w:rPr>
      <w:kern w:val="2"/>
      <w:sz w:val="21"/>
      <w:szCs w:val="24"/>
    </w:rPr>
  </w:style>
  <w:style w:type="character" w:customStyle="1" w:styleId="75">
    <w:name w:val="标题 2 Char2"/>
    <w:qFormat/>
    <w:uiPriority w:val="0"/>
    <w:rPr>
      <w:rFonts w:ascii="Cambria" w:hAnsi="Cambria" w:eastAsia="宋体"/>
      <w:b/>
      <w:bCs/>
      <w:kern w:val="2"/>
      <w:sz w:val="32"/>
      <w:szCs w:val="32"/>
      <w:lang w:val="en-US" w:eastAsia="zh-CN" w:bidi="ar-SA"/>
    </w:rPr>
  </w:style>
  <w:style w:type="character" w:customStyle="1" w:styleId="76">
    <w:name w:val="副标题 Char3"/>
    <w:qFormat/>
    <w:uiPriority w:val="0"/>
    <w:rPr>
      <w:rFonts w:eastAsia="宋体"/>
      <w:szCs w:val="24"/>
      <w:u w:val="single"/>
      <w:lang w:val="en-US" w:eastAsia="en-US" w:bidi="ar-SA"/>
    </w:rPr>
  </w:style>
  <w:style w:type="character" w:customStyle="1" w:styleId="77">
    <w:name w:val="批注文字 Char3"/>
    <w:qFormat/>
    <w:uiPriority w:val="99"/>
    <w:rPr>
      <w:rFonts w:eastAsia="宋体"/>
      <w:kern w:val="2"/>
      <w:sz w:val="21"/>
      <w:szCs w:val="24"/>
      <w:lang w:val="en-US" w:eastAsia="zh-CN" w:bidi="ar-SA"/>
    </w:rPr>
  </w:style>
  <w:style w:type="character" w:customStyle="1" w:styleId="78">
    <w:name w:val="未处理的提及"/>
    <w:unhideWhenUsed/>
    <w:qFormat/>
    <w:uiPriority w:val="99"/>
    <w:rPr>
      <w:color w:val="605E5C"/>
      <w:shd w:val="clear" w:color="auto" w:fill="E1DFDD"/>
    </w:rPr>
  </w:style>
  <w:style w:type="paragraph" w:customStyle="1" w:styleId="79">
    <w:name w:val="目录 53"/>
    <w:next w:val="1"/>
    <w:qFormat/>
    <w:uiPriority w:val="0"/>
    <w:pPr>
      <w:wordWrap w:val="0"/>
      <w:ind w:left="1275"/>
      <w:jc w:val="both"/>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251</Pages>
  <Words>6736</Words>
  <Characters>7526</Characters>
  <Lines>1317</Lines>
  <Paragraphs>371</Paragraphs>
  <TotalTime>4</TotalTime>
  <ScaleCrop>false</ScaleCrop>
  <LinksUpToDate>false</LinksUpToDate>
  <CharactersWithSpaces>9826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2022-12-02T03:15:00Z</dcterms:created>
  <dc:creator>Lenovo E480</dc:creator>
  <cp:lastModifiedBy>温星星</cp:lastModifiedBy>
  <cp:lastPrinted>2022-06-09T09:14:00Z</cp:lastPrinted>
  <dcterms:modified xsi:type="dcterms:W3CDTF">2025-05-26T07:43:59Z</dcterms:modified>
  <dc:title>重庆市公路工程施工</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7F920E2F94A54857AE702CE3D6F7BBD9</vt:lpwstr>
  </property>
  <property fmtid="{D5CDD505-2E9C-101B-9397-08002B2CF9AE}" pid="4" name="KSOTemplateDocerSaveRecord">
    <vt:lpwstr>eyJoZGlkIjoiZDRlMTI0ZmZkNWVkNDk2ZTg4NWYwOTQyMjQxMmY4NGEiLCJ1c2VySWQiOiIxMzIzODcwMDMzIn0=</vt:lpwstr>
  </property>
</Properties>
</file>